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AC4" w:rsidRDefault="00285E1E">
      <w:pPr>
        <w:pStyle w:val="ad"/>
        <w:outlineLvl w:val="9"/>
        <w:rPr>
          <w:rFonts w:ascii="仿宋" w:eastAsia="仿宋" w:hAnsi="仿宋" w:cs="仿宋" w:hint="default"/>
        </w:rPr>
      </w:pPr>
      <w:bookmarkStart w:id="0" w:name="_Toc2322"/>
      <w:bookmarkStart w:id="1" w:name="_Toc5215"/>
      <w:bookmarkStart w:id="2" w:name="_Toc9163"/>
      <w:bookmarkStart w:id="3" w:name="_Toc9545"/>
      <w:bookmarkStart w:id="4" w:name="_Toc15379"/>
      <w:bookmarkStart w:id="5" w:name="_Toc20734"/>
      <w:r>
        <w:rPr>
          <w:rFonts w:ascii="仿宋" w:eastAsia="仿宋" w:hAnsi="仿宋" w:cs="仿宋"/>
        </w:rPr>
        <w:t>万源市</w:t>
      </w:r>
      <w:r>
        <w:rPr>
          <w:rFonts w:ascii="仿宋" w:eastAsia="仿宋" w:hAnsi="仿宋" w:cs="仿宋"/>
        </w:rPr>
        <w:t>国土空间规划管理技术规定</w:t>
      </w:r>
      <w:r>
        <w:rPr>
          <w:rFonts w:ascii="仿宋" w:eastAsia="仿宋" w:hAnsi="仿宋" w:cs="仿宋"/>
        </w:rPr>
        <w:t>(202</w:t>
      </w:r>
      <w:r>
        <w:rPr>
          <w:rFonts w:ascii="仿宋" w:eastAsia="仿宋" w:hAnsi="仿宋" w:cs="仿宋"/>
        </w:rPr>
        <w:t>3</w:t>
      </w:r>
      <w:r>
        <w:rPr>
          <w:rFonts w:ascii="仿宋" w:eastAsia="仿宋" w:hAnsi="仿宋" w:cs="仿宋"/>
        </w:rPr>
        <w:t>版</w:t>
      </w:r>
      <w:r>
        <w:rPr>
          <w:rFonts w:ascii="仿宋" w:eastAsia="仿宋" w:hAnsi="仿宋" w:cs="仿宋"/>
        </w:rPr>
        <w:t>)</w:t>
      </w:r>
      <w:bookmarkEnd w:id="0"/>
      <w:bookmarkEnd w:id="1"/>
      <w:bookmarkEnd w:id="2"/>
      <w:bookmarkEnd w:id="3"/>
      <w:bookmarkEnd w:id="4"/>
      <w:bookmarkEnd w:id="5"/>
    </w:p>
    <w:p w:rsidR="00925AC4" w:rsidRDefault="00285E1E">
      <w:pPr>
        <w:ind w:firstLineChars="0" w:firstLine="0"/>
        <w:jc w:val="center"/>
      </w:pPr>
      <w:r>
        <w:rPr>
          <w:rFonts w:ascii="仿宋" w:eastAsia="仿宋" w:hAnsi="仿宋" w:cs="仿宋" w:hint="eastAsia"/>
          <w:b/>
          <w:bCs/>
          <w:color w:val="auto"/>
          <w:spacing w:val="22"/>
          <w:position w:val="35"/>
          <w:sz w:val="36"/>
          <w:szCs w:val="36"/>
        </w:rPr>
        <w:t>目</w:t>
      </w:r>
      <w:r>
        <w:rPr>
          <w:rFonts w:ascii="仿宋" w:eastAsia="仿宋" w:hAnsi="仿宋" w:cs="仿宋" w:hint="eastAsia"/>
          <w:b/>
          <w:bCs/>
          <w:color w:val="auto"/>
          <w:spacing w:val="22"/>
          <w:position w:val="35"/>
          <w:sz w:val="36"/>
          <w:szCs w:val="36"/>
        </w:rPr>
        <w:t xml:space="preserve">  </w:t>
      </w:r>
      <w:r>
        <w:rPr>
          <w:rFonts w:ascii="仿宋" w:eastAsia="仿宋" w:hAnsi="仿宋" w:cs="仿宋" w:hint="eastAsia"/>
          <w:b/>
          <w:bCs/>
          <w:color w:val="auto"/>
          <w:spacing w:val="22"/>
          <w:position w:val="35"/>
          <w:sz w:val="36"/>
          <w:szCs w:val="36"/>
        </w:rPr>
        <w:t>录</w:t>
      </w:r>
      <w:r w:rsidR="00925AC4">
        <w:rPr>
          <w:rFonts w:ascii="仿宋" w:eastAsia="仿宋" w:hAnsi="仿宋" w:cs="仿宋" w:hint="eastAsia"/>
          <w:color w:val="C00000"/>
        </w:rPr>
        <w:fldChar w:fldCharType="begin"/>
      </w:r>
      <w:r>
        <w:rPr>
          <w:rFonts w:ascii="仿宋" w:eastAsia="仿宋" w:hAnsi="仿宋" w:cs="仿宋" w:hint="eastAsia"/>
          <w:color w:val="C00000"/>
        </w:rPr>
        <w:instrText xml:space="preserve">TOC \o "1-2" \h \u </w:instrText>
      </w:r>
      <w:r w:rsidR="00925AC4">
        <w:rPr>
          <w:rFonts w:ascii="仿宋" w:eastAsia="仿宋" w:hAnsi="仿宋" w:cs="仿宋" w:hint="eastAsia"/>
          <w:color w:val="C00000"/>
        </w:rPr>
        <w:fldChar w:fldCharType="separate"/>
      </w:r>
    </w:p>
    <w:p w:rsidR="00925AC4" w:rsidRDefault="00925AC4" w:rsidP="008E7712">
      <w:pPr>
        <w:pStyle w:val="10"/>
        <w:tabs>
          <w:tab w:val="right" w:leader="dot" w:pos="8582"/>
        </w:tabs>
        <w:ind w:firstLine="560"/>
      </w:pPr>
      <w:hyperlink w:anchor="_Toc11653" w:history="1">
        <w:r w:rsidR="00285E1E">
          <w:rPr>
            <w:rFonts w:ascii="仿宋" w:eastAsia="仿宋" w:hAnsi="仿宋" w:cs="仿宋" w:hint="eastAsia"/>
            <w:szCs w:val="32"/>
          </w:rPr>
          <w:t>第一章</w:t>
        </w:r>
        <w:r w:rsidR="00285E1E">
          <w:rPr>
            <w:rFonts w:ascii="仿宋" w:eastAsia="仿宋" w:hAnsi="仿宋" w:cs="仿宋" w:hint="eastAsia"/>
            <w:szCs w:val="32"/>
          </w:rPr>
          <w:t xml:space="preserve"> </w:t>
        </w:r>
        <w:r w:rsidR="00285E1E">
          <w:rPr>
            <w:rFonts w:ascii="仿宋" w:eastAsia="仿宋" w:hAnsi="仿宋" w:cs="仿宋" w:hint="eastAsia"/>
            <w:szCs w:val="32"/>
          </w:rPr>
          <w:t>总则</w:t>
        </w:r>
        <w:r w:rsidR="00285E1E">
          <w:tab/>
        </w:r>
        <w:r>
          <w:fldChar w:fldCharType="begin"/>
        </w:r>
        <w:r w:rsidR="00285E1E">
          <w:instrText xml:space="preserve"> PAGEREF _Toc11653 \h </w:instrText>
        </w:r>
        <w:r>
          <w:fldChar w:fldCharType="separate"/>
        </w:r>
        <w:r w:rsidR="00285E1E">
          <w:t>1</w:t>
        </w:r>
        <w:r>
          <w:fldChar w:fldCharType="end"/>
        </w:r>
      </w:hyperlink>
    </w:p>
    <w:p w:rsidR="00925AC4" w:rsidRDefault="00925AC4" w:rsidP="008E7712">
      <w:pPr>
        <w:pStyle w:val="10"/>
        <w:tabs>
          <w:tab w:val="right" w:leader="dot" w:pos="8582"/>
        </w:tabs>
        <w:ind w:firstLine="560"/>
      </w:pPr>
      <w:hyperlink w:anchor="_Toc26798" w:history="1">
        <w:r w:rsidR="00285E1E">
          <w:rPr>
            <w:rFonts w:ascii="仿宋" w:eastAsia="仿宋" w:hAnsi="仿宋" w:cs="仿宋" w:hint="eastAsia"/>
            <w:szCs w:val="32"/>
          </w:rPr>
          <w:t>第二章</w:t>
        </w:r>
        <w:r w:rsidR="00285E1E">
          <w:rPr>
            <w:rFonts w:ascii="仿宋" w:eastAsia="仿宋" w:hAnsi="仿宋" w:cs="仿宋" w:hint="eastAsia"/>
            <w:szCs w:val="32"/>
          </w:rPr>
          <w:t xml:space="preserve"> </w:t>
        </w:r>
        <w:r w:rsidR="00285E1E">
          <w:rPr>
            <w:rFonts w:ascii="仿宋" w:eastAsia="仿宋" w:hAnsi="仿宋" w:cs="仿宋" w:hint="eastAsia"/>
            <w:szCs w:val="32"/>
          </w:rPr>
          <w:t>建设用地规划管理</w:t>
        </w:r>
        <w:r w:rsidR="00285E1E">
          <w:tab/>
        </w:r>
        <w:r>
          <w:fldChar w:fldCharType="begin"/>
        </w:r>
        <w:r w:rsidR="00285E1E">
          <w:instrText xml:space="preserve"> PAGEREF _Toc26798 \h </w:instrText>
        </w:r>
        <w:r>
          <w:fldChar w:fldCharType="separate"/>
        </w:r>
        <w:r w:rsidR="00285E1E">
          <w:t>3</w:t>
        </w:r>
        <w:r>
          <w:fldChar w:fldCharType="end"/>
        </w:r>
      </w:hyperlink>
    </w:p>
    <w:p w:rsidR="00925AC4" w:rsidRDefault="00925AC4" w:rsidP="008E7712">
      <w:pPr>
        <w:pStyle w:val="20"/>
        <w:tabs>
          <w:tab w:val="right" w:leader="dot" w:pos="8582"/>
        </w:tabs>
        <w:ind w:left="560" w:firstLine="560"/>
      </w:pPr>
      <w:hyperlink w:anchor="_Toc8290" w:history="1">
        <w:r w:rsidR="00285E1E">
          <w:rPr>
            <w:szCs w:val="30"/>
          </w:rPr>
          <w:t xml:space="preserve">2.1 </w:t>
        </w:r>
        <w:r w:rsidR="00285E1E">
          <w:rPr>
            <w:rFonts w:ascii="仿宋" w:eastAsia="仿宋" w:hAnsi="仿宋" w:cs="仿宋" w:hint="eastAsia"/>
            <w:szCs w:val="30"/>
          </w:rPr>
          <w:t>建设用地性质及兼容</w:t>
        </w:r>
        <w:r w:rsidR="00285E1E">
          <w:tab/>
        </w:r>
        <w:r>
          <w:fldChar w:fldCharType="begin"/>
        </w:r>
        <w:r w:rsidR="00285E1E">
          <w:instrText xml:space="preserve"> PAGEREF _Toc8290 \h </w:instrText>
        </w:r>
        <w:r>
          <w:fldChar w:fldCharType="separate"/>
        </w:r>
        <w:r w:rsidR="00285E1E">
          <w:t>3</w:t>
        </w:r>
        <w:r>
          <w:fldChar w:fldCharType="end"/>
        </w:r>
      </w:hyperlink>
    </w:p>
    <w:p w:rsidR="00925AC4" w:rsidRDefault="00925AC4" w:rsidP="008E7712">
      <w:pPr>
        <w:pStyle w:val="20"/>
        <w:tabs>
          <w:tab w:val="right" w:leader="dot" w:pos="8582"/>
        </w:tabs>
        <w:ind w:left="560" w:firstLine="560"/>
      </w:pPr>
      <w:hyperlink w:anchor="_Toc27496" w:history="1">
        <w:r w:rsidR="00285E1E">
          <w:rPr>
            <w:szCs w:val="30"/>
          </w:rPr>
          <w:t xml:space="preserve">2.2 </w:t>
        </w:r>
        <w:r w:rsidR="00285E1E">
          <w:rPr>
            <w:rFonts w:ascii="仿宋" w:eastAsia="仿宋" w:hAnsi="仿宋" w:cs="仿宋" w:hint="eastAsia"/>
            <w:szCs w:val="30"/>
          </w:rPr>
          <w:t>建设用地规划指标控制</w:t>
        </w:r>
        <w:r w:rsidR="00285E1E">
          <w:tab/>
        </w:r>
        <w:r>
          <w:fldChar w:fldCharType="begin"/>
        </w:r>
        <w:r w:rsidR="00285E1E">
          <w:instrText xml:space="preserve"> PAGEREF _Toc27496 \h </w:instrText>
        </w:r>
        <w:r>
          <w:fldChar w:fldCharType="separate"/>
        </w:r>
        <w:r w:rsidR="00285E1E">
          <w:t>5</w:t>
        </w:r>
        <w:r>
          <w:fldChar w:fldCharType="end"/>
        </w:r>
      </w:hyperlink>
    </w:p>
    <w:p w:rsidR="00925AC4" w:rsidRDefault="00925AC4" w:rsidP="008E7712">
      <w:pPr>
        <w:pStyle w:val="20"/>
        <w:tabs>
          <w:tab w:val="right" w:leader="dot" w:pos="8582"/>
        </w:tabs>
        <w:ind w:left="560" w:firstLine="560"/>
      </w:pPr>
      <w:hyperlink w:anchor="_Toc27364" w:history="1">
        <w:r w:rsidR="00285E1E">
          <w:rPr>
            <w:szCs w:val="30"/>
          </w:rPr>
          <w:t xml:space="preserve">2.3 </w:t>
        </w:r>
        <w:r w:rsidR="00285E1E">
          <w:rPr>
            <w:rFonts w:ascii="仿宋" w:eastAsia="仿宋" w:hAnsi="仿宋" w:cs="仿宋" w:hint="eastAsia"/>
            <w:szCs w:val="30"/>
          </w:rPr>
          <w:t>建设用地规划控制</w:t>
        </w:r>
        <w:r w:rsidR="00285E1E">
          <w:tab/>
        </w:r>
        <w:r>
          <w:fldChar w:fldCharType="begin"/>
        </w:r>
        <w:r w:rsidR="00285E1E">
          <w:instrText xml:space="preserve"> PAGEREF _Toc27364 \h </w:instrText>
        </w:r>
        <w:r>
          <w:fldChar w:fldCharType="separate"/>
        </w:r>
        <w:r w:rsidR="00285E1E">
          <w:t>7</w:t>
        </w:r>
        <w:r>
          <w:fldChar w:fldCharType="end"/>
        </w:r>
      </w:hyperlink>
    </w:p>
    <w:p w:rsidR="00925AC4" w:rsidRDefault="00925AC4" w:rsidP="008E7712">
      <w:pPr>
        <w:pStyle w:val="10"/>
        <w:tabs>
          <w:tab w:val="right" w:leader="dot" w:pos="8582"/>
        </w:tabs>
        <w:ind w:firstLine="560"/>
      </w:pPr>
      <w:hyperlink w:anchor="_Toc26105" w:history="1">
        <w:r w:rsidR="00285E1E">
          <w:rPr>
            <w:rFonts w:ascii="仿宋" w:eastAsia="仿宋" w:hAnsi="仿宋" w:cs="仿宋" w:hint="eastAsia"/>
            <w:szCs w:val="32"/>
          </w:rPr>
          <w:t>第三章</w:t>
        </w:r>
        <w:r w:rsidR="00285E1E">
          <w:rPr>
            <w:rFonts w:ascii="仿宋" w:eastAsia="仿宋" w:hAnsi="仿宋" w:cs="仿宋" w:hint="eastAsia"/>
            <w:szCs w:val="32"/>
          </w:rPr>
          <w:t xml:space="preserve"> </w:t>
        </w:r>
        <w:r w:rsidR="00285E1E">
          <w:rPr>
            <w:rFonts w:ascii="仿宋" w:eastAsia="仿宋" w:hAnsi="仿宋" w:cs="仿宋" w:hint="eastAsia"/>
            <w:szCs w:val="32"/>
          </w:rPr>
          <w:t>建筑工程规划管理</w:t>
        </w:r>
        <w:r w:rsidR="00285E1E">
          <w:tab/>
        </w:r>
        <w:r>
          <w:fldChar w:fldCharType="begin"/>
        </w:r>
        <w:r w:rsidR="00285E1E">
          <w:instrText xml:space="preserve"> PAGEREF _Toc26105 \h </w:instrText>
        </w:r>
        <w:r>
          <w:fldChar w:fldCharType="separate"/>
        </w:r>
        <w:r w:rsidR="00285E1E">
          <w:t>15</w:t>
        </w:r>
        <w:r>
          <w:fldChar w:fldCharType="end"/>
        </w:r>
      </w:hyperlink>
    </w:p>
    <w:p w:rsidR="00925AC4" w:rsidRDefault="00925AC4" w:rsidP="008E7712">
      <w:pPr>
        <w:pStyle w:val="20"/>
        <w:tabs>
          <w:tab w:val="right" w:leader="dot" w:pos="8582"/>
        </w:tabs>
        <w:ind w:left="560" w:firstLine="560"/>
      </w:pPr>
      <w:hyperlink w:anchor="_Toc30350" w:history="1">
        <w:r w:rsidR="00285E1E">
          <w:rPr>
            <w:szCs w:val="36"/>
          </w:rPr>
          <w:t xml:space="preserve">3.1 </w:t>
        </w:r>
        <w:r w:rsidR="00285E1E">
          <w:rPr>
            <w:rFonts w:ascii="仿宋" w:eastAsia="仿宋" w:hAnsi="仿宋" w:cs="仿宋" w:hint="eastAsia"/>
            <w:szCs w:val="30"/>
          </w:rPr>
          <w:t>建筑间距</w:t>
        </w:r>
        <w:r w:rsidR="00285E1E">
          <w:tab/>
        </w:r>
        <w:r>
          <w:fldChar w:fldCharType="begin"/>
        </w:r>
        <w:r w:rsidR="00285E1E">
          <w:instrText xml:space="preserve"> PAGEREF _Toc30350 \h </w:instrText>
        </w:r>
        <w:r>
          <w:fldChar w:fldCharType="separate"/>
        </w:r>
        <w:r w:rsidR="00285E1E">
          <w:t>15</w:t>
        </w:r>
        <w:r>
          <w:fldChar w:fldCharType="end"/>
        </w:r>
      </w:hyperlink>
    </w:p>
    <w:p w:rsidR="00925AC4" w:rsidRDefault="00925AC4" w:rsidP="008E7712">
      <w:pPr>
        <w:pStyle w:val="20"/>
        <w:tabs>
          <w:tab w:val="right" w:leader="dot" w:pos="8582"/>
        </w:tabs>
        <w:ind w:left="560" w:firstLine="560"/>
      </w:pPr>
      <w:hyperlink w:anchor="_Toc13313" w:history="1">
        <w:r w:rsidR="00285E1E">
          <w:rPr>
            <w:szCs w:val="36"/>
          </w:rPr>
          <w:t xml:space="preserve">3.2 </w:t>
        </w:r>
        <w:r w:rsidR="00285E1E">
          <w:rPr>
            <w:rFonts w:ascii="仿宋" w:eastAsia="仿宋" w:hAnsi="仿宋" w:cs="仿宋" w:hint="eastAsia"/>
            <w:szCs w:val="30"/>
          </w:rPr>
          <w:t>建筑退界</w:t>
        </w:r>
        <w:r w:rsidR="00285E1E">
          <w:tab/>
        </w:r>
        <w:r>
          <w:fldChar w:fldCharType="begin"/>
        </w:r>
        <w:r w:rsidR="00285E1E">
          <w:instrText xml:space="preserve"> PAGEREF _Toc13313 \h </w:instrText>
        </w:r>
        <w:r>
          <w:fldChar w:fldCharType="separate"/>
        </w:r>
        <w:r w:rsidR="00285E1E">
          <w:t>20</w:t>
        </w:r>
        <w:r>
          <w:fldChar w:fldCharType="end"/>
        </w:r>
      </w:hyperlink>
    </w:p>
    <w:p w:rsidR="00925AC4" w:rsidRDefault="00925AC4" w:rsidP="008E7712">
      <w:pPr>
        <w:pStyle w:val="20"/>
        <w:tabs>
          <w:tab w:val="right" w:leader="dot" w:pos="8582"/>
        </w:tabs>
        <w:ind w:left="560" w:firstLine="560"/>
      </w:pPr>
      <w:hyperlink w:anchor="_Toc4104" w:history="1">
        <w:r w:rsidR="00285E1E">
          <w:rPr>
            <w:szCs w:val="36"/>
          </w:rPr>
          <w:t xml:space="preserve">3.3 </w:t>
        </w:r>
        <w:r w:rsidR="00285E1E">
          <w:rPr>
            <w:rFonts w:ascii="仿宋" w:eastAsia="仿宋" w:hAnsi="仿宋" w:cs="仿宋" w:hint="eastAsia"/>
            <w:szCs w:val="30"/>
          </w:rPr>
          <w:t>建筑形态及其他管理要求</w:t>
        </w:r>
        <w:r w:rsidR="00285E1E">
          <w:tab/>
        </w:r>
        <w:r>
          <w:fldChar w:fldCharType="begin"/>
        </w:r>
        <w:r w:rsidR="00285E1E">
          <w:instrText xml:space="preserve"> PAGEREF _Toc4104 \h </w:instrText>
        </w:r>
        <w:r>
          <w:fldChar w:fldCharType="separate"/>
        </w:r>
        <w:r w:rsidR="00285E1E">
          <w:t>22</w:t>
        </w:r>
        <w:r>
          <w:fldChar w:fldCharType="end"/>
        </w:r>
      </w:hyperlink>
    </w:p>
    <w:p w:rsidR="00925AC4" w:rsidRDefault="00925AC4" w:rsidP="008E7712">
      <w:pPr>
        <w:pStyle w:val="10"/>
        <w:tabs>
          <w:tab w:val="right" w:leader="dot" w:pos="8582"/>
        </w:tabs>
        <w:ind w:firstLine="560"/>
      </w:pPr>
      <w:hyperlink w:anchor="_Toc22784" w:history="1">
        <w:r w:rsidR="00285E1E">
          <w:rPr>
            <w:rFonts w:ascii="仿宋" w:eastAsia="仿宋" w:hAnsi="仿宋" w:cs="仿宋" w:hint="eastAsia"/>
            <w:szCs w:val="32"/>
          </w:rPr>
          <w:t>第四章交通、市政、消防、安防工程规划管理</w:t>
        </w:r>
        <w:r w:rsidR="00285E1E">
          <w:tab/>
        </w:r>
        <w:r>
          <w:fldChar w:fldCharType="begin"/>
        </w:r>
        <w:r w:rsidR="00285E1E">
          <w:instrText xml:space="preserve"> PAGEREF _Toc22784 \h </w:instrText>
        </w:r>
        <w:r>
          <w:fldChar w:fldCharType="separate"/>
        </w:r>
        <w:r w:rsidR="00285E1E">
          <w:t>31</w:t>
        </w:r>
        <w:r>
          <w:fldChar w:fldCharType="end"/>
        </w:r>
      </w:hyperlink>
    </w:p>
    <w:p w:rsidR="00925AC4" w:rsidRDefault="00925AC4" w:rsidP="008E7712">
      <w:pPr>
        <w:pStyle w:val="20"/>
        <w:tabs>
          <w:tab w:val="right" w:leader="dot" w:pos="8582"/>
        </w:tabs>
        <w:ind w:left="560" w:firstLine="560"/>
      </w:pPr>
      <w:hyperlink w:anchor="_Toc22624" w:history="1">
        <w:r w:rsidR="00285E1E">
          <w:rPr>
            <w:szCs w:val="28"/>
          </w:rPr>
          <w:t xml:space="preserve">4.1 </w:t>
        </w:r>
        <w:r w:rsidR="00285E1E">
          <w:rPr>
            <w:rFonts w:ascii="仿宋" w:eastAsia="仿宋" w:hAnsi="仿宋" w:cs="仿宋" w:hint="eastAsia"/>
            <w:szCs w:val="28"/>
          </w:rPr>
          <w:t>交通工程规划管理</w:t>
        </w:r>
        <w:r w:rsidR="00285E1E">
          <w:tab/>
        </w:r>
        <w:r>
          <w:fldChar w:fldCharType="begin"/>
        </w:r>
        <w:r w:rsidR="00285E1E">
          <w:instrText xml:space="preserve"> PAGEREF _Toc22624 \h</w:instrText>
        </w:r>
        <w:r w:rsidR="00285E1E">
          <w:instrText xml:space="preserve"> </w:instrText>
        </w:r>
        <w:r>
          <w:fldChar w:fldCharType="separate"/>
        </w:r>
        <w:r w:rsidR="00285E1E">
          <w:t>31</w:t>
        </w:r>
        <w:r>
          <w:fldChar w:fldCharType="end"/>
        </w:r>
      </w:hyperlink>
    </w:p>
    <w:p w:rsidR="00925AC4" w:rsidRDefault="00925AC4" w:rsidP="008E7712">
      <w:pPr>
        <w:pStyle w:val="20"/>
        <w:tabs>
          <w:tab w:val="right" w:leader="dot" w:pos="8582"/>
        </w:tabs>
        <w:ind w:left="560" w:firstLine="560"/>
      </w:pPr>
      <w:hyperlink w:anchor="_Toc14106" w:history="1">
        <w:r w:rsidR="00285E1E">
          <w:rPr>
            <w:szCs w:val="28"/>
          </w:rPr>
          <w:t xml:space="preserve">4.2 </w:t>
        </w:r>
        <w:r w:rsidR="00285E1E">
          <w:rPr>
            <w:rFonts w:ascii="仿宋" w:eastAsia="仿宋" w:hAnsi="仿宋" w:cs="仿宋" w:hint="eastAsia"/>
            <w:szCs w:val="28"/>
          </w:rPr>
          <w:t>市政工程规划管理</w:t>
        </w:r>
        <w:r w:rsidR="00285E1E">
          <w:tab/>
        </w:r>
        <w:r>
          <w:fldChar w:fldCharType="begin"/>
        </w:r>
        <w:r w:rsidR="00285E1E">
          <w:instrText xml:space="preserve"> PAGEREF _Toc14106 \h </w:instrText>
        </w:r>
        <w:r>
          <w:fldChar w:fldCharType="separate"/>
        </w:r>
        <w:r w:rsidR="00285E1E">
          <w:t>40</w:t>
        </w:r>
        <w:r>
          <w:fldChar w:fldCharType="end"/>
        </w:r>
      </w:hyperlink>
    </w:p>
    <w:p w:rsidR="00925AC4" w:rsidRDefault="00925AC4" w:rsidP="008E7712">
      <w:pPr>
        <w:pStyle w:val="20"/>
        <w:tabs>
          <w:tab w:val="right" w:leader="dot" w:pos="8582"/>
        </w:tabs>
        <w:ind w:left="560" w:firstLine="560"/>
      </w:pPr>
      <w:hyperlink w:anchor="_Toc332" w:history="1">
        <w:r w:rsidR="00285E1E">
          <w:rPr>
            <w:szCs w:val="28"/>
          </w:rPr>
          <w:t xml:space="preserve">4.3 </w:t>
        </w:r>
        <w:r w:rsidR="00285E1E">
          <w:rPr>
            <w:rFonts w:ascii="仿宋" w:eastAsia="仿宋" w:hAnsi="仿宋" w:cs="仿宋" w:hint="eastAsia"/>
            <w:szCs w:val="28"/>
          </w:rPr>
          <w:t>消防工程规划管理</w:t>
        </w:r>
        <w:r w:rsidR="00285E1E">
          <w:tab/>
        </w:r>
        <w:r>
          <w:fldChar w:fldCharType="begin"/>
        </w:r>
        <w:r w:rsidR="00285E1E">
          <w:instrText xml:space="preserve"> PAGEREF _Toc332 \h </w:instrText>
        </w:r>
        <w:r>
          <w:fldChar w:fldCharType="separate"/>
        </w:r>
        <w:r w:rsidR="00285E1E">
          <w:t>42</w:t>
        </w:r>
        <w:r>
          <w:fldChar w:fldCharType="end"/>
        </w:r>
      </w:hyperlink>
    </w:p>
    <w:p w:rsidR="00925AC4" w:rsidRDefault="00925AC4" w:rsidP="008E7712">
      <w:pPr>
        <w:pStyle w:val="20"/>
        <w:tabs>
          <w:tab w:val="right" w:leader="dot" w:pos="8582"/>
        </w:tabs>
        <w:ind w:left="560" w:firstLine="560"/>
      </w:pPr>
      <w:hyperlink w:anchor="_Toc14532" w:history="1">
        <w:r w:rsidR="00285E1E">
          <w:rPr>
            <w:szCs w:val="28"/>
          </w:rPr>
          <w:t xml:space="preserve">4.4 </w:t>
        </w:r>
        <w:r w:rsidR="00285E1E">
          <w:rPr>
            <w:rFonts w:ascii="仿宋" w:eastAsia="仿宋" w:hAnsi="仿宋" w:cs="仿宋" w:hint="eastAsia"/>
            <w:szCs w:val="18"/>
          </w:rPr>
          <w:t>智慧安防规划管理</w:t>
        </w:r>
        <w:r w:rsidR="00285E1E">
          <w:tab/>
        </w:r>
        <w:r>
          <w:fldChar w:fldCharType="begin"/>
        </w:r>
        <w:r w:rsidR="00285E1E">
          <w:instrText xml:space="preserve"> PAGEREF _Toc14532 \h </w:instrText>
        </w:r>
        <w:r>
          <w:fldChar w:fldCharType="separate"/>
        </w:r>
        <w:r w:rsidR="00285E1E">
          <w:t>44</w:t>
        </w:r>
        <w:r>
          <w:fldChar w:fldCharType="end"/>
        </w:r>
      </w:hyperlink>
    </w:p>
    <w:p w:rsidR="00925AC4" w:rsidRDefault="00925AC4" w:rsidP="008E7712">
      <w:pPr>
        <w:pStyle w:val="10"/>
        <w:tabs>
          <w:tab w:val="right" w:leader="dot" w:pos="8582"/>
        </w:tabs>
        <w:ind w:firstLine="560"/>
      </w:pPr>
      <w:hyperlink w:anchor="_Toc13473" w:history="1">
        <w:r w:rsidR="00285E1E">
          <w:rPr>
            <w:rFonts w:ascii="仿宋" w:eastAsia="仿宋" w:hAnsi="仿宋" w:cs="仿宋" w:hint="eastAsia"/>
            <w:szCs w:val="32"/>
          </w:rPr>
          <w:t>第五章</w:t>
        </w:r>
        <w:r w:rsidR="00285E1E">
          <w:rPr>
            <w:rFonts w:ascii="仿宋" w:eastAsia="仿宋" w:hAnsi="仿宋" w:cs="仿宋" w:hint="eastAsia"/>
            <w:szCs w:val="32"/>
          </w:rPr>
          <w:t xml:space="preserve"> </w:t>
        </w:r>
        <w:r w:rsidR="00285E1E">
          <w:rPr>
            <w:rFonts w:ascii="仿宋" w:eastAsia="仿宋" w:hAnsi="仿宋" w:cs="仿宋" w:hint="eastAsia"/>
            <w:szCs w:val="32"/>
          </w:rPr>
          <w:t>城市竖向规划控制</w:t>
        </w:r>
        <w:r w:rsidR="00285E1E">
          <w:tab/>
        </w:r>
        <w:r>
          <w:fldChar w:fldCharType="begin"/>
        </w:r>
        <w:r w:rsidR="00285E1E">
          <w:instrText xml:space="preserve"> PAGEREF _Toc13473 \h </w:instrText>
        </w:r>
        <w:r>
          <w:fldChar w:fldCharType="separate"/>
        </w:r>
        <w:r w:rsidR="00285E1E">
          <w:t>45</w:t>
        </w:r>
        <w:r>
          <w:fldChar w:fldCharType="end"/>
        </w:r>
      </w:hyperlink>
    </w:p>
    <w:p w:rsidR="00925AC4" w:rsidRDefault="00925AC4" w:rsidP="008E7712">
      <w:pPr>
        <w:pStyle w:val="10"/>
        <w:tabs>
          <w:tab w:val="right" w:leader="dot" w:pos="8582"/>
        </w:tabs>
        <w:ind w:firstLine="560"/>
      </w:pPr>
      <w:hyperlink w:anchor="_Toc27884" w:history="1">
        <w:r w:rsidR="00285E1E">
          <w:rPr>
            <w:rFonts w:ascii="仿宋" w:eastAsia="仿宋" w:hAnsi="仿宋" w:cs="仿宋" w:hint="eastAsia"/>
            <w:szCs w:val="32"/>
          </w:rPr>
          <w:t>第六章</w:t>
        </w:r>
        <w:r w:rsidR="00285E1E">
          <w:rPr>
            <w:rFonts w:ascii="仿宋" w:eastAsia="仿宋" w:hAnsi="仿宋" w:cs="仿宋" w:hint="eastAsia"/>
            <w:szCs w:val="32"/>
          </w:rPr>
          <w:t xml:space="preserve"> </w:t>
        </w:r>
        <w:r w:rsidR="00285E1E">
          <w:rPr>
            <w:rFonts w:ascii="仿宋" w:eastAsia="仿宋" w:hAnsi="仿宋" w:cs="仿宋" w:hint="eastAsia"/>
            <w:szCs w:val="32"/>
          </w:rPr>
          <w:t>第四代住宅</w:t>
        </w:r>
        <w:r w:rsidR="00285E1E">
          <w:rPr>
            <w:rFonts w:ascii="仿宋" w:eastAsia="仿宋" w:hAnsi="仿宋" w:cs="仿宋" w:hint="eastAsia"/>
            <w:szCs w:val="32"/>
          </w:rPr>
          <w:t>规划管理</w:t>
        </w:r>
        <w:r w:rsidR="00285E1E">
          <w:tab/>
        </w:r>
        <w:r>
          <w:fldChar w:fldCharType="begin"/>
        </w:r>
        <w:r w:rsidR="00285E1E">
          <w:instrText xml:space="preserve"> PAGEREF _Toc27884 \h </w:instrText>
        </w:r>
        <w:r>
          <w:fldChar w:fldCharType="separate"/>
        </w:r>
        <w:r w:rsidR="00285E1E">
          <w:t>47</w:t>
        </w:r>
        <w:r>
          <w:fldChar w:fldCharType="end"/>
        </w:r>
      </w:hyperlink>
    </w:p>
    <w:p w:rsidR="00925AC4" w:rsidRDefault="00925AC4" w:rsidP="008E7712">
      <w:pPr>
        <w:pStyle w:val="10"/>
        <w:tabs>
          <w:tab w:val="right" w:leader="dot" w:pos="8582"/>
        </w:tabs>
        <w:ind w:firstLine="560"/>
      </w:pPr>
      <w:hyperlink w:anchor="_Toc18519" w:history="1">
        <w:r w:rsidR="00285E1E">
          <w:rPr>
            <w:rFonts w:ascii="仿宋" w:eastAsia="仿宋" w:hAnsi="仿宋" w:cs="仿宋" w:hint="eastAsia"/>
            <w:szCs w:val="32"/>
          </w:rPr>
          <w:t>第七章</w:t>
        </w:r>
        <w:r w:rsidR="00285E1E">
          <w:rPr>
            <w:rFonts w:ascii="仿宋" w:eastAsia="仿宋" w:hAnsi="仿宋" w:cs="仿宋" w:hint="eastAsia"/>
            <w:szCs w:val="32"/>
          </w:rPr>
          <w:t xml:space="preserve"> </w:t>
        </w:r>
        <w:r w:rsidR="00285E1E">
          <w:rPr>
            <w:rFonts w:ascii="仿宋" w:eastAsia="仿宋" w:hAnsi="仿宋" w:cs="仿宋" w:hint="eastAsia"/>
            <w:szCs w:val="32"/>
          </w:rPr>
          <w:t>附则</w:t>
        </w:r>
        <w:r w:rsidR="00285E1E">
          <w:tab/>
        </w:r>
        <w:r>
          <w:fldChar w:fldCharType="begin"/>
        </w:r>
        <w:r w:rsidR="00285E1E">
          <w:instrText xml:space="preserve"> PAGEREF _Toc18519 \h </w:instrText>
        </w:r>
        <w:r>
          <w:fldChar w:fldCharType="separate"/>
        </w:r>
        <w:r w:rsidR="00285E1E">
          <w:t>50</w:t>
        </w:r>
        <w:r>
          <w:fldChar w:fldCharType="end"/>
        </w:r>
      </w:hyperlink>
    </w:p>
    <w:p w:rsidR="00925AC4" w:rsidRDefault="00925AC4" w:rsidP="008E7712">
      <w:pPr>
        <w:pStyle w:val="10"/>
        <w:tabs>
          <w:tab w:val="right" w:leader="dot" w:pos="8582"/>
        </w:tabs>
        <w:ind w:firstLine="560"/>
      </w:pPr>
      <w:hyperlink w:anchor="_Toc20834" w:history="1">
        <w:r w:rsidR="00285E1E">
          <w:rPr>
            <w:rFonts w:ascii="仿宋" w:eastAsia="仿宋" w:hAnsi="仿宋" w:cs="仿宋" w:hint="eastAsia"/>
            <w:szCs w:val="32"/>
          </w:rPr>
          <w:t>附录一</w:t>
        </w:r>
        <w:r w:rsidR="00285E1E">
          <w:rPr>
            <w:rFonts w:ascii="仿宋" w:eastAsia="仿宋" w:hAnsi="仿宋" w:cs="仿宋" w:hint="eastAsia"/>
            <w:szCs w:val="32"/>
          </w:rPr>
          <w:t xml:space="preserve">  </w:t>
        </w:r>
        <w:r w:rsidR="00285E1E">
          <w:rPr>
            <w:rFonts w:ascii="仿宋" w:eastAsia="仿宋" w:hAnsi="仿宋" w:cs="仿宋" w:hint="eastAsia"/>
            <w:szCs w:val="32"/>
          </w:rPr>
          <w:t>名词解释</w:t>
        </w:r>
        <w:r w:rsidR="00285E1E">
          <w:tab/>
        </w:r>
        <w:r>
          <w:fldChar w:fldCharType="begin"/>
        </w:r>
        <w:r w:rsidR="00285E1E">
          <w:instrText xml:space="preserve"> PAGEREF _Toc20834 \h </w:instrText>
        </w:r>
        <w:r>
          <w:fldChar w:fldCharType="separate"/>
        </w:r>
        <w:r w:rsidR="00285E1E">
          <w:t>51</w:t>
        </w:r>
        <w:r>
          <w:fldChar w:fldCharType="end"/>
        </w:r>
      </w:hyperlink>
    </w:p>
    <w:p w:rsidR="00925AC4" w:rsidRDefault="00925AC4" w:rsidP="008E7712">
      <w:pPr>
        <w:pStyle w:val="10"/>
        <w:tabs>
          <w:tab w:val="right" w:leader="dot" w:pos="8582"/>
        </w:tabs>
        <w:ind w:firstLine="560"/>
      </w:pPr>
      <w:hyperlink w:anchor="_Toc11216" w:history="1">
        <w:r w:rsidR="00285E1E">
          <w:rPr>
            <w:rFonts w:ascii="仿宋" w:eastAsia="仿宋" w:hAnsi="仿宋" w:cs="仿宋" w:hint="eastAsia"/>
            <w:szCs w:val="32"/>
          </w:rPr>
          <w:t>附录二</w:t>
        </w:r>
        <w:r w:rsidR="00285E1E">
          <w:rPr>
            <w:rFonts w:ascii="仿宋" w:eastAsia="仿宋" w:hAnsi="仿宋" w:cs="仿宋" w:hint="eastAsia"/>
            <w:szCs w:val="32"/>
          </w:rPr>
          <w:t xml:space="preserve">  </w:t>
        </w:r>
        <w:r w:rsidR="00285E1E">
          <w:rPr>
            <w:rFonts w:ascii="仿宋" w:eastAsia="仿宋" w:hAnsi="仿宋" w:cs="仿宋" w:hint="eastAsia"/>
            <w:szCs w:val="32"/>
          </w:rPr>
          <w:t>计算规则</w:t>
        </w:r>
        <w:r w:rsidR="00285E1E">
          <w:tab/>
        </w:r>
        <w:r>
          <w:fldChar w:fldCharType="begin"/>
        </w:r>
        <w:r w:rsidR="00285E1E">
          <w:instrText xml:space="preserve"> PAGEREF _Toc11216 \h </w:instrText>
        </w:r>
        <w:r>
          <w:fldChar w:fldCharType="separate"/>
        </w:r>
        <w:r w:rsidR="00285E1E">
          <w:t>57</w:t>
        </w:r>
        <w:r>
          <w:fldChar w:fldCharType="end"/>
        </w:r>
      </w:hyperlink>
    </w:p>
    <w:p w:rsidR="00925AC4" w:rsidRDefault="00925AC4" w:rsidP="008E7712">
      <w:pPr>
        <w:pStyle w:val="20"/>
        <w:tabs>
          <w:tab w:val="right" w:leader="dot" w:pos="8582"/>
        </w:tabs>
        <w:ind w:left="560" w:firstLine="560"/>
      </w:pPr>
      <w:hyperlink w:anchor="_Toc9609" w:history="1">
        <w:r w:rsidR="00285E1E">
          <w:rPr>
            <w:rFonts w:ascii="仿宋" w:eastAsia="仿宋" w:hAnsi="仿宋" w:cs="仿宋" w:hint="eastAsia"/>
            <w:szCs w:val="28"/>
          </w:rPr>
          <w:t>一、</w:t>
        </w:r>
        <w:r w:rsidR="00285E1E">
          <w:rPr>
            <w:rFonts w:ascii="仿宋" w:eastAsia="仿宋" w:hAnsi="仿宋" w:cs="仿宋" w:hint="eastAsia"/>
            <w:szCs w:val="28"/>
          </w:rPr>
          <w:t xml:space="preserve"> </w:t>
        </w:r>
        <w:r w:rsidR="00285E1E">
          <w:rPr>
            <w:rFonts w:ascii="仿宋" w:eastAsia="仿宋" w:hAnsi="仿宋" w:cs="仿宋" w:hint="eastAsia"/>
            <w:szCs w:val="28"/>
          </w:rPr>
          <w:t>容积率的计算规则</w:t>
        </w:r>
        <w:r w:rsidR="00285E1E">
          <w:tab/>
        </w:r>
        <w:r>
          <w:fldChar w:fldCharType="begin"/>
        </w:r>
        <w:r w:rsidR="00285E1E">
          <w:instrText xml:space="preserve"> PAGEREF _Toc9609 \h </w:instrText>
        </w:r>
        <w:r>
          <w:fldChar w:fldCharType="separate"/>
        </w:r>
        <w:r w:rsidR="00285E1E">
          <w:t>57</w:t>
        </w:r>
        <w:r>
          <w:fldChar w:fldCharType="end"/>
        </w:r>
      </w:hyperlink>
    </w:p>
    <w:p w:rsidR="00925AC4" w:rsidRDefault="00925AC4" w:rsidP="008E7712">
      <w:pPr>
        <w:pStyle w:val="20"/>
        <w:tabs>
          <w:tab w:val="right" w:leader="dot" w:pos="8582"/>
        </w:tabs>
        <w:ind w:left="560" w:firstLine="560"/>
      </w:pPr>
      <w:hyperlink w:anchor="_Toc8256" w:history="1">
        <w:r w:rsidR="00285E1E">
          <w:rPr>
            <w:rFonts w:ascii="仿宋" w:eastAsia="仿宋" w:hAnsi="仿宋" w:cs="仿宋" w:hint="eastAsia"/>
            <w:szCs w:val="28"/>
          </w:rPr>
          <w:t>二、</w:t>
        </w:r>
        <w:r w:rsidR="00285E1E">
          <w:rPr>
            <w:rFonts w:ascii="仿宋" w:eastAsia="仿宋" w:hAnsi="仿宋" w:cs="仿宋" w:hint="eastAsia"/>
            <w:szCs w:val="28"/>
          </w:rPr>
          <w:t xml:space="preserve"> </w:t>
        </w:r>
        <w:r w:rsidR="00285E1E">
          <w:rPr>
            <w:rFonts w:ascii="仿宋" w:eastAsia="仿宋" w:hAnsi="仿宋" w:cs="仿宋" w:hint="eastAsia"/>
            <w:szCs w:val="28"/>
          </w:rPr>
          <w:t>以下建筑面积不计入容积率</w:t>
        </w:r>
        <w:r w:rsidR="00285E1E">
          <w:tab/>
        </w:r>
        <w:r>
          <w:fldChar w:fldCharType="begin"/>
        </w:r>
        <w:r w:rsidR="00285E1E">
          <w:instrText xml:space="preserve"> PAGEREF _Toc8256 \h </w:instrText>
        </w:r>
        <w:r>
          <w:fldChar w:fldCharType="separate"/>
        </w:r>
        <w:r w:rsidR="00285E1E">
          <w:t>60</w:t>
        </w:r>
        <w:r>
          <w:fldChar w:fldCharType="end"/>
        </w:r>
      </w:hyperlink>
    </w:p>
    <w:p w:rsidR="00925AC4" w:rsidRDefault="00925AC4" w:rsidP="008E7712">
      <w:pPr>
        <w:pStyle w:val="20"/>
        <w:tabs>
          <w:tab w:val="right" w:leader="dot" w:pos="8582"/>
        </w:tabs>
        <w:ind w:left="560" w:firstLine="560"/>
      </w:pPr>
      <w:hyperlink w:anchor="_Toc12191" w:history="1">
        <w:r w:rsidR="00285E1E">
          <w:rPr>
            <w:rFonts w:ascii="仿宋" w:eastAsia="仿宋" w:hAnsi="仿宋" w:cs="仿宋" w:hint="eastAsia"/>
            <w:szCs w:val="28"/>
          </w:rPr>
          <w:t>三、</w:t>
        </w:r>
        <w:r w:rsidR="00285E1E">
          <w:rPr>
            <w:rFonts w:ascii="仿宋" w:eastAsia="仿宋" w:hAnsi="仿宋" w:cs="仿宋" w:hint="eastAsia"/>
            <w:szCs w:val="28"/>
          </w:rPr>
          <w:t xml:space="preserve"> </w:t>
        </w:r>
        <w:r w:rsidR="00285E1E">
          <w:rPr>
            <w:rFonts w:ascii="仿宋" w:eastAsia="仿宋" w:hAnsi="仿宋" w:cs="仿宋" w:hint="eastAsia"/>
            <w:szCs w:val="18"/>
          </w:rPr>
          <w:t>规划设计要求</w:t>
        </w:r>
        <w:r w:rsidR="00285E1E">
          <w:tab/>
        </w:r>
        <w:r>
          <w:fldChar w:fldCharType="begin"/>
        </w:r>
        <w:r w:rsidR="00285E1E">
          <w:instrText xml:space="preserve"> PAGEREF _Toc12191 \h </w:instrText>
        </w:r>
        <w:r>
          <w:fldChar w:fldCharType="separate"/>
        </w:r>
        <w:r w:rsidR="00285E1E">
          <w:t>60</w:t>
        </w:r>
        <w:r>
          <w:fldChar w:fldCharType="end"/>
        </w:r>
      </w:hyperlink>
    </w:p>
    <w:p w:rsidR="00925AC4" w:rsidRDefault="00925AC4" w:rsidP="008E7712">
      <w:pPr>
        <w:pStyle w:val="20"/>
        <w:tabs>
          <w:tab w:val="right" w:leader="dot" w:pos="8582"/>
        </w:tabs>
        <w:ind w:left="560" w:firstLine="560"/>
      </w:pPr>
      <w:hyperlink w:anchor="_Toc7527" w:history="1">
        <w:r w:rsidR="00285E1E">
          <w:rPr>
            <w:rFonts w:ascii="仿宋" w:eastAsia="仿宋" w:hAnsi="仿宋" w:cs="仿宋" w:hint="eastAsia"/>
            <w:szCs w:val="28"/>
          </w:rPr>
          <w:t>四、</w:t>
        </w:r>
        <w:r w:rsidR="00285E1E">
          <w:rPr>
            <w:rFonts w:ascii="仿宋" w:eastAsia="仿宋" w:hAnsi="仿宋" w:cs="仿宋" w:hint="eastAsia"/>
            <w:szCs w:val="28"/>
          </w:rPr>
          <w:t xml:space="preserve"> </w:t>
        </w:r>
        <w:r w:rsidR="00285E1E">
          <w:rPr>
            <w:rFonts w:ascii="仿宋" w:eastAsia="仿宋" w:hAnsi="仿宋" w:cs="仿宋" w:hint="eastAsia"/>
            <w:szCs w:val="18"/>
          </w:rPr>
          <w:t>建筑基地面积计算</w:t>
        </w:r>
        <w:r w:rsidR="00285E1E">
          <w:tab/>
        </w:r>
        <w:r>
          <w:fldChar w:fldCharType="begin"/>
        </w:r>
        <w:r w:rsidR="00285E1E">
          <w:instrText xml:space="preserve"> PAGEREF _Toc7527 \h </w:instrText>
        </w:r>
        <w:r>
          <w:fldChar w:fldCharType="separate"/>
        </w:r>
        <w:r w:rsidR="00285E1E">
          <w:t>61</w:t>
        </w:r>
        <w:r>
          <w:fldChar w:fldCharType="end"/>
        </w:r>
      </w:hyperlink>
    </w:p>
    <w:p w:rsidR="00925AC4" w:rsidRDefault="00925AC4" w:rsidP="008E7712">
      <w:pPr>
        <w:pStyle w:val="20"/>
        <w:tabs>
          <w:tab w:val="right" w:leader="dot" w:pos="8582"/>
        </w:tabs>
        <w:ind w:left="560" w:firstLine="560"/>
      </w:pPr>
      <w:hyperlink w:anchor="_Toc28947" w:history="1">
        <w:r w:rsidR="00285E1E">
          <w:rPr>
            <w:rFonts w:ascii="仿宋" w:eastAsia="仿宋" w:hAnsi="仿宋" w:cs="仿宋" w:hint="eastAsia"/>
            <w:szCs w:val="28"/>
          </w:rPr>
          <w:t>五、</w:t>
        </w:r>
        <w:r w:rsidR="00285E1E">
          <w:rPr>
            <w:rFonts w:ascii="仿宋" w:eastAsia="仿宋" w:hAnsi="仿宋" w:cs="仿宋" w:hint="eastAsia"/>
            <w:szCs w:val="28"/>
          </w:rPr>
          <w:t xml:space="preserve"> </w:t>
        </w:r>
        <w:r w:rsidR="00285E1E">
          <w:rPr>
            <w:rFonts w:ascii="仿宋" w:eastAsia="仿宋" w:hAnsi="仿宋" w:cs="仿宋" w:hint="eastAsia"/>
            <w:szCs w:val="18"/>
          </w:rPr>
          <w:t>建筑密度计算规则</w:t>
        </w:r>
        <w:r w:rsidR="00285E1E">
          <w:tab/>
        </w:r>
        <w:r>
          <w:fldChar w:fldCharType="begin"/>
        </w:r>
        <w:r w:rsidR="00285E1E">
          <w:instrText xml:space="preserve"> PAGEREF _Toc28947 \h </w:instrText>
        </w:r>
        <w:r>
          <w:fldChar w:fldCharType="separate"/>
        </w:r>
        <w:r w:rsidR="00285E1E">
          <w:t>61</w:t>
        </w:r>
        <w:r>
          <w:fldChar w:fldCharType="end"/>
        </w:r>
      </w:hyperlink>
    </w:p>
    <w:p w:rsidR="00925AC4" w:rsidRDefault="00925AC4" w:rsidP="008E7712">
      <w:pPr>
        <w:pStyle w:val="20"/>
        <w:tabs>
          <w:tab w:val="right" w:leader="dot" w:pos="8582"/>
        </w:tabs>
        <w:ind w:left="560" w:firstLine="560"/>
      </w:pPr>
      <w:hyperlink w:anchor="_Toc3318" w:history="1">
        <w:r w:rsidR="00285E1E">
          <w:rPr>
            <w:rFonts w:ascii="仿宋" w:eastAsia="仿宋" w:hAnsi="仿宋" w:cs="仿宋" w:hint="eastAsia"/>
            <w:szCs w:val="28"/>
          </w:rPr>
          <w:t>六、</w:t>
        </w:r>
        <w:r w:rsidR="00285E1E">
          <w:rPr>
            <w:rFonts w:ascii="仿宋" w:eastAsia="仿宋" w:hAnsi="仿宋" w:cs="仿宋" w:hint="eastAsia"/>
            <w:szCs w:val="28"/>
          </w:rPr>
          <w:t xml:space="preserve"> </w:t>
        </w:r>
        <w:r w:rsidR="00285E1E">
          <w:rPr>
            <w:rFonts w:ascii="仿宋" w:eastAsia="仿宋" w:hAnsi="仿宋" w:cs="仿宋" w:hint="eastAsia"/>
            <w:szCs w:val="18"/>
          </w:rPr>
          <w:t>建筑高度计算</w:t>
        </w:r>
        <w:r w:rsidR="00285E1E">
          <w:tab/>
        </w:r>
        <w:r>
          <w:fldChar w:fldCharType="begin"/>
        </w:r>
        <w:r w:rsidR="00285E1E">
          <w:instrText xml:space="preserve"> PAGEREF _Toc3318 \h </w:instrText>
        </w:r>
        <w:r>
          <w:fldChar w:fldCharType="separate"/>
        </w:r>
        <w:r w:rsidR="00285E1E">
          <w:t>62</w:t>
        </w:r>
        <w:r>
          <w:fldChar w:fldCharType="end"/>
        </w:r>
      </w:hyperlink>
    </w:p>
    <w:p w:rsidR="00925AC4" w:rsidRDefault="00925AC4" w:rsidP="008E7712">
      <w:pPr>
        <w:pStyle w:val="20"/>
        <w:tabs>
          <w:tab w:val="right" w:leader="dot" w:pos="8582"/>
        </w:tabs>
        <w:ind w:left="560" w:firstLine="560"/>
      </w:pPr>
      <w:hyperlink w:anchor="_Toc27333" w:history="1">
        <w:r w:rsidR="00285E1E">
          <w:rPr>
            <w:rFonts w:ascii="仿宋" w:eastAsia="仿宋" w:hAnsi="仿宋" w:cs="仿宋" w:hint="eastAsia"/>
            <w:szCs w:val="28"/>
          </w:rPr>
          <w:t>七、</w:t>
        </w:r>
        <w:r w:rsidR="00285E1E">
          <w:rPr>
            <w:rFonts w:ascii="仿宋" w:eastAsia="仿宋" w:hAnsi="仿宋" w:cs="仿宋" w:hint="eastAsia"/>
            <w:szCs w:val="28"/>
          </w:rPr>
          <w:t xml:space="preserve"> </w:t>
        </w:r>
        <w:r w:rsidR="00285E1E">
          <w:rPr>
            <w:rFonts w:ascii="仿宋" w:eastAsia="仿宋" w:hAnsi="仿宋" w:cs="仿宋" w:hint="eastAsia"/>
            <w:szCs w:val="18"/>
          </w:rPr>
          <w:t>建筑层数计算</w:t>
        </w:r>
        <w:r w:rsidR="00285E1E">
          <w:tab/>
        </w:r>
        <w:r>
          <w:fldChar w:fldCharType="begin"/>
        </w:r>
        <w:r w:rsidR="00285E1E">
          <w:instrText xml:space="preserve"> PAGEREF _Toc27333 \h </w:instrText>
        </w:r>
        <w:r>
          <w:fldChar w:fldCharType="separate"/>
        </w:r>
        <w:r w:rsidR="00285E1E">
          <w:t>62</w:t>
        </w:r>
        <w:r>
          <w:fldChar w:fldCharType="end"/>
        </w:r>
      </w:hyperlink>
    </w:p>
    <w:p w:rsidR="00925AC4" w:rsidRDefault="00925AC4" w:rsidP="008E7712">
      <w:pPr>
        <w:pStyle w:val="20"/>
        <w:tabs>
          <w:tab w:val="right" w:leader="dot" w:pos="8582"/>
        </w:tabs>
        <w:ind w:left="560" w:firstLine="560"/>
      </w:pPr>
      <w:hyperlink w:anchor="_Toc6752" w:history="1">
        <w:r w:rsidR="00285E1E">
          <w:rPr>
            <w:rFonts w:ascii="仿宋" w:eastAsia="仿宋" w:hAnsi="仿宋" w:cs="仿宋" w:hint="eastAsia"/>
            <w:szCs w:val="28"/>
          </w:rPr>
          <w:t>八、</w:t>
        </w:r>
        <w:r w:rsidR="00285E1E">
          <w:rPr>
            <w:rFonts w:ascii="仿宋" w:eastAsia="仿宋" w:hAnsi="仿宋" w:cs="仿宋" w:hint="eastAsia"/>
            <w:szCs w:val="28"/>
          </w:rPr>
          <w:t xml:space="preserve"> </w:t>
        </w:r>
        <w:r w:rsidR="00285E1E">
          <w:rPr>
            <w:rFonts w:ascii="仿宋" w:eastAsia="仿宋" w:hAnsi="仿宋" w:cs="仿宋" w:hint="eastAsia"/>
            <w:szCs w:val="18"/>
          </w:rPr>
          <w:t>建筑间距、后退距离计算</w:t>
        </w:r>
        <w:r w:rsidR="00285E1E">
          <w:tab/>
        </w:r>
        <w:r>
          <w:fldChar w:fldCharType="begin"/>
        </w:r>
        <w:r w:rsidR="00285E1E">
          <w:instrText xml:space="preserve"> PAGEREF _Toc6752 \h </w:instrText>
        </w:r>
        <w:r>
          <w:fldChar w:fldCharType="separate"/>
        </w:r>
        <w:r w:rsidR="00285E1E">
          <w:t>63</w:t>
        </w:r>
        <w:r>
          <w:fldChar w:fldCharType="end"/>
        </w:r>
      </w:hyperlink>
    </w:p>
    <w:p w:rsidR="00925AC4" w:rsidRDefault="00925AC4" w:rsidP="008E7712">
      <w:pPr>
        <w:pStyle w:val="20"/>
        <w:tabs>
          <w:tab w:val="right" w:leader="dot" w:pos="8582"/>
        </w:tabs>
        <w:ind w:left="560" w:firstLine="560"/>
      </w:pPr>
      <w:hyperlink w:anchor="_Toc22572" w:history="1">
        <w:r w:rsidR="00285E1E">
          <w:rPr>
            <w:rFonts w:ascii="仿宋" w:eastAsia="仿宋" w:hAnsi="仿宋" w:cs="仿宋" w:hint="eastAsia"/>
            <w:szCs w:val="28"/>
          </w:rPr>
          <w:t>九、</w:t>
        </w:r>
        <w:r w:rsidR="00285E1E">
          <w:rPr>
            <w:rFonts w:ascii="仿宋" w:eastAsia="仿宋" w:hAnsi="仿宋" w:cs="仿宋" w:hint="eastAsia"/>
            <w:szCs w:val="28"/>
          </w:rPr>
          <w:t xml:space="preserve"> </w:t>
        </w:r>
        <w:r w:rsidR="00285E1E">
          <w:rPr>
            <w:rFonts w:ascii="仿宋" w:eastAsia="仿宋" w:hAnsi="仿宋" w:cs="仿宋" w:hint="eastAsia"/>
            <w:szCs w:val="18"/>
          </w:rPr>
          <w:t>绿地率计算规则</w:t>
        </w:r>
        <w:r w:rsidR="00285E1E">
          <w:tab/>
        </w:r>
        <w:r>
          <w:fldChar w:fldCharType="begin"/>
        </w:r>
        <w:r w:rsidR="00285E1E">
          <w:instrText xml:space="preserve"> PAGEREF _Toc22572 \h </w:instrText>
        </w:r>
        <w:r>
          <w:fldChar w:fldCharType="separate"/>
        </w:r>
        <w:r w:rsidR="00285E1E">
          <w:t>63</w:t>
        </w:r>
        <w:r>
          <w:fldChar w:fldCharType="end"/>
        </w:r>
      </w:hyperlink>
    </w:p>
    <w:p w:rsidR="00925AC4" w:rsidRDefault="00925AC4" w:rsidP="008E7712">
      <w:pPr>
        <w:pStyle w:val="10"/>
        <w:tabs>
          <w:tab w:val="right" w:leader="dot" w:pos="8582"/>
        </w:tabs>
        <w:ind w:firstLine="560"/>
      </w:pPr>
      <w:hyperlink w:anchor="_Toc480" w:history="1">
        <w:r w:rsidR="00285E1E">
          <w:rPr>
            <w:rFonts w:ascii="仿宋" w:eastAsia="仿宋" w:hAnsi="仿宋" w:cs="仿宋" w:hint="eastAsia"/>
            <w:szCs w:val="32"/>
          </w:rPr>
          <w:t>附录三</w:t>
        </w:r>
        <w:r w:rsidR="00285E1E">
          <w:rPr>
            <w:rFonts w:ascii="仿宋" w:eastAsia="仿宋" w:hAnsi="仿宋" w:cs="仿宋" w:hint="eastAsia"/>
            <w:szCs w:val="32"/>
          </w:rPr>
          <w:t xml:space="preserve">  </w:t>
        </w:r>
        <w:r w:rsidR="00285E1E">
          <w:rPr>
            <w:rFonts w:ascii="仿宋" w:eastAsia="仿宋" w:hAnsi="仿宋" w:cs="仿宋" w:hint="eastAsia"/>
            <w:szCs w:val="32"/>
          </w:rPr>
          <w:t>用地用海分类和代码</w:t>
        </w:r>
        <w:r w:rsidR="00285E1E">
          <w:tab/>
        </w:r>
        <w:r>
          <w:fldChar w:fldCharType="begin"/>
        </w:r>
        <w:r w:rsidR="00285E1E">
          <w:instrText xml:space="preserve"> PAGEREF _Toc480 \h </w:instrText>
        </w:r>
        <w:r>
          <w:fldChar w:fldCharType="separate"/>
        </w:r>
        <w:r w:rsidR="00285E1E">
          <w:t>67</w:t>
        </w:r>
        <w:r>
          <w:fldChar w:fldCharType="end"/>
        </w:r>
      </w:hyperlink>
    </w:p>
    <w:p w:rsidR="00925AC4" w:rsidRDefault="00925AC4" w:rsidP="008E7712">
      <w:pPr>
        <w:pStyle w:val="10"/>
        <w:tabs>
          <w:tab w:val="right" w:leader="dot" w:pos="8582"/>
        </w:tabs>
        <w:ind w:firstLine="560"/>
      </w:pPr>
      <w:hyperlink w:anchor="_Toc16558" w:history="1">
        <w:r w:rsidR="00285E1E">
          <w:rPr>
            <w:rFonts w:ascii="仿宋" w:eastAsia="仿宋" w:hAnsi="仿宋" w:cs="仿宋" w:hint="eastAsia"/>
            <w:szCs w:val="32"/>
          </w:rPr>
          <w:t>附录四</w:t>
        </w:r>
        <w:r w:rsidR="00285E1E">
          <w:rPr>
            <w:rFonts w:ascii="仿宋" w:eastAsia="仿宋" w:hAnsi="仿宋" w:cs="仿宋" w:hint="eastAsia"/>
            <w:szCs w:val="32"/>
          </w:rPr>
          <w:t xml:space="preserve">  </w:t>
        </w:r>
        <w:r w:rsidR="00285E1E">
          <w:rPr>
            <w:rFonts w:ascii="仿宋" w:eastAsia="仿宋" w:hAnsi="仿宋" w:cs="仿宋" w:hint="eastAsia"/>
            <w:szCs w:val="32"/>
          </w:rPr>
          <w:t>建设工程规划设计方案编制规定</w:t>
        </w:r>
        <w:r w:rsidR="00285E1E">
          <w:tab/>
        </w:r>
        <w:r>
          <w:fldChar w:fldCharType="begin"/>
        </w:r>
        <w:r w:rsidR="00285E1E">
          <w:instrText xml:space="preserve"> PAGEREF _Toc16558 \h </w:instrText>
        </w:r>
        <w:r>
          <w:fldChar w:fldCharType="separate"/>
        </w:r>
        <w:r w:rsidR="00285E1E">
          <w:t>72</w:t>
        </w:r>
        <w:r>
          <w:fldChar w:fldCharType="end"/>
        </w:r>
      </w:hyperlink>
    </w:p>
    <w:p w:rsidR="00925AC4" w:rsidRDefault="00925AC4" w:rsidP="008E7712">
      <w:pPr>
        <w:pStyle w:val="20"/>
        <w:tabs>
          <w:tab w:val="right" w:leader="dot" w:pos="8582"/>
        </w:tabs>
        <w:ind w:left="560" w:firstLine="560"/>
      </w:pPr>
      <w:hyperlink w:anchor="_Toc24824" w:history="1">
        <w:r w:rsidR="00285E1E">
          <w:rPr>
            <w:rFonts w:hint="eastAsia"/>
            <w:szCs w:val="28"/>
          </w:rPr>
          <w:t>一、</w:t>
        </w:r>
        <w:r w:rsidR="00285E1E">
          <w:rPr>
            <w:rFonts w:hint="eastAsia"/>
            <w:szCs w:val="28"/>
          </w:rPr>
          <w:t xml:space="preserve"> </w:t>
        </w:r>
        <w:r w:rsidR="00285E1E">
          <w:rPr>
            <w:rFonts w:ascii="仿宋" w:eastAsia="仿宋" w:hAnsi="仿宋" w:cs="仿宋" w:hint="eastAsia"/>
            <w:szCs w:val="28"/>
          </w:rPr>
          <w:t>内容要求</w:t>
        </w:r>
        <w:r w:rsidR="00285E1E">
          <w:tab/>
        </w:r>
        <w:r>
          <w:fldChar w:fldCharType="begin"/>
        </w:r>
        <w:r w:rsidR="00285E1E">
          <w:instrText xml:space="preserve"> PAGEREF _Toc24824 \h </w:instrText>
        </w:r>
        <w:r>
          <w:fldChar w:fldCharType="separate"/>
        </w:r>
        <w:r w:rsidR="00285E1E">
          <w:t>72</w:t>
        </w:r>
        <w:r>
          <w:fldChar w:fldCharType="end"/>
        </w:r>
      </w:hyperlink>
    </w:p>
    <w:p w:rsidR="00925AC4" w:rsidRDefault="00925AC4" w:rsidP="008E7712">
      <w:pPr>
        <w:pStyle w:val="20"/>
        <w:tabs>
          <w:tab w:val="right" w:leader="dot" w:pos="8582"/>
        </w:tabs>
        <w:ind w:left="560" w:firstLine="560"/>
      </w:pPr>
      <w:hyperlink w:anchor="_Toc30893" w:history="1">
        <w:r w:rsidR="00285E1E">
          <w:rPr>
            <w:rFonts w:hint="eastAsia"/>
            <w:szCs w:val="28"/>
          </w:rPr>
          <w:t>二、</w:t>
        </w:r>
        <w:r w:rsidR="00285E1E">
          <w:rPr>
            <w:rFonts w:hint="eastAsia"/>
            <w:szCs w:val="28"/>
          </w:rPr>
          <w:t xml:space="preserve"> </w:t>
        </w:r>
        <w:r w:rsidR="00285E1E">
          <w:rPr>
            <w:rFonts w:ascii="仿宋" w:eastAsia="仿宋" w:hAnsi="仿宋" w:cs="仿宋" w:hint="eastAsia"/>
            <w:szCs w:val="18"/>
          </w:rPr>
          <w:t>其他要求</w:t>
        </w:r>
        <w:r w:rsidR="00285E1E">
          <w:tab/>
        </w:r>
        <w:r>
          <w:fldChar w:fldCharType="begin"/>
        </w:r>
        <w:r w:rsidR="00285E1E">
          <w:instrText xml:space="preserve"> PAGEREF _Toc30893 \h </w:instrText>
        </w:r>
        <w:r>
          <w:fldChar w:fldCharType="separate"/>
        </w:r>
        <w:r w:rsidR="00285E1E">
          <w:t>74</w:t>
        </w:r>
        <w:r>
          <w:fldChar w:fldCharType="end"/>
        </w:r>
      </w:hyperlink>
    </w:p>
    <w:p w:rsidR="00925AC4" w:rsidRDefault="00925AC4" w:rsidP="008E7712">
      <w:pPr>
        <w:pStyle w:val="10"/>
        <w:tabs>
          <w:tab w:val="right" w:leader="dot" w:pos="8582"/>
        </w:tabs>
        <w:ind w:firstLine="560"/>
      </w:pPr>
      <w:hyperlink w:anchor="_Toc23488" w:history="1">
        <w:r w:rsidR="00285E1E">
          <w:rPr>
            <w:rFonts w:ascii="仿宋" w:eastAsia="仿宋" w:hAnsi="仿宋" w:cs="仿宋" w:hint="eastAsia"/>
            <w:szCs w:val="32"/>
          </w:rPr>
          <w:t>附表</w:t>
        </w:r>
        <w:r w:rsidR="00285E1E">
          <w:rPr>
            <w:rFonts w:ascii="仿宋" w:eastAsia="仿宋" w:hAnsi="仿宋" w:cs="仿宋" w:hint="eastAsia"/>
            <w:szCs w:val="32"/>
          </w:rPr>
          <w:t>1</w:t>
        </w:r>
        <w:r w:rsidR="00285E1E">
          <w:rPr>
            <w:rFonts w:ascii="仿宋" w:eastAsia="仿宋" w:hAnsi="仿宋" w:cs="仿宋" w:hint="eastAsia"/>
            <w:szCs w:val="32"/>
          </w:rPr>
          <w:t xml:space="preserve">  </w:t>
        </w:r>
        <w:r w:rsidR="00285E1E">
          <w:rPr>
            <w:rFonts w:ascii="仿宋" w:eastAsia="仿宋" w:hAnsi="仿宋" w:cs="仿宋" w:hint="eastAsia"/>
            <w:szCs w:val="32"/>
          </w:rPr>
          <w:t>综合技术经济指标</w:t>
        </w:r>
        <w:r w:rsidR="00285E1E">
          <w:tab/>
        </w:r>
        <w:r>
          <w:fldChar w:fldCharType="begin"/>
        </w:r>
        <w:r w:rsidR="00285E1E">
          <w:instrText xml:space="preserve"> PAGEREF _Toc23488 \h </w:instrText>
        </w:r>
        <w:r>
          <w:fldChar w:fldCharType="separate"/>
        </w:r>
        <w:r w:rsidR="00285E1E">
          <w:t>75</w:t>
        </w:r>
        <w:r>
          <w:fldChar w:fldCharType="end"/>
        </w:r>
      </w:hyperlink>
    </w:p>
    <w:p w:rsidR="00925AC4" w:rsidRDefault="00925AC4" w:rsidP="008E7712">
      <w:pPr>
        <w:pStyle w:val="10"/>
        <w:tabs>
          <w:tab w:val="right" w:leader="dot" w:pos="8582"/>
        </w:tabs>
        <w:ind w:firstLine="560"/>
      </w:pPr>
      <w:hyperlink w:anchor="_Toc14366" w:history="1">
        <w:r w:rsidR="00285E1E">
          <w:rPr>
            <w:rFonts w:ascii="仿宋" w:eastAsia="仿宋" w:hAnsi="仿宋" w:cs="仿宋" w:hint="eastAsia"/>
            <w:szCs w:val="32"/>
          </w:rPr>
          <w:t>附表</w:t>
        </w:r>
        <w:r w:rsidR="00285E1E">
          <w:rPr>
            <w:rFonts w:ascii="仿宋" w:eastAsia="仿宋" w:hAnsi="仿宋" w:cs="仿宋" w:hint="eastAsia"/>
            <w:szCs w:val="32"/>
          </w:rPr>
          <w:t>2</w:t>
        </w:r>
        <w:r w:rsidR="00285E1E">
          <w:rPr>
            <w:rFonts w:ascii="仿宋" w:eastAsia="仿宋" w:hAnsi="仿宋" w:cs="仿宋" w:hint="eastAsia"/>
            <w:szCs w:val="32"/>
          </w:rPr>
          <w:t xml:space="preserve">  </w:t>
        </w:r>
        <w:r w:rsidR="00285E1E">
          <w:rPr>
            <w:rFonts w:ascii="仿宋" w:eastAsia="仿宋" w:hAnsi="仿宋" w:cs="仿宋" w:hint="eastAsia"/>
            <w:szCs w:val="32"/>
          </w:rPr>
          <w:t>分项技术经济指标</w:t>
        </w:r>
        <w:r w:rsidR="00285E1E">
          <w:tab/>
        </w:r>
        <w:r>
          <w:fldChar w:fldCharType="begin"/>
        </w:r>
        <w:r w:rsidR="00285E1E">
          <w:instrText xml:space="preserve"> PAGEREF _Toc14366 \h </w:instrText>
        </w:r>
        <w:r>
          <w:fldChar w:fldCharType="separate"/>
        </w:r>
        <w:r w:rsidR="00285E1E">
          <w:t>77</w:t>
        </w:r>
        <w:r>
          <w:fldChar w:fldCharType="end"/>
        </w:r>
      </w:hyperlink>
    </w:p>
    <w:p w:rsidR="00925AC4" w:rsidRDefault="00925AC4" w:rsidP="008E7712">
      <w:pPr>
        <w:pStyle w:val="10"/>
        <w:tabs>
          <w:tab w:val="right" w:leader="dot" w:pos="8582"/>
        </w:tabs>
        <w:ind w:firstLine="560"/>
      </w:pPr>
      <w:hyperlink w:anchor="_Toc17843" w:history="1">
        <w:r w:rsidR="00285E1E">
          <w:rPr>
            <w:rFonts w:ascii="仿宋" w:eastAsia="仿宋" w:hAnsi="仿宋" w:cs="仿宋" w:hint="eastAsia"/>
            <w:szCs w:val="32"/>
          </w:rPr>
          <w:t>附表</w:t>
        </w:r>
        <w:r w:rsidR="00285E1E">
          <w:rPr>
            <w:rFonts w:ascii="仿宋" w:eastAsia="仿宋" w:hAnsi="仿宋" w:cs="仿宋" w:hint="eastAsia"/>
            <w:szCs w:val="32"/>
          </w:rPr>
          <w:t>3</w:t>
        </w:r>
        <w:r w:rsidR="00285E1E">
          <w:tab/>
        </w:r>
        <w:r>
          <w:fldChar w:fldCharType="begin"/>
        </w:r>
        <w:r w:rsidR="00285E1E">
          <w:instrText xml:space="preserve"> PAGEREF _Toc17843 \h </w:instrText>
        </w:r>
        <w:r>
          <w:fldChar w:fldCharType="separate"/>
        </w:r>
        <w:r w:rsidR="00285E1E">
          <w:t>78</w:t>
        </w:r>
        <w:r>
          <w:fldChar w:fldCharType="end"/>
        </w:r>
      </w:hyperlink>
    </w:p>
    <w:p w:rsidR="00925AC4" w:rsidRDefault="00925AC4">
      <w:pPr>
        <w:spacing w:line="240" w:lineRule="auto"/>
        <w:ind w:firstLineChars="0" w:firstLine="0"/>
        <w:jc w:val="center"/>
        <w:rPr>
          <w:rFonts w:ascii="仿宋" w:eastAsia="仿宋" w:hAnsi="仿宋" w:cs="仿宋"/>
          <w:color w:val="C00000"/>
        </w:rPr>
        <w:sectPr w:rsidR="00925AC4">
          <w:headerReference w:type="even" r:id="rId8"/>
          <w:headerReference w:type="default" r:id="rId9"/>
          <w:footerReference w:type="even" r:id="rId10"/>
          <w:footerReference w:type="default" r:id="rId11"/>
          <w:headerReference w:type="first" r:id="rId12"/>
          <w:footerReference w:type="first" r:id="rId13"/>
          <w:pgSz w:w="11900" w:h="16840"/>
          <w:pgMar w:top="1431" w:right="1533" w:bottom="1857" w:left="1785" w:header="0" w:footer="1550" w:gutter="0"/>
          <w:pgNumType w:start="1"/>
          <w:cols w:space="720"/>
        </w:sectPr>
      </w:pPr>
      <w:r>
        <w:rPr>
          <w:rFonts w:ascii="仿宋" w:eastAsia="仿宋" w:hAnsi="仿宋" w:cs="仿宋" w:hint="eastAsia"/>
          <w:color w:val="C00000"/>
        </w:rPr>
        <w:fldChar w:fldCharType="end"/>
      </w:r>
    </w:p>
    <w:p w:rsidR="00925AC4" w:rsidRDefault="00285E1E">
      <w:pPr>
        <w:pStyle w:val="1"/>
        <w:spacing w:line="240" w:lineRule="auto"/>
        <w:rPr>
          <w:rFonts w:ascii="仿宋" w:eastAsia="仿宋" w:hAnsi="仿宋" w:cs="仿宋"/>
          <w:color w:val="C00000"/>
          <w:szCs w:val="31"/>
        </w:rPr>
      </w:pPr>
      <w:bookmarkStart w:id="6" w:name="_bookmark1"/>
      <w:bookmarkStart w:id="7" w:name="_Toc11653"/>
      <w:bookmarkEnd w:id="6"/>
      <w:r>
        <w:rPr>
          <w:rFonts w:ascii="仿宋" w:eastAsia="仿宋" w:hAnsi="仿宋" w:cs="仿宋" w:hint="eastAsia"/>
          <w:color w:val="auto"/>
          <w:sz w:val="32"/>
          <w:szCs w:val="32"/>
        </w:rPr>
        <w:lastRenderedPageBreak/>
        <w:t>第一章</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总则</w:t>
      </w:r>
      <w:bookmarkEnd w:id="7"/>
    </w:p>
    <w:p w:rsidR="00925AC4" w:rsidRDefault="00285E1E" w:rsidP="008E7712">
      <w:pPr>
        <w:numPr>
          <w:ilvl w:val="0"/>
          <w:numId w:val="1"/>
        </w:numPr>
        <w:ind w:firstLine="560"/>
        <w:rPr>
          <w:rFonts w:ascii="仿宋" w:eastAsia="仿宋" w:hAnsi="仿宋" w:cs="仿宋"/>
          <w:color w:val="auto"/>
          <w:szCs w:val="28"/>
        </w:rPr>
      </w:pPr>
      <w:r>
        <w:rPr>
          <w:rFonts w:ascii="仿宋" w:eastAsia="仿宋" w:hAnsi="仿宋" w:cs="仿宋" w:hint="eastAsia"/>
          <w:color w:val="auto"/>
          <w:szCs w:val="28"/>
        </w:rPr>
        <w:t xml:space="preserve"> </w:t>
      </w:r>
      <w:r>
        <w:rPr>
          <w:rFonts w:ascii="仿宋" w:eastAsia="仿宋" w:hAnsi="仿宋" w:cs="仿宋" w:hint="eastAsia"/>
          <w:color w:val="auto"/>
          <w:szCs w:val="28"/>
        </w:rPr>
        <w:t>为加强国土空间规划管理，加快生态</w:t>
      </w:r>
      <w:r>
        <w:rPr>
          <w:rFonts w:ascii="仿宋" w:eastAsia="仿宋" w:hAnsi="仿宋" w:cs="仿宋" w:hint="eastAsia"/>
          <w:color w:val="auto"/>
          <w:spacing w:val="-1"/>
          <w:szCs w:val="28"/>
        </w:rPr>
        <w:t>城市建设，</w:t>
      </w:r>
      <w:r>
        <w:rPr>
          <w:rFonts w:ascii="仿宋" w:eastAsia="仿宋" w:hAnsi="仿宋" w:cs="仿宋" w:hint="eastAsia"/>
          <w:color w:val="auto"/>
          <w:spacing w:val="5"/>
          <w:szCs w:val="28"/>
        </w:rPr>
        <w:t>确保国土空间规划有效实施，促进城市有序、可持续发展，根据</w:t>
      </w:r>
      <w:r>
        <w:rPr>
          <w:rFonts w:ascii="仿宋" w:eastAsia="仿宋" w:hAnsi="仿宋" w:cs="仿宋" w:hint="eastAsia"/>
          <w:color w:val="auto"/>
          <w:szCs w:val="28"/>
        </w:rPr>
        <w:t>《中华人民共和国土地管理法》《中华人民共和国城乡规划法》</w:t>
      </w:r>
      <w:r>
        <w:rPr>
          <w:rFonts w:ascii="仿宋" w:eastAsia="仿宋" w:hAnsi="仿宋" w:cs="仿宋" w:hint="eastAsia"/>
          <w:color w:val="auto"/>
          <w:spacing w:val="9"/>
          <w:szCs w:val="28"/>
        </w:rPr>
        <w:t>《</w:t>
      </w:r>
      <w:r>
        <w:rPr>
          <w:rFonts w:ascii="仿宋" w:eastAsia="仿宋" w:hAnsi="仿宋" w:cs="仿宋" w:hint="eastAsia"/>
          <w:color w:val="auto"/>
          <w:spacing w:val="9"/>
          <w:szCs w:val="28"/>
        </w:rPr>
        <w:t>四川省</w:t>
      </w:r>
      <w:r>
        <w:rPr>
          <w:rFonts w:ascii="仿宋" w:eastAsia="仿宋" w:hAnsi="仿宋" w:cs="仿宋" w:hint="eastAsia"/>
          <w:color w:val="auto"/>
          <w:spacing w:val="9"/>
          <w:szCs w:val="28"/>
        </w:rPr>
        <w:t>城乡规划条例》</w:t>
      </w:r>
      <w:r>
        <w:rPr>
          <w:rFonts w:ascii="仿宋" w:eastAsia="仿宋" w:hAnsi="仿宋" w:cs="仿宋" w:hint="eastAsia"/>
          <w:color w:val="auto"/>
          <w:spacing w:val="9"/>
          <w:szCs w:val="28"/>
        </w:rPr>
        <w:t>,</w:t>
      </w:r>
      <w:r>
        <w:rPr>
          <w:rFonts w:ascii="仿宋" w:eastAsia="仿宋" w:hAnsi="仿宋" w:cs="仿宋" w:hint="eastAsia"/>
          <w:color w:val="auto"/>
          <w:spacing w:val="9"/>
          <w:szCs w:val="28"/>
        </w:rPr>
        <w:t>《中共中央国务院关于建</w:t>
      </w:r>
      <w:r>
        <w:rPr>
          <w:rFonts w:ascii="仿宋" w:eastAsia="仿宋" w:hAnsi="仿宋" w:cs="仿宋" w:hint="eastAsia"/>
          <w:color w:val="auto"/>
          <w:spacing w:val="8"/>
          <w:szCs w:val="28"/>
        </w:rPr>
        <w:t>立国土空</w:t>
      </w:r>
      <w:r>
        <w:rPr>
          <w:rFonts w:ascii="仿宋" w:eastAsia="仿宋" w:hAnsi="仿宋" w:cs="仿宋" w:hint="eastAsia"/>
          <w:color w:val="auto"/>
          <w:spacing w:val="15"/>
          <w:szCs w:val="28"/>
        </w:rPr>
        <w:t>间规划体系并监督实施的若干意见》</w:t>
      </w:r>
      <w:r>
        <w:rPr>
          <w:rFonts w:ascii="仿宋" w:eastAsia="仿宋" w:hAnsi="仿宋" w:cs="仿宋" w:hint="eastAsia"/>
          <w:color w:val="auto"/>
          <w:spacing w:val="15"/>
          <w:szCs w:val="28"/>
        </w:rPr>
        <w:t>(</w:t>
      </w:r>
      <w:r>
        <w:rPr>
          <w:rFonts w:ascii="仿宋" w:eastAsia="仿宋" w:hAnsi="仿宋" w:cs="仿宋" w:hint="eastAsia"/>
          <w:color w:val="auto"/>
          <w:spacing w:val="15"/>
          <w:szCs w:val="28"/>
        </w:rPr>
        <w:t>中发〔</w:t>
      </w:r>
      <w:r>
        <w:rPr>
          <w:rFonts w:ascii="仿宋" w:eastAsia="仿宋" w:hAnsi="仿宋" w:cs="仿宋" w:hint="eastAsia"/>
          <w:color w:val="auto"/>
          <w:spacing w:val="15"/>
          <w:szCs w:val="28"/>
        </w:rPr>
        <w:t>2019</w:t>
      </w:r>
      <w:r>
        <w:rPr>
          <w:rFonts w:ascii="仿宋" w:eastAsia="仿宋" w:hAnsi="仿宋" w:cs="仿宋" w:hint="eastAsia"/>
          <w:color w:val="auto"/>
          <w:spacing w:val="15"/>
          <w:szCs w:val="28"/>
        </w:rPr>
        <w:t>〕</w:t>
      </w:r>
      <w:r>
        <w:rPr>
          <w:rFonts w:ascii="仿宋" w:eastAsia="仿宋" w:hAnsi="仿宋" w:cs="仿宋" w:hint="eastAsia"/>
          <w:color w:val="auto"/>
          <w:spacing w:val="15"/>
          <w:szCs w:val="28"/>
        </w:rPr>
        <w:t>18</w:t>
      </w:r>
      <w:r>
        <w:rPr>
          <w:rFonts w:ascii="仿宋" w:eastAsia="仿宋" w:hAnsi="仿宋" w:cs="仿宋" w:hint="eastAsia"/>
          <w:color w:val="auto"/>
          <w:spacing w:val="15"/>
          <w:szCs w:val="28"/>
        </w:rPr>
        <w:t>号</w:t>
      </w:r>
      <w:r>
        <w:rPr>
          <w:rFonts w:ascii="仿宋" w:eastAsia="仿宋" w:hAnsi="仿宋" w:cs="仿宋" w:hint="eastAsia"/>
          <w:color w:val="auto"/>
          <w:spacing w:val="15"/>
          <w:szCs w:val="28"/>
        </w:rPr>
        <w:t>)</w:t>
      </w:r>
      <w:r>
        <w:rPr>
          <w:rFonts w:ascii="仿宋" w:eastAsia="仿宋" w:hAnsi="仿宋" w:cs="仿宋" w:hint="eastAsia"/>
          <w:color w:val="auto"/>
          <w:spacing w:val="15"/>
          <w:szCs w:val="28"/>
        </w:rPr>
        <w:t>、《中共四川省委办公厅</w:t>
      </w:r>
      <w:r>
        <w:rPr>
          <w:rFonts w:ascii="仿宋" w:eastAsia="仿宋" w:hAnsi="仿宋" w:cs="仿宋" w:hint="eastAsia"/>
          <w:color w:val="auto"/>
          <w:spacing w:val="15"/>
          <w:szCs w:val="28"/>
        </w:rPr>
        <w:t xml:space="preserve"> </w:t>
      </w:r>
      <w:r>
        <w:rPr>
          <w:rFonts w:ascii="仿宋" w:eastAsia="仿宋" w:hAnsi="仿宋" w:cs="仿宋" w:hint="eastAsia"/>
          <w:color w:val="auto"/>
          <w:spacing w:val="15"/>
          <w:szCs w:val="28"/>
        </w:rPr>
        <w:t>四川省人民政府办公厅关于四川省建立国土空间规划体系并监督实施的实施方案》（川委厅〔</w:t>
      </w:r>
      <w:r>
        <w:rPr>
          <w:rFonts w:ascii="仿宋" w:eastAsia="仿宋" w:hAnsi="仿宋" w:cs="仿宋" w:hint="eastAsia"/>
          <w:color w:val="auto"/>
          <w:spacing w:val="15"/>
          <w:szCs w:val="28"/>
        </w:rPr>
        <w:t>2020</w:t>
      </w:r>
      <w:r>
        <w:rPr>
          <w:rFonts w:ascii="仿宋" w:eastAsia="仿宋" w:hAnsi="仿宋" w:cs="仿宋" w:hint="eastAsia"/>
          <w:color w:val="auto"/>
          <w:spacing w:val="15"/>
          <w:szCs w:val="28"/>
        </w:rPr>
        <w:t>〕</w:t>
      </w:r>
      <w:r>
        <w:rPr>
          <w:rFonts w:ascii="仿宋" w:eastAsia="仿宋" w:hAnsi="仿宋" w:cs="仿宋" w:hint="eastAsia"/>
          <w:color w:val="auto"/>
          <w:spacing w:val="15"/>
          <w:szCs w:val="28"/>
        </w:rPr>
        <w:t>8</w:t>
      </w:r>
      <w:r>
        <w:rPr>
          <w:rFonts w:ascii="仿宋" w:eastAsia="仿宋" w:hAnsi="仿宋" w:cs="仿宋" w:hint="eastAsia"/>
          <w:color w:val="auto"/>
          <w:spacing w:val="15"/>
          <w:szCs w:val="28"/>
        </w:rPr>
        <w:t>号）等</w:t>
      </w:r>
      <w:r>
        <w:rPr>
          <w:rFonts w:ascii="仿宋" w:eastAsia="仿宋" w:hAnsi="仿宋" w:cs="仿宋" w:hint="eastAsia"/>
          <w:color w:val="auto"/>
          <w:spacing w:val="-2"/>
          <w:szCs w:val="28"/>
        </w:rPr>
        <w:t>法律、法规、规章及相关技术规范、技术标准，</w:t>
      </w:r>
      <w:r>
        <w:rPr>
          <w:rFonts w:ascii="仿宋" w:eastAsia="仿宋" w:hAnsi="仿宋" w:cs="仿宋" w:hint="eastAsia"/>
          <w:color w:val="auto"/>
          <w:spacing w:val="-3"/>
          <w:szCs w:val="28"/>
        </w:rPr>
        <w:t>结合</w:t>
      </w:r>
      <w:r>
        <w:rPr>
          <w:rFonts w:ascii="仿宋" w:eastAsia="仿宋" w:hAnsi="仿宋" w:cs="仿宋" w:hint="eastAsia"/>
          <w:color w:val="auto"/>
          <w:spacing w:val="-3"/>
          <w:szCs w:val="28"/>
        </w:rPr>
        <w:t>万源市</w:t>
      </w:r>
      <w:r>
        <w:rPr>
          <w:rFonts w:ascii="仿宋" w:eastAsia="仿宋" w:hAnsi="仿宋" w:cs="仿宋" w:hint="eastAsia"/>
          <w:color w:val="auto"/>
          <w:spacing w:val="-3"/>
          <w:szCs w:val="28"/>
        </w:rPr>
        <w:t>实际，</w:t>
      </w:r>
      <w:r>
        <w:rPr>
          <w:rFonts w:ascii="仿宋" w:eastAsia="仿宋" w:hAnsi="仿宋" w:cs="仿宋" w:hint="eastAsia"/>
          <w:color w:val="auto"/>
          <w:spacing w:val="-4"/>
          <w:szCs w:val="28"/>
        </w:rPr>
        <w:t>制定本规定。</w:t>
      </w:r>
    </w:p>
    <w:p w:rsidR="00925AC4" w:rsidRDefault="00285E1E" w:rsidP="008E7712">
      <w:pPr>
        <w:numPr>
          <w:ilvl w:val="0"/>
          <w:numId w:val="1"/>
        </w:numPr>
        <w:ind w:firstLine="560"/>
        <w:rPr>
          <w:rFonts w:ascii="仿宋" w:eastAsia="仿宋" w:hAnsi="仿宋" w:cs="仿宋"/>
          <w:color w:val="auto"/>
          <w:szCs w:val="28"/>
        </w:rPr>
      </w:pPr>
      <w:r>
        <w:rPr>
          <w:rFonts w:ascii="仿宋" w:eastAsia="仿宋" w:hAnsi="仿宋" w:cs="仿宋" w:hint="eastAsia"/>
          <w:color w:val="0000FF"/>
          <w:szCs w:val="28"/>
        </w:rPr>
        <w:t xml:space="preserve"> </w:t>
      </w:r>
      <w:r>
        <w:rPr>
          <w:rFonts w:ascii="仿宋" w:eastAsia="仿宋" w:hAnsi="仿宋" w:cs="仿宋" w:hint="eastAsia"/>
          <w:color w:val="auto"/>
          <w:szCs w:val="28"/>
        </w:rPr>
        <w:t>本规定适用于</w:t>
      </w:r>
      <w:r>
        <w:rPr>
          <w:rFonts w:ascii="仿宋" w:eastAsia="仿宋" w:hAnsi="仿宋" w:cs="仿宋" w:hint="eastAsia"/>
          <w:color w:val="auto"/>
          <w:szCs w:val="28"/>
        </w:rPr>
        <w:t>万源市</w:t>
      </w:r>
      <w:r>
        <w:rPr>
          <w:rFonts w:ascii="仿宋" w:eastAsia="仿宋" w:hAnsi="仿宋" w:cs="仿宋" w:hint="eastAsia"/>
          <w:color w:val="auto"/>
          <w:szCs w:val="28"/>
        </w:rPr>
        <w:t>市辖区城镇开发边界范围内新建、改建、扩建的各项规划建设管理活动。</w:t>
      </w:r>
    </w:p>
    <w:p w:rsidR="00925AC4" w:rsidRDefault="00285E1E" w:rsidP="008E7712">
      <w:pPr>
        <w:tabs>
          <w:tab w:val="left" w:pos="0"/>
        </w:tabs>
        <w:ind w:leftChars="200" w:left="560" w:firstLineChars="0" w:firstLine="0"/>
        <w:rPr>
          <w:rFonts w:ascii="仿宋" w:eastAsia="仿宋" w:hAnsi="仿宋" w:cs="仿宋"/>
          <w:color w:val="auto"/>
          <w:szCs w:val="28"/>
        </w:rPr>
      </w:pPr>
      <w:r>
        <w:rPr>
          <w:rFonts w:ascii="仿宋" w:eastAsia="仿宋" w:hAnsi="仿宋" w:cs="仿宋" w:hint="eastAsia"/>
          <w:color w:val="auto"/>
          <w:szCs w:val="28"/>
        </w:rPr>
        <w:t>本规定也适用于详细规划、专业规划及专项规划的编制。</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在本市辖区城镇开发边界范围外实施建设的，其有关修建性详细规</w:t>
      </w:r>
      <w:r>
        <w:rPr>
          <w:rFonts w:ascii="仿宋" w:eastAsia="仿宋" w:hAnsi="仿宋" w:cs="仿宋" w:hint="eastAsia"/>
          <w:color w:val="auto"/>
          <w:szCs w:val="28"/>
        </w:rPr>
        <w:t xml:space="preserve"> </w:t>
      </w:r>
      <w:r>
        <w:rPr>
          <w:rFonts w:ascii="仿宋" w:eastAsia="仿宋" w:hAnsi="仿宋" w:cs="仿宋" w:hint="eastAsia"/>
          <w:color w:val="auto"/>
          <w:szCs w:val="28"/>
        </w:rPr>
        <w:t>划或者规划总平面图的编制应当符合本规定。</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临时建设、城镇房屋解危改造等建设项目的规划管理按照市人民政府有关规定执行。</w:t>
      </w:r>
    </w:p>
    <w:p w:rsidR="00925AC4" w:rsidRDefault="00285E1E" w:rsidP="008E7712">
      <w:pPr>
        <w:numPr>
          <w:ilvl w:val="0"/>
          <w:numId w:val="1"/>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各类建设项目的建设用地规划管理、建设工程规划管理应以城市设计、城市导则为重要手段，提升城市品质，强化精细化管理，并按已批准的控制性详细规划</w:t>
      </w:r>
      <w:r>
        <w:rPr>
          <w:rFonts w:ascii="仿宋" w:eastAsia="仿宋" w:hAnsi="仿宋" w:cs="仿宋" w:hint="eastAsia"/>
          <w:color w:val="auto"/>
        </w:rPr>
        <w:t>(</w:t>
      </w:r>
      <w:r>
        <w:rPr>
          <w:rFonts w:ascii="仿宋" w:eastAsia="仿宋" w:hAnsi="仿宋" w:cs="仿宋" w:hint="eastAsia"/>
          <w:color w:val="auto"/>
        </w:rPr>
        <w:t>以下简称控规</w:t>
      </w:r>
      <w:r>
        <w:rPr>
          <w:rFonts w:ascii="仿宋" w:eastAsia="仿宋" w:hAnsi="仿宋" w:cs="仿宋" w:hint="eastAsia"/>
          <w:color w:val="auto"/>
        </w:rPr>
        <w:t>)</w:t>
      </w:r>
      <w:r>
        <w:rPr>
          <w:rFonts w:ascii="仿宋" w:eastAsia="仿宋" w:hAnsi="仿宋" w:cs="仿宋" w:hint="eastAsia"/>
          <w:color w:val="auto"/>
        </w:rPr>
        <w:t>要求执行。</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当控规未明确或本规定标准高于控规时，按照本规定执行。</w:t>
      </w:r>
    </w:p>
    <w:p w:rsidR="00925AC4" w:rsidRDefault="00285E1E" w:rsidP="008E7712">
      <w:pPr>
        <w:numPr>
          <w:ilvl w:val="0"/>
          <w:numId w:val="1"/>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各类建设工程必须按规划建设行政许可附图进行施工，确需变更建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筑物使用性质、高度、位置、平面、立面、建筑外墙色彩及材料的，应按原审批程序报原审批机关批准。</w:t>
      </w:r>
    </w:p>
    <w:p w:rsidR="00925AC4" w:rsidRDefault="00285E1E" w:rsidP="008E7712">
      <w:pPr>
        <w:numPr>
          <w:ilvl w:val="0"/>
          <w:numId w:val="1"/>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本规定未包</w:t>
      </w:r>
      <w:r>
        <w:rPr>
          <w:rFonts w:ascii="仿宋" w:eastAsia="仿宋" w:hAnsi="仿宋" w:cs="仿宋" w:hint="eastAsia"/>
          <w:color w:val="auto"/>
        </w:rPr>
        <w:t>括的内容，按现行的有关法律法规及有关技术规范执行。</w:t>
      </w:r>
    </w:p>
    <w:p w:rsidR="00925AC4" w:rsidRDefault="00285E1E" w:rsidP="008E7712">
      <w:pPr>
        <w:numPr>
          <w:ilvl w:val="0"/>
          <w:numId w:val="1"/>
        </w:numPr>
        <w:ind w:firstLine="560"/>
        <w:rPr>
          <w:rFonts w:ascii="仿宋" w:eastAsia="仿宋" w:hAnsi="仿宋" w:cs="仿宋"/>
          <w:color w:val="auto"/>
        </w:rPr>
      </w:pPr>
      <w:r>
        <w:rPr>
          <w:rFonts w:ascii="仿宋" w:eastAsia="仿宋" w:hAnsi="仿宋" w:cs="仿宋" w:hint="eastAsia"/>
          <w:color w:val="0000FF"/>
        </w:rPr>
        <w:lastRenderedPageBreak/>
        <w:t xml:space="preserve"> </w:t>
      </w:r>
      <w:r>
        <w:rPr>
          <w:rFonts w:ascii="仿宋" w:eastAsia="仿宋" w:hAnsi="仿宋" w:cs="仿宋" w:hint="eastAsia"/>
          <w:color w:val="auto"/>
        </w:rPr>
        <w:t>与国土空间规划有关的规划成果、相关图纸，一律采用</w:t>
      </w:r>
      <w:r>
        <w:rPr>
          <w:rFonts w:ascii="仿宋" w:eastAsia="仿宋" w:hAnsi="仿宋" w:cs="仿宋" w:hint="eastAsia"/>
          <w:color w:val="auto"/>
        </w:rPr>
        <w:t>2000</w:t>
      </w:r>
      <w:r>
        <w:rPr>
          <w:rFonts w:ascii="仿宋" w:eastAsia="仿宋" w:hAnsi="仿宋" w:cs="仿宋" w:hint="eastAsia"/>
          <w:color w:val="auto"/>
        </w:rPr>
        <w:t>国家大地坐标系和</w:t>
      </w:r>
      <w:r>
        <w:rPr>
          <w:rFonts w:ascii="仿宋" w:eastAsia="仿宋" w:hAnsi="仿宋" w:cs="仿宋" w:hint="eastAsia"/>
          <w:color w:val="auto"/>
        </w:rPr>
        <w:t>1985</w:t>
      </w:r>
      <w:r>
        <w:rPr>
          <w:rFonts w:ascii="仿宋" w:eastAsia="仿宋" w:hAnsi="仿宋" w:cs="仿宋" w:hint="eastAsia"/>
          <w:color w:val="auto"/>
        </w:rPr>
        <w:t>国家高程基准。</w:t>
      </w:r>
    </w:p>
    <w:p w:rsidR="00925AC4" w:rsidRDefault="00285E1E" w:rsidP="008E7712">
      <w:pPr>
        <w:numPr>
          <w:ilvl w:val="0"/>
          <w:numId w:val="1"/>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本规定由万源市自然资源局负责解释。</w:t>
      </w:r>
    </w:p>
    <w:p w:rsidR="00925AC4" w:rsidRDefault="00285E1E">
      <w:pPr>
        <w:pStyle w:val="1"/>
        <w:rPr>
          <w:rFonts w:ascii="仿宋" w:eastAsia="仿宋" w:hAnsi="仿宋" w:cs="仿宋"/>
          <w:color w:val="auto"/>
          <w:sz w:val="32"/>
          <w:szCs w:val="32"/>
        </w:rPr>
      </w:pPr>
      <w:r>
        <w:rPr>
          <w:rFonts w:ascii="仿宋" w:eastAsia="仿宋" w:hAnsi="仿宋" w:cs="仿宋" w:hint="eastAsia"/>
          <w:color w:val="0000FF"/>
        </w:rPr>
        <w:br w:type="page"/>
      </w:r>
      <w:bookmarkStart w:id="8" w:name="_Toc26798"/>
      <w:r>
        <w:rPr>
          <w:rFonts w:ascii="仿宋" w:eastAsia="仿宋" w:hAnsi="仿宋" w:cs="仿宋" w:hint="eastAsia"/>
          <w:color w:val="auto"/>
          <w:sz w:val="32"/>
          <w:szCs w:val="32"/>
        </w:rPr>
        <w:lastRenderedPageBreak/>
        <w:t>第二章</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建设用地规划管理</w:t>
      </w:r>
      <w:bookmarkEnd w:id="8"/>
    </w:p>
    <w:p w:rsidR="00925AC4" w:rsidRDefault="00285E1E">
      <w:pPr>
        <w:pStyle w:val="2"/>
        <w:numPr>
          <w:ilvl w:val="0"/>
          <w:numId w:val="2"/>
        </w:numPr>
        <w:ind w:firstLine="602"/>
        <w:rPr>
          <w:rFonts w:ascii="仿宋" w:eastAsia="仿宋" w:hAnsi="仿宋" w:cs="仿宋"/>
          <w:color w:val="auto"/>
          <w:szCs w:val="31"/>
        </w:rPr>
      </w:pPr>
      <w:bookmarkStart w:id="9" w:name="_Toc8290"/>
      <w:r>
        <w:rPr>
          <w:rFonts w:ascii="仿宋" w:eastAsia="仿宋" w:hAnsi="仿宋" w:cs="仿宋" w:hint="eastAsia"/>
          <w:color w:val="auto"/>
          <w:sz w:val="30"/>
          <w:szCs w:val="30"/>
        </w:rPr>
        <w:t>建设用地性质及兼容</w:t>
      </w:r>
      <w:bookmarkEnd w:id="9"/>
    </w:p>
    <w:p w:rsidR="00925AC4" w:rsidRDefault="00285E1E" w:rsidP="008E7712">
      <w:pPr>
        <w:numPr>
          <w:ilvl w:val="0"/>
          <w:numId w:val="3"/>
        </w:numPr>
        <w:ind w:firstLine="562"/>
        <w:rPr>
          <w:rFonts w:ascii="仿宋" w:eastAsia="仿宋" w:hAnsi="仿宋" w:cs="仿宋"/>
          <w:b/>
          <w:bCs/>
          <w:color w:val="auto"/>
        </w:rPr>
      </w:pPr>
      <w:r>
        <w:rPr>
          <w:rFonts w:ascii="仿宋" w:eastAsia="仿宋" w:hAnsi="仿宋" w:cs="仿宋" w:hint="eastAsia"/>
          <w:b/>
          <w:bCs/>
          <w:color w:val="auto"/>
        </w:rPr>
        <w:t xml:space="preserve"> </w:t>
      </w:r>
      <w:r>
        <w:rPr>
          <w:rFonts w:ascii="仿宋" w:eastAsia="仿宋" w:hAnsi="仿宋" w:cs="仿宋" w:hint="eastAsia"/>
          <w:b/>
          <w:bCs/>
          <w:color w:val="auto"/>
        </w:rPr>
        <w:t>用地分类</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万源城市建设用地应根据《国土空间调查、规划、用途管制用地用海分类指南》</w:t>
      </w:r>
      <w:r>
        <w:rPr>
          <w:rFonts w:ascii="仿宋" w:eastAsia="仿宋" w:hAnsi="仿宋" w:cs="仿宋" w:hint="eastAsia"/>
          <w:color w:val="auto"/>
          <w:szCs w:val="28"/>
        </w:rPr>
        <w:t>(</w:t>
      </w:r>
      <w:r>
        <w:rPr>
          <w:rFonts w:ascii="仿宋" w:eastAsia="仿宋" w:hAnsi="仿宋" w:cs="仿宋" w:hint="eastAsia"/>
          <w:color w:val="auto"/>
          <w:szCs w:val="28"/>
        </w:rPr>
        <w:t>试行</w:t>
      </w:r>
      <w:r>
        <w:rPr>
          <w:rFonts w:ascii="仿宋" w:eastAsia="仿宋" w:hAnsi="仿宋" w:cs="仿宋" w:hint="eastAsia"/>
          <w:color w:val="auto"/>
          <w:szCs w:val="28"/>
        </w:rPr>
        <w:t>),</w:t>
      </w:r>
      <w:r>
        <w:rPr>
          <w:rFonts w:ascii="仿宋" w:eastAsia="仿宋" w:hAnsi="仿宋" w:cs="仿宋" w:hint="eastAsia"/>
          <w:color w:val="auto"/>
          <w:szCs w:val="28"/>
        </w:rPr>
        <w:t>按主要用途进行分类。</w:t>
      </w:r>
    </w:p>
    <w:p w:rsidR="00925AC4" w:rsidRDefault="00285E1E" w:rsidP="008E7712">
      <w:pPr>
        <w:numPr>
          <w:ilvl w:val="0"/>
          <w:numId w:val="3"/>
        </w:numPr>
        <w:ind w:firstLine="562"/>
        <w:rPr>
          <w:rFonts w:ascii="仿宋" w:eastAsia="仿宋" w:hAnsi="仿宋" w:cs="仿宋"/>
          <w:b/>
          <w:bCs/>
          <w:color w:val="auto"/>
        </w:rPr>
      </w:pPr>
      <w:r>
        <w:rPr>
          <w:rFonts w:ascii="仿宋" w:eastAsia="仿宋" w:hAnsi="仿宋" w:cs="仿宋" w:hint="eastAsia"/>
          <w:b/>
          <w:bCs/>
          <w:color w:val="auto"/>
        </w:rPr>
        <w:t xml:space="preserve"> </w:t>
      </w:r>
      <w:r>
        <w:rPr>
          <w:rFonts w:ascii="仿宋" w:eastAsia="仿宋" w:hAnsi="仿宋" w:cs="仿宋" w:hint="eastAsia"/>
          <w:b/>
          <w:bCs/>
          <w:color w:val="auto"/>
        </w:rPr>
        <w:t>规划用地兼容性质</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建设用地的使用应遵循兼容性原则；控规已明确兼容性内容的，按控规执行；控规未明确兼容性内容的，如需兼容应专项论证。</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兼容分为选择性兼容和混合性兼容两类。</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选择性兼容的，应当明确兼容性质对应的规划指标，并在土地出让或者划拨前，选定一项用地性质及其对应的规划指标进行管理。</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混合性兼容的，用地性质编号排在首位的为主要用地性质，其后的为兼容用地性质，按照以下规定执行：</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w:t>
      </w:r>
      <w:r>
        <w:rPr>
          <w:rFonts w:ascii="仿宋" w:eastAsia="仿宋" w:hAnsi="仿宋" w:cs="仿宋" w:hint="eastAsia"/>
          <w:color w:val="auto"/>
          <w:szCs w:val="28"/>
        </w:rPr>
        <w:t>一</w:t>
      </w:r>
      <w:r>
        <w:rPr>
          <w:rFonts w:ascii="仿宋" w:eastAsia="仿宋" w:hAnsi="仿宋" w:cs="仿宋" w:hint="eastAsia"/>
          <w:color w:val="auto"/>
          <w:szCs w:val="28"/>
        </w:rPr>
        <w:t>)</w:t>
      </w:r>
      <w:r>
        <w:rPr>
          <w:rFonts w:ascii="仿宋" w:eastAsia="仿宋" w:hAnsi="仿宋" w:cs="仿宋" w:hint="eastAsia"/>
          <w:color w:val="auto"/>
          <w:szCs w:val="28"/>
        </w:rPr>
        <w:t>兼容性质的选择应当符合规划用地混合性兼容规定表</w:t>
      </w:r>
      <w:r>
        <w:rPr>
          <w:rFonts w:ascii="仿宋" w:eastAsia="仿宋" w:hAnsi="仿宋" w:cs="仿宋" w:hint="eastAsia"/>
          <w:color w:val="auto"/>
          <w:szCs w:val="28"/>
        </w:rPr>
        <w:t xml:space="preserve"> (</w:t>
      </w:r>
      <w:r>
        <w:rPr>
          <w:rFonts w:ascii="仿宋" w:eastAsia="仿宋" w:hAnsi="仿宋" w:cs="仿宋" w:hint="eastAsia"/>
          <w:color w:val="auto"/>
          <w:szCs w:val="28"/>
        </w:rPr>
        <w:t>附表</w:t>
      </w:r>
      <w:r>
        <w:rPr>
          <w:rFonts w:ascii="仿宋" w:eastAsia="仿宋" w:hAnsi="仿宋" w:cs="仿宋" w:hint="eastAsia"/>
          <w:color w:val="auto"/>
          <w:szCs w:val="28"/>
        </w:rPr>
        <w:t>3)</w:t>
      </w:r>
      <w:r>
        <w:rPr>
          <w:rFonts w:ascii="仿宋" w:eastAsia="仿宋" w:hAnsi="仿宋" w:cs="仿宋" w:hint="eastAsia"/>
          <w:color w:val="auto"/>
          <w:szCs w:val="28"/>
        </w:rPr>
        <w:t>的规定；</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w:t>
      </w:r>
      <w:r>
        <w:rPr>
          <w:rFonts w:ascii="仿宋" w:eastAsia="仿宋" w:hAnsi="仿宋" w:cs="仿宋" w:hint="eastAsia"/>
          <w:color w:val="auto"/>
          <w:szCs w:val="28"/>
        </w:rPr>
        <w:t>二</w:t>
      </w:r>
      <w:r>
        <w:rPr>
          <w:rFonts w:ascii="仿宋" w:eastAsia="仿宋" w:hAnsi="仿宋" w:cs="仿宋" w:hint="eastAsia"/>
          <w:color w:val="auto"/>
          <w:szCs w:val="28"/>
        </w:rPr>
        <w:t>)</w:t>
      </w:r>
      <w:r>
        <w:rPr>
          <w:rFonts w:ascii="仿宋" w:eastAsia="仿宋" w:hAnsi="仿宋" w:cs="仿宋" w:hint="eastAsia"/>
          <w:color w:val="auto"/>
          <w:szCs w:val="28"/>
        </w:rPr>
        <w:t>在土地出让或者划拨前，明确主要用地性质和兼容性质的计容建筑面积比例，其主要用地性质对应的计容建筑面积应当大于规划用地总计容建筑面积的</w:t>
      </w:r>
      <w:r>
        <w:rPr>
          <w:rFonts w:ascii="仿宋" w:eastAsia="仿宋" w:hAnsi="仿宋" w:cs="仿宋" w:hint="eastAsia"/>
          <w:color w:val="auto"/>
          <w:szCs w:val="28"/>
        </w:rPr>
        <w:t>50%</w:t>
      </w:r>
      <w:r>
        <w:rPr>
          <w:rFonts w:ascii="仿宋" w:eastAsia="仿宋" w:hAnsi="仿宋" w:cs="仿宋" w:hint="eastAsia"/>
          <w:color w:val="auto"/>
          <w:szCs w:val="28"/>
        </w:rPr>
        <w:t>；</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w:t>
      </w:r>
      <w:r>
        <w:rPr>
          <w:rFonts w:ascii="仿宋" w:eastAsia="仿宋" w:hAnsi="仿宋" w:cs="仿宋" w:hint="eastAsia"/>
          <w:color w:val="auto"/>
          <w:szCs w:val="28"/>
        </w:rPr>
        <w:t>三</w:t>
      </w:r>
      <w:r>
        <w:rPr>
          <w:rFonts w:ascii="仿宋" w:eastAsia="仿宋" w:hAnsi="仿宋" w:cs="仿宋" w:hint="eastAsia"/>
          <w:color w:val="auto"/>
          <w:szCs w:val="28"/>
        </w:rPr>
        <w:t>)</w:t>
      </w:r>
      <w:r>
        <w:rPr>
          <w:rFonts w:ascii="仿宋" w:eastAsia="仿宋" w:hAnsi="仿宋" w:cs="仿宋" w:hint="eastAsia"/>
          <w:color w:val="auto"/>
          <w:szCs w:val="28"/>
        </w:rPr>
        <w:t>商业商务用地混合性兼容</w:t>
      </w:r>
      <w:r>
        <w:rPr>
          <w:rFonts w:ascii="仿宋" w:eastAsia="仿宋" w:hAnsi="仿宋" w:cs="仿宋" w:hint="eastAsia"/>
          <w:color w:val="auto"/>
          <w:szCs w:val="28"/>
        </w:rPr>
        <w:t>(0901/0</w:t>
      </w:r>
      <w:r>
        <w:rPr>
          <w:rFonts w:ascii="仿宋" w:eastAsia="仿宋" w:hAnsi="仿宋" w:cs="仿宋" w:hint="eastAsia"/>
          <w:color w:val="auto"/>
          <w:szCs w:val="28"/>
        </w:rPr>
        <w:t>902)</w:t>
      </w:r>
      <w:r>
        <w:rPr>
          <w:rFonts w:ascii="仿宋" w:eastAsia="仿宋" w:hAnsi="仿宋" w:cs="仿宋" w:hint="eastAsia"/>
          <w:color w:val="auto"/>
          <w:szCs w:val="28"/>
        </w:rPr>
        <w:t>以及商业用地</w:t>
      </w:r>
      <w:r>
        <w:rPr>
          <w:rFonts w:ascii="仿宋" w:eastAsia="仿宋" w:hAnsi="仿宋" w:cs="仿宋" w:hint="eastAsia"/>
          <w:color w:val="auto"/>
          <w:szCs w:val="28"/>
        </w:rPr>
        <w:t>(0901)</w:t>
      </w:r>
      <w:r>
        <w:rPr>
          <w:rFonts w:ascii="仿宋" w:eastAsia="仿宋" w:hAnsi="仿宋" w:cs="仿宋" w:hint="eastAsia"/>
          <w:color w:val="auto"/>
          <w:szCs w:val="28"/>
        </w:rPr>
        <w:t>、</w:t>
      </w:r>
      <w:r>
        <w:rPr>
          <w:rFonts w:ascii="仿宋" w:eastAsia="仿宋" w:hAnsi="仿宋" w:cs="仿宋" w:hint="eastAsia"/>
          <w:color w:val="auto"/>
          <w:szCs w:val="28"/>
        </w:rPr>
        <w:t xml:space="preserve"> </w:t>
      </w:r>
      <w:r>
        <w:rPr>
          <w:rFonts w:ascii="仿宋" w:eastAsia="仿宋" w:hAnsi="仿宋" w:cs="仿宋" w:hint="eastAsia"/>
          <w:color w:val="auto"/>
          <w:szCs w:val="28"/>
        </w:rPr>
        <w:t>商务金融用地</w:t>
      </w:r>
      <w:r>
        <w:rPr>
          <w:rFonts w:ascii="仿宋" w:eastAsia="仿宋" w:hAnsi="仿宋" w:cs="仿宋" w:hint="eastAsia"/>
          <w:color w:val="auto"/>
          <w:szCs w:val="28"/>
        </w:rPr>
        <w:t>(0902)</w:t>
      </w:r>
      <w:r>
        <w:rPr>
          <w:rFonts w:ascii="仿宋" w:eastAsia="仿宋" w:hAnsi="仿宋" w:cs="仿宋" w:hint="eastAsia"/>
          <w:color w:val="auto"/>
          <w:szCs w:val="28"/>
        </w:rPr>
        <w:t>与其他用地性质兼容的，商业商务用地之间的计容建筑面积比例可以不作要求，但控制性详细规划中有明确规定的，从其规定；</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w:t>
      </w:r>
      <w:r>
        <w:rPr>
          <w:rFonts w:ascii="仿宋" w:eastAsia="仿宋" w:hAnsi="仿宋" w:cs="仿宋" w:hint="eastAsia"/>
          <w:color w:val="auto"/>
          <w:szCs w:val="28"/>
        </w:rPr>
        <w:t>四</w:t>
      </w:r>
      <w:r>
        <w:rPr>
          <w:rFonts w:ascii="仿宋" w:eastAsia="仿宋" w:hAnsi="仿宋" w:cs="仿宋" w:hint="eastAsia"/>
          <w:color w:val="auto"/>
          <w:szCs w:val="28"/>
        </w:rPr>
        <w:t>)</w:t>
      </w:r>
      <w:r>
        <w:rPr>
          <w:rFonts w:ascii="仿宋" w:eastAsia="仿宋" w:hAnsi="仿宋" w:cs="仿宋" w:hint="eastAsia"/>
          <w:color w:val="auto"/>
          <w:szCs w:val="28"/>
        </w:rPr>
        <w:t>对绿地、广场、交通设施、公用设施等用地复合使用的，各用地性质的计容建筑面积比例依据经审定的土地复合使用设计方案确定。</w:t>
      </w:r>
    </w:p>
    <w:p w:rsidR="00925AC4" w:rsidRDefault="00285E1E" w:rsidP="008E7712">
      <w:pPr>
        <w:numPr>
          <w:ilvl w:val="0"/>
          <w:numId w:val="3"/>
        </w:numPr>
        <w:ind w:firstLine="562"/>
        <w:rPr>
          <w:rFonts w:ascii="仿宋" w:eastAsia="仿宋" w:hAnsi="仿宋" w:cs="仿宋"/>
          <w:b/>
          <w:bCs/>
          <w:color w:val="auto"/>
        </w:rPr>
      </w:pPr>
      <w:r>
        <w:rPr>
          <w:rFonts w:ascii="仿宋" w:eastAsia="仿宋" w:hAnsi="仿宋" w:cs="仿宋" w:hint="eastAsia"/>
          <w:b/>
          <w:bCs/>
          <w:color w:val="auto"/>
        </w:rPr>
        <w:lastRenderedPageBreak/>
        <w:t xml:space="preserve"> </w:t>
      </w:r>
      <w:r>
        <w:rPr>
          <w:rFonts w:ascii="仿宋" w:eastAsia="仿宋" w:hAnsi="仿宋" w:cs="仿宋" w:hint="eastAsia"/>
          <w:b/>
          <w:bCs/>
          <w:color w:val="auto"/>
        </w:rPr>
        <w:t>商住比例</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城镇住宅用地</w:t>
      </w:r>
      <w:r>
        <w:rPr>
          <w:rFonts w:ascii="仿宋" w:eastAsia="仿宋" w:hAnsi="仿宋" w:cs="仿宋" w:hint="eastAsia"/>
          <w:color w:val="auto"/>
          <w:szCs w:val="28"/>
        </w:rPr>
        <w:t>(0701)</w:t>
      </w:r>
      <w:r>
        <w:rPr>
          <w:rFonts w:ascii="仿宋" w:eastAsia="仿宋" w:hAnsi="仿宋" w:cs="仿宋" w:hint="eastAsia"/>
          <w:color w:val="auto"/>
          <w:szCs w:val="28"/>
        </w:rPr>
        <w:t>和商业服务业用地</w:t>
      </w:r>
      <w:r>
        <w:rPr>
          <w:rFonts w:ascii="仿宋" w:eastAsia="仿宋" w:hAnsi="仿宋" w:cs="仿宋" w:hint="eastAsia"/>
          <w:color w:val="auto"/>
          <w:szCs w:val="28"/>
        </w:rPr>
        <w:t>(09)</w:t>
      </w:r>
      <w:r>
        <w:rPr>
          <w:rFonts w:ascii="仿宋" w:eastAsia="仿宋" w:hAnsi="仿宋" w:cs="仿宋" w:hint="eastAsia"/>
          <w:color w:val="auto"/>
          <w:szCs w:val="28"/>
        </w:rPr>
        <w:t>混合性兼容的，其计容建筑面积比例按照以下规定执行：</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w:t>
      </w:r>
      <w:r>
        <w:rPr>
          <w:rFonts w:ascii="仿宋" w:eastAsia="仿宋" w:hAnsi="仿宋" w:cs="仿宋" w:hint="eastAsia"/>
          <w:color w:val="auto"/>
          <w:szCs w:val="28"/>
        </w:rPr>
        <w:t>一</w:t>
      </w:r>
      <w:r>
        <w:rPr>
          <w:rFonts w:ascii="仿宋" w:eastAsia="仿宋" w:hAnsi="仿宋" w:cs="仿宋" w:hint="eastAsia"/>
          <w:color w:val="auto"/>
          <w:szCs w:val="28"/>
        </w:rPr>
        <w:t>)</w:t>
      </w:r>
      <w:r>
        <w:rPr>
          <w:rFonts w:ascii="仿宋" w:eastAsia="仿宋" w:hAnsi="仿宋" w:cs="仿宋" w:hint="eastAsia"/>
          <w:color w:val="auto"/>
          <w:szCs w:val="28"/>
        </w:rPr>
        <w:t>居住为主要用地性质</w:t>
      </w:r>
      <w:r>
        <w:rPr>
          <w:rFonts w:ascii="仿宋" w:eastAsia="仿宋" w:hAnsi="仿宋" w:cs="仿宋" w:hint="eastAsia"/>
          <w:color w:val="auto"/>
          <w:szCs w:val="28"/>
        </w:rPr>
        <w:t>的，住宅计容建筑面积应当大于规划用地总计容建筑面积的</w:t>
      </w:r>
      <w:r>
        <w:rPr>
          <w:rFonts w:ascii="仿宋" w:eastAsia="仿宋" w:hAnsi="仿宋" w:cs="仿宋" w:hint="eastAsia"/>
          <w:color w:val="auto"/>
          <w:szCs w:val="28"/>
        </w:rPr>
        <w:t>50%</w:t>
      </w:r>
      <w:r>
        <w:rPr>
          <w:rFonts w:ascii="仿宋" w:eastAsia="仿宋" w:hAnsi="仿宋" w:cs="仿宋" w:hint="eastAsia"/>
          <w:color w:val="auto"/>
          <w:szCs w:val="28"/>
        </w:rPr>
        <w:t>，小于或者等于规划用地总计容建筑面积的</w:t>
      </w:r>
      <w:r>
        <w:rPr>
          <w:rFonts w:ascii="仿宋" w:eastAsia="仿宋" w:hAnsi="仿宋" w:cs="仿宋" w:hint="eastAsia"/>
          <w:color w:val="auto"/>
          <w:szCs w:val="28"/>
        </w:rPr>
        <w:t>80%</w:t>
      </w:r>
      <w:r>
        <w:rPr>
          <w:rFonts w:ascii="仿宋" w:eastAsia="仿宋" w:hAnsi="仿宋" w:cs="仿宋" w:hint="eastAsia"/>
          <w:color w:val="auto"/>
          <w:szCs w:val="28"/>
        </w:rPr>
        <w:t>；</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w:t>
      </w:r>
      <w:r>
        <w:rPr>
          <w:rFonts w:ascii="仿宋" w:eastAsia="仿宋" w:hAnsi="仿宋" w:cs="仿宋" w:hint="eastAsia"/>
          <w:color w:val="auto"/>
          <w:szCs w:val="28"/>
        </w:rPr>
        <w:t>二</w:t>
      </w:r>
      <w:r>
        <w:rPr>
          <w:rFonts w:ascii="仿宋" w:eastAsia="仿宋" w:hAnsi="仿宋" w:cs="仿宋" w:hint="eastAsia"/>
          <w:color w:val="auto"/>
          <w:szCs w:val="28"/>
        </w:rPr>
        <w:t>)</w:t>
      </w:r>
      <w:r>
        <w:rPr>
          <w:rFonts w:ascii="仿宋" w:eastAsia="仿宋" w:hAnsi="仿宋" w:cs="仿宋" w:hint="eastAsia"/>
          <w:color w:val="auto"/>
          <w:szCs w:val="28"/>
        </w:rPr>
        <w:t>商业服务业为主要用地性质的，住宅计容建筑面积应当大于或者等于规划用地总计容建筑面积的</w:t>
      </w:r>
      <w:r>
        <w:rPr>
          <w:rFonts w:ascii="仿宋" w:eastAsia="仿宋" w:hAnsi="仿宋" w:cs="仿宋" w:hint="eastAsia"/>
          <w:color w:val="auto"/>
          <w:szCs w:val="28"/>
        </w:rPr>
        <w:t>20%</w:t>
      </w:r>
      <w:r>
        <w:rPr>
          <w:rFonts w:ascii="仿宋" w:eastAsia="仿宋" w:hAnsi="仿宋" w:cs="仿宋" w:hint="eastAsia"/>
          <w:color w:val="auto"/>
          <w:szCs w:val="28"/>
        </w:rPr>
        <w:t>，小于规划用地总计容建筑面积的</w:t>
      </w:r>
      <w:r>
        <w:rPr>
          <w:rFonts w:ascii="仿宋" w:eastAsia="仿宋" w:hAnsi="仿宋" w:cs="仿宋" w:hint="eastAsia"/>
          <w:color w:val="auto"/>
          <w:szCs w:val="28"/>
        </w:rPr>
        <w:t>50%</w:t>
      </w:r>
      <w:r>
        <w:rPr>
          <w:rFonts w:ascii="仿宋" w:eastAsia="仿宋" w:hAnsi="仿宋" w:cs="仿宋" w:hint="eastAsia"/>
          <w:color w:val="auto"/>
          <w:szCs w:val="28"/>
        </w:rPr>
        <w:t>。</w:t>
      </w:r>
    </w:p>
    <w:p w:rsidR="00925AC4" w:rsidRDefault="00285E1E">
      <w:pPr>
        <w:tabs>
          <w:tab w:val="left" w:pos="0"/>
        </w:tabs>
        <w:ind w:firstLine="560"/>
        <w:rPr>
          <w:rFonts w:ascii="仿宋" w:eastAsia="仿宋" w:hAnsi="仿宋" w:cs="仿宋"/>
          <w:b/>
          <w:bCs/>
          <w:color w:val="C00000"/>
          <w:szCs w:val="28"/>
        </w:rPr>
      </w:pPr>
      <w:r>
        <w:rPr>
          <w:rFonts w:ascii="仿宋" w:eastAsia="仿宋" w:hAnsi="仿宋" w:cs="仿宋" w:hint="eastAsia"/>
          <w:color w:val="auto"/>
        </w:rPr>
        <w:t>城镇住宅用地</w:t>
      </w:r>
      <w:r>
        <w:rPr>
          <w:rFonts w:ascii="仿宋" w:eastAsia="仿宋" w:hAnsi="仿宋" w:cs="仿宋" w:hint="eastAsia"/>
          <w:color w:val="auto"/>
        </w:rPr>
        <w:t>(0701)</w:t>
      </w:r>
      <w:r>
        <w:rPr>
          <w:rFonts w:ascii="仿宋" w:eastAsia="仿宋" w:hAnsi="仿宋" w:cs="仿宋" w:hint="eastAsia"/>
          <w:color w:val="auto"/>
          <w:szCs w:val="28"/>
        </w:rPr>
        <w:t>中，住宅计容建筑面积应当大于规划用地总计容建筑面积的</w:t>
      </w:r>
      <w:r>
        <w:rPr>
          <w:rFonts w:ascii="仿宋" w:eastAsia="仿宋" w:hAnsi="仿宋" w:cs="仿宋" w:hint="eastAsia"/>
          <w:color w:val="auto"/>
          <w:szCs w:val="28"/>
        </w:rPr>
        <w:t>80%</w:t>
      </w:r>
      <w:r>
        <w:rPr>
          <w:rFonts w:ascii="仿宋" w:eastAsia="仿宋" w:hAnsi="仿宋" w:cs="仿宋" w:hint="eastAsia"/>
          <w:color w:val="auto"/>
          <w:szCs w:val="28"/>
        </w:rPr>
        <w:t>。</w:t>
      </w:r>
    </w:p>
    <w:p w:rsidR="00925AC4" w:rsidRDefault="00285E1E" w:rsidP="008E7712">
      <w:pPr>
        <w:numPr>
          <w:ilvl w:val="0"/>
          <w:numId w:val="3"/>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建设用地范围内存在多种规划用地性质，且规划需要单独占地的，应按控规确定土地使用性质分类，并在《建设用地规划许可证》中明确各类用地面积和位置；存在多种使用功能，且不需要单独占地的，应在规划设计条件中明确建设规模及位置。</w:t>
      </w:r>
    </w:p>
    <w:p w:rsidR="00925AC4" w:rsidRDefault="00285E1E" w:rsidP="008E7712">
      <w:pPr>
        <w:numPr>
          <w:ilvl w:val="0"/>
          <w:numId w:val="3"/>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编制控制性详细规划时，中小学用地</w:t>
      </w:r>
      <w:r>
        <w:rPr>
          <w:rFonts w:ascii="仿宋" w:eastAsia="仿宋" w:hAnsi="仿宋" w:cs="仿宋" w:hint="eastAsia"/>
          <w:color w:val="auto"/>
        </w:rPr>
        <w:t>(080403)</w:t>
      </w:r>
      <w:r>
        <w:rPr>
          <w:rFonts w:ascii="仿宋" w:eastAsia="仿宋" w:hAnsi="仿宋" w:cs="仿宋" w:hint="eastAsia"/>
          <w:color w:val="auto"/>
        </w:rPr>
        <w:t>、体育用地</w:t>
      </w:r>
      <w:r>
        <w:rPr>
          <w:rFonts w:ascii="仿宋" w:eastAsia="仿宋" w:hAnsi="仿宋" w:cs="仿宋" w:hint="eastAsia"/>
          <w:color w:val="auto"/>
        </w:rPr>
        <w:t>(0805)</w:t>
      </w:r>
      <w:r>
        <w:rPr>
          <w:rFonts w:ascii="仿宋" w:eastAsia="仿宋" w:hAnsi="仿宋" w:cs="仿宋" w:hint="eastAsia"/>
          <w:color w:val="auto"/>
        </w:rPr>
        <w:t>、医疗卫生用地</w:t>
      </w:r>
      <w:r>
        <w:rPr>
          <w:rFonts w:ascii="仿宋" w:eastAsia="仿宋" w:hAnsi="仿宋" w:cs="仿宋" w:hint="eastAsia"/>
          <w:color w:val="auto"/>
        </w:rPr>
        <w:t>(0806)</w:t>
      </w:r>
      <w:r>
        <w:rPr>
          <w:rFonts w:ascii="仿宋" w:eastAsia="仿宋" w:hAnsi="仿宋" w:cs="仿宋" w:hint="eastAsia"/>
          <w:color w:val="auto"/>
        </w:rPr>
        <w:t>、</w:t>
      </w:r>
      <w:r>
        <w:rPr>
          <w:rFonts w:ascii="仿宋" w:eastAsia="仿宋" w:hAnsi="仿宋" w:cs="仿宋" w:hint="eastAsia"/>
          <w:color w:val="auto"/>
        </w:rPr>
        <w:t xml:space="preserve"> </w:t>
      </w:r>
      <w:r>
        <w:rPr>
          <w:rFonts w:ascii="仿宋" w:eastAsia="仿宋" w:hAnsi="仿宋" w:cs="仿宋" w:hint="eastAsia"/>
          <w:color w:val="auto"/>
        </w:rPr>
        <w:t>社会福利用地</w:t>
      </w:r>
      <w:r>
        <w:rPr>
          <w:rFonts w:ascii="仿宋" w:eastAsia="仿宋" w:hAnsi="仿宋" w:cs="仿宋" w:hint="eastAsia"/>
          <w:color w:val="auto"/>
        </w:rPr>
        <w:t>(0807)</w:t>
      </w:r>
      <w:r>
        <w:rPr>
          <w:rFonts w:ascii="仿宋" w:eastAsia="仿宋" w:hAnsi="仿宋" w:cs="仿宋" w:hint="eastAsia"/>
          <w:color w:val="auto"/>
        </w:rPr>
        <w:t>、城镇道路用地（</w:t>
      </w:r>
      <w:r>
        <w:rPr>
          <w:rFonts w:ascii="仿宋" w:eastAsia="仿宋" w:hAnsi="仿宋" w:cs="仿宋" w:hint="eastAsia"/>
          <w:color w:val="auto"/>
        </w:rPr>
        <w:t>1207</w:t>
      </w:r>
      <w:r>
        <w:rPr>
          <w:rFonts w:ascii="仿宋" w:eastAsia="仿宋" w:hAnsi="仿宋" w:cs="仿宋" w:hint="eastAsia"/>
          <w:color w:val="auto"/>
        </w:rPr>
        <w:t>）、城市轨道交通用地（</w:t>
      </w:r>
      <w:r>
        <w:rPr>
          <w:rFonts w:ascii="仿宋" w:eastAsia="仿宋" w:hAnsi="仿宋" w:cs="仿宋" w:hint="eastAsia"/>
          <w:color w:val="auto"/>
        </w:rPr>
        <w:t>1206</w:t>
      </w:r>
      <w:r>
        <w:rPr>
          <w:rFonts w:ascii="仿宋" w:eastAsia="仿宋" w:hAnsi="仿宋" w:cs="仿宋" w:hint="eastAsia"/>
          <w:color w:val="auto"/>
        </w:rPr>
        <w:t>）、交通场站用地（</w:t>
      </w:r>
      <w:r>
        <w:rPr>
          <w:rFonts w:ascii="仿宋" w:eastAsia="仿宋" w:hAnsi="仿宋" w:cs="仿宋" w:hint="eastAsia"/>
          <w:color w:val="auto"/>
        </w:rPr>
        <w:t>1208</w:t>
      </w:r>
      <w:r>
        <w:rPr>
          <w:rFonts w:ascii="仿宋" w:eastAsia="仿宋" w:hAnsi="仿宋" w:cs="仿宋" w:hint="eastAsia"/>
          <w:color w:val="auto"/>
        </w:rPr>
        <w:t>）、公用设施用地</w:t>
      </w:r>
      <w:r>
        <w:rPr>
          <w:rFonts w:ascii="仿宋" w:eastAsia="仿宋" w:hAnsi="仿宋" w:cs="仿宋" w:hint="eastAsia"/>
          <w:color w:val="auto"/>
        </w:rPr>
        <w:t>(13)</w:t>
      </w:r>
      <w:r>
        <w:rPr>
          <w:rFonts w:ascii="仿宋" w:eastAsia="仿宋" w:hAnsi="仿宋" w:cs="仿宋" w:hint="eastAsia"/>
          <w:color w:val="auto"/>
        </w:rPr>
        <w:t>等公益性设施用地，其容积率、建筑密度、绿地率等规划指标在符合相关</w:t>
      </w:r>
      <w:r>
        <w:rPr>
          <w:rFonts w:ascii="仿宋" w:eastAsia="仿宋" w:hAnsi="仿宋" w:cs="仿宋" w:hint="eastAsia"/>
          <w:color w:val="auto"/>
        </w:rPr>
        <w:t>专业专项规划的前提下，可以根据项目实际需要合理确定：以出让方式供地的，在建设用地规划条件函中确定；以划拨方式供地的，在设计方案审查中确定。</w:t>
      </w:r>
    </w:p>
    <w:p w:rsidR="00925AC4" w:rsidRDefault="00285E1E">
      <w:pPr>
        <w:pStyle w:val="2"/>
        <w:numPr>
          <w:ilvl w:val="0"/>
          <w:numId w:val="2"/>
        </w:numPr>
        <w:ind w:firstLine="602"/>
        <w:rPr>
          <w:rFonts w:ascii="仿宋" w:eastAsia="仿宋" w:hAnsi="仿宋" w:cs="仿宋"/>
        </w:rPr>
      </w:pPr>
      <w:bookmarkStart w:id="10" w:name="_bookmark4"/>
      <w:bookmarkStart w:id="11" w:name="_Toc27496"/>
      <w:bookmarkEnd w:id="10"/>
      <w:r>
        <w:rPr>
          <w:rFonts w:ascii="仿宋" w:eastAsia="仿宋" w:hAnsi="仿宋" w:cs="仿宋" w:hint="eastAsia"/>
          <w:color w:val="auto"/>
          <w:sz w:val="30"/>
          <w:szCs w:val="30"/>
        </w:rPr>
        <w:t>建设用地规划指标控制</w:t>
      </w:r>
      <w:bookmarkEnd w:id="11"/>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rPr>
        <w:t xml:space="preserve"> </w:t>
      </w:r>
      <w:r>
        <w:rPr>
          <w:rFonts w:ascii="仿宋" w:eastAsia="仿宋" w:hAnsi="仿宋" w:cs="仿宋" w:hint="eastAsia"/>
          <w:color w:val="auto"/>
          <w:szCs w:val="28"/>
        </w:rPr>
        <w:t>住宅、商业用地指标控制应符合表</w:t>
      </w:r>
      <w:r>
        <w:rPr>
          <w:rFonts w:ascii="仿宋" w:eastAsia="仿宋" w:hAnsi="仿宋" w:cs="仿宋" w:hint="eastAsia"/>
          <w:color w:val="auto"/>
          <w:szCs w:val="28"/>
        </w:rPr>
        <w:t>2.2.1</w:t>
      </w:r>
      <w:r>
        <w:rPr>
          <w:rFonts w:ascii="仿宋" w:eastAsia="仿宋" w:hAnsi="仿宋" w:cs="仿宋" w:hint="eastAsia"/>
          <w:color w:val="auto"/>
          <w:szCs w:val="28"/>
        </w:rPr>
        <w:t>的要求</w:t>
      </w:r>
    </w:p>
    <w:p w:rsidR="00925AC4" w:rsidRDefault="00285E1E">
      <w:pPr>
        <w:tabs>
          <w:tab w:val="left" w:pos="0"/>
        </w:tabs>
        <w:ind w:firstLineChars="0" w:firstLine="0"/>
        <w:jc w:val="center"/>
        <w:rPr>
          <w:rFonts w:ascii="仿宋" w:eastAsia="仿宋" w:hAnsi="仿宋" w:cs="仿宋"/>
          <w:color w:val="auto"/>
          <w:szCs w:val="28"/>
        </w:rPr>
      </w:pPr>
      <w:r>
        <w:rPr>
          <w:rFonts w:ascii="仿宋" w:eastAsia="仿宋" w:hAnsi="仿宋" w:cs="仿宋" w:hint="eastAsia"/>
          <w:color w:val="auto"/>
          <w:sz w:val="24"/>
          <w:szCs w:val="24"/>
        </w:rPr>
        <w:t>表</w:t>
      </w:r>
      <w:r>
        <w:rPr>
          <w:rFonts w:ascii="仿宋" w:eastAsia="仿宋" w:hAnsi="仿宋" w:cs="仿宋" w:hint="eastAsia"/>
          <w:color w:val="auto"/>
          <w:sz w:val="24"/>
          <w:szCs w:val="24"/>
        </w:rPr>
        <w:t>2.2.</w:t>
      </w:r>
      <w:r>
        <w:rPr>
          <w:rFonts w:ascii="仿宋" w:eastAsia="仿宋" w:hAnsi="仿宋" w:cs="仿宋" w:hint="eastAsia"/>
          <w:color w:val="auto"/>
          <w:sz w:val="24"/>
          <w:szCs w:val="24"/>
        </w:rPr>
        <w:t xml:space="preserve">1 </w:t>
      </w:r>
      <w:r>
        <w:rPr>
          <w:rFonts w:ascii="仿宋" w:eastAsia="仿宋" w:hAnsi="仿宋" w:cs="仿宋" w:hint="eastAsia"/>
          <w:color w:val="auto"/>
          <w:sz w:val="24"/>
          <w:szCs w:val="24"/>
        </w:rPr>
        <w:t>容积率、建筑密度、绿地率</w:t>
      </w:r>
      <w:r>
        <w:rPr>
          <w:rFonts w:ascii="仿宋" w:eastAsia="仿宋" w:hAnsi="仿宋" w:cs="仿宋" w:hint="eastAsia"/>
          <w:color w:val="auto"/>
          <w:sz w:val="24"/>
          <w:szCs w:val="24"/>
        </w:rPr>
        <w:t xml:space="preserve"> </w:t>
      </w:r>
      <w:r>
        <w:rPr>
          <w:rFonts w:ascii="仿宋" w:eastAsia="仿宋" w:hAnsi="仿宋" w:cs="仿宋" w:hint="eastAsia"/>
          <w:color w:val="auto"/>
          <w:sz w:val="24"/>
          <w:szCs w:val="24"/>
        </w:rPr>
        <w:t>规划指标控制表</w:t>
      </w:r>
    </w:p>
    <w:tbl>
      <w:tblPr>
        <w:tblStyle w:val="TableNormal"/>
        <w:tblW w:w="8881"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84"/>
        <w:gridCol w:w="1615"/>
        <w:gridCol w:w="1432"/>
        <w:gridCol w:w="1350"/>
      </w:tblGrid>
      <w:tr w:rsidR="00925AC4">
        <w:trPr>
          <w:trHeight w:val="772"/>
        </w:trPr>
        <w:tc>
          <w:tcPr>
            <w:tcW w:w="4484" w:type="dxa"/>
            <w:tcBorders>
              <w:left w:val="single" w:sz="4" w:space="0" w:color="000000"/>
              <w:tl2br w:val="single" w:sz="2" w:space="0" w:color="000000"/>
            </w:tcBorders>
          </w:tcPr>
          <w:p w:rsidR="00925AC4" w:rsidRDefault="00285E1E" w:rsidP="008E7712">
            <w:pPr>
              <w:spacing w:before="111" w:line="515" w:lineRule="exact"/>
              <w:ind w:right="92" w:firstLine="464"/>
              <w:jc w:val="right"/>
              <w:rPr>
                <w:rFonts w:ascii="仿宋" w:eastAsia="仿宋" w:hAnsi="仿宋" w:cs="仿宋"/>
                <w:sz w:val="24"/>
                <w:szCs w:val="24"/>
              </w:rPr>
            </w:pPr>
            <w:r>
              <w:rPr>
                <w:rFonts w:ascii="仿宋" w:eastAsia="仿宋" w:hAnsi="仿宋" w:cs="仿宋" w:hint="eastAsia"/>
                <w:spacing w:val="-8"/>
                <w:position w:val="20"/>
                <w:sz w:val="24"/>
                <w:szCs w:val="24"/>
              </w:rPr>
              <w:lastRenderedPageBreak/>
              <w:t>容</w:t>
            </w:r>
            <w:r>
              <w:rPr>
                <w:rFonts w:ascii="仿宋" w:eastAsia="仿宋" w:hAnsi="仿宋" w:cs="仿宋" w:hint="eastAsia"/>
                <w:spacing w:val="-5"/>
                <w:position w:val="20"/>
                <w:sz w:val="24"/>
                <w:szCs w:val="24"/>
              </w:rPr>
              <w:t>积</w:t>
            </w:r>
            <w:r>
              <w:rPr>
                <w:rFonts w:ascii="仿宋" w:eastAsia="仿宋" w:hAnsi="仿宋" w:cs="仿宋" w:hint="eastAsia"/>
                <w:spacing w:val="-4"/>
                <w:position w:val="20"/>
                <w:sz w:val="24"/>
                <w:szCs w:val="24"/>
              </w:rPr>
              <w:t>率、建筑密度、绿地率</w:t>
            </w:r>
          </w:p>
          <w:p w:rsidR="00925AC4" w:rsidRDefault="00285E1E">
            <w:pPr>
              <w:spacing w:line="172" w:lineRule="auto"/>
              <w:ind w:firstLineChars="0" w:firstLine="0"/>
              <w:rPr>
                <w:rFonts w:ascii="仿宋" w:eastAsia="仿宋" w:hAnsi="仿宋" w:cs="仿宋"/>
                <w:sz w:val="24"/>
                <w:szCs w:val="24"/>
              </w:rPr>
            </w:pPr>
            <w:r>
              <w:rPr>
                <w:rFonts w:ascii="仿宋" w:eastAsia="仿宋" w:hAnsi="仿宋" w:cs="仿宋" w:hint="eastAsia"/>
                <w:spacing w:val="-5"/>
                <w:sz w:val="24"/>
                <w:szCs w:val="24"/>
              </w:rPr>
              <w:t>用地类型</w:t>
            </w:r>
          </w:p>
        </w:tc>
        <w:tc>
          <w:tcPr>
            <w:tcW w:w="1615" w:type="dxa"/>
            <w:vAlign w:val="center"/>
          </w:tcPr>
          <w:p w:rsidR="00925AC4" w:rsidRDefault="00285E1E">
            <w:pPr>
              <w:spacing w:before="104" w:line="185" w:lineRule="auto"/>
              <w:ind w:firstLineChars="0" w:firstLine="0"/>
              <w:jc w:val="center"/>
              <w:rPr>
                <w:rFonts w:ascii="仿宋" w:eastAsia="仿宋" w:hAnsi="仿宋" w:cs="仿宋"/>
                <w:sz w:val="24"/>
                <w:szCs w:val="24"/>
              </w:rPr>
            </w:pPr>
            <w:r>
              <w:rPr>
                <w:rFonts w:ascii="仿宋" w:eastAsia="仿宋" w:hAnsi="仿宋" w:cs="仿宋" w:hint="eastAsia"/>
                <w:spacing w:val="-6"/>
                <w:sz w:val="24"/>
                <w:szCs w:val="24"/>
              </w:rPr>
              <w:t>容</w:t>
            </w:r>
            <w:r>
              <w:rPr>
                <w:rFonts w:ascii="仿宋" w:eastAsia="仿宋" w:hAnsi="仿宋" w:cs="仿宋" w:hint="eastAsia"/>
                <w:spacing w:val="-4"/>
                <w:sz w:val="24"/>
                <w:szCs w:val="24"/>
              </w:rPr>
              <w:t>积率</w:t>
            </w:r>
          </w:p>
        </w:tc>
        <w:tc>
          <w:tcPr>
            <w:tcW w:w="1432" w:type="dxa"/>
            <w:vAlign w:val="center"/>
          </w:tcPr>
          <w:p w:rsidR="00925AC4" w:rsidRDefault="00285E1E">
            <w:pPr>
              <w:spacing w:before="104" w:line="182" w:lineRule="auto"/>
              <w:ind w:firstLineChars="0" w:firstLine="0"/>
              <w:jc w:val="center"/>
              <w:rPr>
                <w:rFonts w:ascii="仿宋" w:eastAsia="仿宋" w:hAnsi="仿宋" w:cs="仿宋"/>
                <w:sz w:val="24"/>
                <w:szCs w:val="24"/>
              </w:rPr>
            </w:pPr>
            <w:r>
              <w:rPr>
                <w:rFonts w:ascii="仿宋" w:eastAsia="仿宋" w:hAnsi="仿宋" w:cs="仿宋" w:hint="eastAsia"/>
                <w:spacing w:val="15"/>
                <w:sz w:val="24"/>
                <w:szCs w:val="24"/>
              </w:rPr>
              <w:t>建</w:t>
            </w:r>
            <w:r>
              <w:rPr>
                <w:rFonts w:ascii="仿宋" w:eastAsia="仿宋" w:hAnsi="仿宋" w:cs="仿宋" w:hint="eastAsia"/>
                <w:spacing w:val="10"/>
                <w:sz w:val="24"/>
                <w:szCs w:val="24"/>
              </w:rPr>
              <w:t>筑密度</w:t>
            </w:r>
            <w:r>
              <w:rPr>
                <w:rFonts w:ascii="仿宋" w:eastAsia="仿宋" w:hAnsi="仿宋" w:cs="仿宋" w:hint="eastAsia"/>
                <w:spacing w:val="10"/>
                <w:sz w:val="24"/>
                <w:szCs w:val="24"/>
              </w:rPr>
              <w:t>(%)</w:t>
            </w:r>
          </w:p>
        </w:tc>
        <w:tc>
          <w:tcPr>
            <w:tcW w:w="1350" w:type="dxa"/>
            <w:tcBorders>
              <w:right w:val="single" w:sz="4" w:space="0" w:color="000000"/>
            </w:tcBorders>
            <w:vAlign w:val="center"/>
          </w:tcPr>
          <w:p w:rsidR="00925AC4" w:rsidRDefault="00285E1E">
            <w:pPr>
              <w:spacing w:before="105" w:line="183" w:lineRule="auto"/>
              <w:ind w:firstLineChars="0" w:firstLine="0"/>
              <w:jc w:val="center"/>
              <w:rPr>
                <w:rFonts w:ascii="仿宋" w:eastAsia="仿宋" w:hAnsi="仿宋" w:cs="仿宋"/>
                <w:sz w:val="24"/>
                <w:szCs w:val="24"/>
              </w:rPr>
            </w:pPr>
            <w:r>
              <w:rPr>
                <w:rFonts w:ascii="仿宋" w:eastAsia="仿宋" w:hAnsi="仿宋" w:cs="仿宋" w:hint="eastAsia"/>
                <w:spacing w:val="16"/>
                <w:sz w:val="24"/>
                <w:szCs w:val="24"/>
              </w:rPr>
              <w:t>绿</w:t>
            </w:r>
            <w:r>
              <w:rPr>
                <w:rFonts w:ascii="仿宋" w:eastAsia="仿宋" w:hAnsi="仿宋" w:cs="仿宋" w:hint="eastAsia"/>
                <w:spacing w:val="12"/>
                <w:sz w:val="24"/>
                <w:szCs w:val="24"/>
              </w:rPr>
              <w:t>地率</w:t>
            </w:r>
            <w:r>
              <w:rPr>
                <w:rFonts w:ascii="仿宋" w:eastAsia="仿宋" w:hAnsi="仿宋" w:cs="仿宋" w:hint="eastAsia"/>
                <w:spacing w:val="12"/>
                <w:sz w:val="24"/>
                <w:szCs w:val="24"/>
              </w:rPr>
              <w:t>(%)</w:t>
            </w:r>
          </w:p>
        </w:tc>
      </w:tr>
      <w:tr w:rsidR="00925AC4">
        <w:trPr>
          <w:trHeight w:val="426"/>
        </w:trPr>
        <w:tc>
          <w:tcPr>
            <w:tcW w:w="4484" w:type="dxa"/>
            <w:tcBorders>
              <w:left w:val="single" w:sz="4" w:space="0" w:color="000000"/>
            </w:tcBorders>
            <w:vAlign w:val="center"/>
          </w:tcPr>
          <w:p w:rsidR="00925AC4" w:rsidRDefault="00285E1E">
            <w:pPr>
              <w:spacing w:before="112" w:line="180" w:lineRule="auto"/>
              <w:ind w:firstLineChars="0" w:firstLine="0"/>
              <w:jc w:val="center"/>
              <w:rPr>
                <w:rFonts w:ascii="仿宋" w:eastAsia="仿宋" w:hAnsi="仿宋" w:cs="仿宋"/>
                <w:color w:val="auto"/>
                <w:sz w:val="24"/>
                <w:szCs w:val="24"/>
              </w:rPr>
            </w:pPr>
            <w:r>
              <w:rPr>
                <w:rFonts w:ascii="仿宋" w:eastAsia="仿宋" w:hAnsi="仿宋" w:cs="仿宋" w:hint="eastAsia"/>
                <w:color w:val="auto"/>
                <w:sz w:val="24"/>
                <w:szCs w:val="24"/>
              </w:rPr>
              <w:t>一类城镇住宅用地</w:t>
            </w:r>
          </w:p>
        </w:tc>
        <w:tc>
          <w:tcPr>
            <w:tcW w:w="1615" w:type="dxa"/>
            <w:vAlign w:val="center"/>
          </w:tcPr>
          <w:p w:rsidR="00925AC4" w:rsidRDefault="00285E1E">
            <w:pPr>
              <w:spacing w:before="135" w:line="167" w:lineRule="auto"/>
              <w:ind w:firstLineChars="0" w:firstLine="0"/>
              <w:jc w:val="center"/>
              <w:rPr>
                <w:rFonts w:ascii="仿宋" w:eastAsia="仿宋" w:hAnsi="仿宋" w:cs="仿宋"/>
                <w:spacing w:val="4"/>
                <w:sz w:val="24"/>
                <w:szCs w:val="24"/>
              </w:rPr>
            </w:pPr>
            <w:commentRangeStart w:id="12"/>
            <w:r>
              <w:rPr>
                <w:rFonts w:ascii="仿宋" w:eastAsia="仿宋" w:hAnsi="仿宋" w:cs="仿宋" w:hint="eastAsia"/>
                <w:spacing w:val="4"/>
                <w:sz w:val="24"/>
                <w:szCs w:val="24"/>
              </w:rPr>
              <w:t>1.0-1.3</w:t>
            </w:r>
          </w:p>
        </w:tc>
        <w:tc>
          <w:tcPr>
            <w:tcW w:w="1432" w:type="dxa"/>
            <w:vAlign w:val="center"/>
          </w:tcPr>
          <w:p w:rsidR="00925AC4" w:rsidRDefault="00285E1E">
            <w:pPr>
              <w:spacing w:before="135" w:line="167" w:lineRule="auto"/>
              <w:ind w:firstLineChars="0" w:firstLine="0"/>
              <w:jc w:val="center"/>
              <w:rPr>
                <w:rFonts w:ascii="仿宋" w:eastAsia="仿宋" w:hAnsi="仿宋" w:cs="仿宋"/>
                <w:spacing w:val="6"/>
                <w:sz w:val="24"/>
                <w:szCs w:val="24"/>
              </w:rPr>
            </w:pPr>
            <w:r>
              <w:rPr>
                <w:rFonts w:ascii="仿宋" w:eastAsia="仿宋" w:hAnsi="仿宋" w:cs="仿宋" w:hint="eastAsia"/>
                <w:spacing w:val="6"/>
                <w:sz w:val="24"/>
                <w:szCs w:val="24"/>
              </w:rPr>
              <w:t>≤</w:t>
            </w:r>
            <w:r>
              <w:rPr>
                <w:rFonts w:ascii="仿宋" w:eastAsia="仿宋" w:hAnsi="仿宋" w:cs="仿宋" w:hint="eastAsia"/>
                <w:spacing w:val="6"/>
                <w:sz w:val="24"/>
                <w:szCs w:val="24"/>
              </w:rPr>
              <w:t>50</w:t>
            </w:r>
          </w:p>
        </w:tc>
        <w:tc>
          <w:tcPr>
            <w:tcW w:w="1350" w:type="dxa"/>
            <w:tcBorders>
              <w:right w:val="single" w:sz="4" w:space="0" w:color="000000"/>
            </w:tcBorders>
            <w:vAlign w:val="center"/>
          </w:tcPr>
          <w:p w:rsidR="00925AC4" w:rsidRDefault="00285E1E">
            <w:pPr>
              <w:spacing w:before="135" w:line="167" w:lineRule="auto"/>
              <w:ind w:firstLineChars="0" w:firstLine="0"/>
              <w:jc w:val="center"/>
              <w:rPr>
                <w:rFonts w:ascii="仿宋" w:eastAsia="仿宋" w:hAnsi="仿宋" w:cs="仿宋"/>
                <w:spacing w:val="6"/>
                <w:sz w:val="24"/>
                <w:szCs w:val="24"/>
              </w:rPr>
            </w:pPr>
            <w:r>
              <w:rPr>
                <w:rFonts w:ascii="仿宋" w:eastAsia="仿宋" w:hAnsi="仿宋" w:cs="仿宋" w:hint="eastAsia"/>
                <w:spacing w:val="6"/>
                <w:sz w:val="24"/>
                <w:szCs w:val="24"/>
              </w:rPr>
              <w:t>≥</w:t>
            </w:r>
            <w:r>
              <w:rPr>
                <w:rFonts w:ascii="仿宋" w:eastAsia="仿宋" w:hAnsi="仿宋" w:cs="仿宋" w:hint="eastAsia"/>
                <w:spacing w:val="5"/>
                <w:sz w:val="24"/>
                <w:szCs w:val="24"/>
              </w:rPr>
              <w:t>20</w:t>
            </w:r>
            <w:commentRangeEnd w:id="12"/>
            <w:r>
              <w:rPr>
                <w:rFonts w:ascii="仿宋" w:eastAsia="仿宋" w:hAnsi="仿宋" w:cs="仿宋" w:hint="eastAsia"/>
              </w:rPr>
              <w:commentReference w:id="12"/>
            </w:r>
          </w:p>
        </w:tc>
      </w:tr>
      <w:tr w:rsidR="00925AC4">
        <w:trPr>
          <w:trHeight w:val="326"/>
        </w:trPr>
        <w:tc>
          <w:tcPr>
            <w:tcW w:w="4484" w:type="dxa"/>
            <w:tcBorders>
              <w:left w:val="single" w:sz="4" w:space="0" w:color="000000"/>
            </w:tcBorders>
            <w:vAlign w:val="center"/>
          </w:tcPr>
          <w:p w:rsidR="00925AC4" w:rsidRDefault="00285E1E">
            <w:pPr>
              <w:spacing w:before="112" w:line="180" w:lineRule="auto"/>
              <w:ind w:firstLineChars="0" w:firstLine="0"/>
              <w:jc w:val="center"/>
              <w:rPr>
                <w:rFonts w:ascii="仿宋" w:eastAsia="仿宋" w:hAnsi="仿宋" w:cs="仿宋"/>
                <w:sz w:val="24"/>
                <w:szCs w:val="24"/>
              </w:rPr>
            </w:pPr>
            <w:r>
              <w:rPr>
                <w:rFonts w:ascii="仿宋" w:eastAsia="仿宋" w:hAnsi="仿宋" w:cs="仿宋" w:hint="eastAsia"/>
                <w:color w:val="auto"/>
                <w:sz w:val="24"/>
                <w:szCs w:val="24"/>
              </w:rPr>
              <w:t>二类城镇住宅用地</w:t>
            </w:r>
          </w:p>
        </w:tc>
        <w:tc>
          <w:tcPr>
            <w:tcW w:w="1615" w:type="dxa"/>
            <w:vAlign w:val="center"/>
          </w:tcPr>
          <w:p w:rsidR="00925AC4" w:rsidRDefault="00285E1E">
            <w:pPr>
              <w:spacing w:before="135" w:line="167" w:lineRule="auto"/>
              <w:ind w:firstLineChars="0" w:firstLine="0"/>
              <w:jc w:val="center"/>
              <w:rPr>
                <w:rFonts w:ascii="仿宋" w:eastAsia="仿宋" w:hAnsi="仿宋" w:cs="仿宋"/>
                <w:sz w:val="24"/>
                <w:szCs w:val="24"/>
              </w:rPr>
            </w:pPr>
            <w:commentRangeStart w:id="13"/>
            <w:r>
              <w:rPr>
                <w:rFonts w:ascii="仿宋" w:eastAsia="仿宋" w:hAnsi="仿宋" w:cs="仿宋" w:hint="eastAsia"/>
                <w:spacing w:val="4"/>
                <w:sz w:val="24"/>
                <w:szCs w:val="24"/>
              </w:rPr>
              <w:t>1.3-</w:t>
            </w:r>
            <w:r>
              <w:rPr>
                <w:rFonts w:ascii="仿宋" w:eastAsia="仿宋" w:hAnsi="仿宋" w:cs="仿宋" w:hint="eastAsia"/>
                <w:spacing w:val="3"/>
                <w:sz w:val="24"/>
                <w:szCs w:val="24"/>
              </w:rPr>
              <w:t>3.1</w:t>
            </w:r>
          </w:p>
        </w:tc>
        <w:tc>
          <w:tcPr>
            <w:tcW w:w="1432" w:type="dxa"/>
            <w:vAlign w:val="center"/>
          </w:tcPr>
          <w:p w:rsidR="00925AC4" w:rsidRDefault="00285E1E">
            <w:pPr>
              <w:spacing w:before="135" w:line="167" w:lineRule="auto"/>
              <w:ind w:firstLineChars="0" w:firstLine="0"/>
              <w:jc w:val="center"/>
              <w:rPr>
                <w:rFonts w:ascii="仿宋" w:eastAsia="仿宋" w:hAnsi="仿宋" w:cs="仿宋"/>
                <w:sz w:val="24"/>
                <w:szCs w:val="24"/>
              </w:rPr>
            </w:pPr>
            <w:r>
              <w:rPr>
                <w:rFonts w:ascii="仿宋" w:eastAsia="仿宋" w:hAnsi="仿宋" w:cs="仿宋" w:hint="eastAsia"/>
                <w:spacing w:val="6"/>
                <w:sz w:val="24"/>
                <w:szCs w:val="24"/>
              </w:rPr>
              <w:t>22-</w:t>
            </w:r>
            <w:r>
              <w:rPr>
                <w:rFonts w:ascii="仿宋" w:eastAsia="仿宋" w:hAnsi="仿宋" w:cs="仿宋" w:hint="eastAsia"/>
                <w:spacing w:val="5"/>
                <w:sz w:val="24"/>
                <w:szCs w:val="24"/>
              </w:rPr>
              <w:t>32</w:t>
            </w:r>
          </w:p>
        </w:tc>
        <w:tc>
          <w:tcPr>
            <w:tcW w:w="1350" w:type="dxa"/>
            <w:tcBorders>
              <w:right w:val="single" w:sz="4" w:space="0" w:color="000000"/>
            </w:tcBorders>
            <w:vAlign w:val="center"/>
          </w:tcPr>
          <w:p w:rsidR="00925AC4" w:rsidRDefault="00285E1E">
            <w:pPr>
              <w:spacing w:before="135" w:line="167" w:lineRule="auto"/>
              <w:ind w:firstLineChars="0" w:firstLine="0"/>
              <w:jc w:val="center"/>
              <w:rPr>
                <w:rFonts w:ascii="仿宋" w:eastAsia="仿宋" w:hAnsi="仿宋" w:cs="仿宋"/>
                <w:sz w:val="24"/>
                <w:szCs w:val="24"/>
              </w:rPr>
            </w:pPr>
            <w:r>
              <w:rPr>
                <w:rFonts w:ascii="仿宋" w:eastAsia="仿宋" w:hAnsi="仿宋" w:cs="仿宋" w:hint="eastAsia"/>
                <w:spacing w:val="6"/>
                <w:sz w:val="24"/>
                <w:szCs w:val="24"/>
              </w:rPr>
              <w:t>≥</w:t>
            </w:r>
            <w:r>
              <w:rPr>
                <w:rFonts w:ascii="仿宋" w:eastAsia="仿宋" w:hAnsi="仿宋" w:cs="仿宋" w:hint="eastAsia"/>
                <w:spacing w:val="5"/>
                <w:sz w:val="24"/>
                <w:szCs w:val="24"/>
              </w:rPr>
              <w:t>30</w:t>
            </w:r>
            <w:commentRangeEnd w:id="13"/>
            <w:r>
              <w:rPr>
                <w:rFonts w:ascii="仿宋" w:eastAsia="仿宋" w:hAnsi="仿宋" w:cs="仿宋" w:hint="eastAsia"/>
              </w:rPr>
              <w:commentReference w:id="13"/>
            </w:r>
          </w:p>
        </w:tc>
      </w:tr>
      <w:tr w:rsidR="00925AC4">
        <w:trPr>
          <w:trHeight w:val="424"/>
        </w:trPr>
        <w:tc>
          <w:tcPr>
            <w:tcW w:w="4484" w:type="dxa"/>
            <w:tcBorders>
              <w:left w:val="single" w:sz="4" w:space="0" w:color="000000"/>
            </w:tcBorders>
            <w:vAlign w:val="center"/>
          </w:tcPr>
          <w:p w:rsidR="00925AC4" w:rsidRDefault="00285E1E">
            <w:pPr>
              <w:spacing w:before="105" w:line="183" w:lineRule="auto"/>
              <w:ind w:firstLineChars="0" w:firstLine="0"/>
              <w:jc w:val="center"/>
              <w:rPr>
                <w:rFonts w:ascii="仿宋" w:eastAsia="仿宋" w:hAnsi="仿宋" w:cs="仿宋"/>
                <w:sz w:val="24"/>
                <w:szCs w:val="24"/>
              </w:rPr>
            </w:pPr>
            <w:r>
              <w:rPr>
                <w:rFonts w:ascii="仿宋" w:eastAsia="仿宋" w:hAnsi="仿宋" w:cs="仿宋" w:hint="eastAsia"/>
                <w:sz w:val="24"/>
                <w:szCs w:val="24"/>
              </w:rPr>
              <w:t>商务金融用地</w:t>
            </w:r>
          </w:p>
        </w:tc>
        <w:tc>
          <w:tcPr>
            <w:tcW w:w="1615" w:type="dxa"/>
            <w:vAlign w:val="center"/>
          </w:tcPr>
          <w:p w:rsidR="00925AC4" w:rsidRDefault="00285E1E">
            <w:pPr>
              <w:spacing w:before="133" w:line="167" w:lineRule="auto"/>
              <w:ind w:firstLineChars="0" w:firstLine="0"/>
              <w:jc w:val="center"/>
              <w:rPr>
                <w:rFonts w:ascii="仿宋" w:eastAsia="仿宋" w:hAnsi="仿宋" w:cs="仿宋"/>
                <w:sz w:val="24"/>
                <w:szCs w:val="24"/>
              </w:rPr>
            </w:pPr>
            <w:r>
              <w:rPr>
                <w:rFonts w:ascii="仿宋" w:eastAsia="仿宋" w:hAnsi="仿宋" w:cs="仿宋" w:hint="eastAsia"/>
                <w:spacing w:val="6"/>
                <w:sz w:val="24"/>
                <w:szCs w:val="24"/>
              </w:rPr>
              <w:t>≤</w:t>
            </w:r>
            <w:r>
              <w:rPr>
                <w:rFonts w:ascii="仿宋" w:eastAsia="仿宋" w:hAnsi="仿宋" w:cs="仿宋" w:hint="eastAsia"/>
                <w:spacing w:val="3"/>
                <w:sz w:val="24"/>
                <w:szCs w:val="24"/>
              </w:rPr>
              <w:t>3.5</w:t>
            </w:r>
          </w:p>
        </w:tc>
        <w:tc>
          <w:tcPr>
            <w:tcW w:w="1432" w:type="dxa"/>
            <w:vAlign w:val="center"/>
          </w:tcPr>
          <w:p w:rsidR="00925AC4" w:rsidRDefault="00285E1E">
            <w:pPr>
              <w:spacing w:before="133" w:line="167" w:lineRule="auto"/>
              <w:ind w:firstLineChars="0" w:firstLine="0"/>
              <w:jc w:val="center"/>
              <w:rPr>
                <w:rFonts w:ascii="仿宋" w:eastAsia="仿宋" w:hAnsi="仿宋" w:cs="仿宋"/>
                <w:sz w:val="24"/>
                <w:szCs w:val="24"/>
              </w:rPr>
            </w:pPr>
            <w:r>
              <w:rPr>
                <w:rFonts w:ascii="仿宋" w:eastAsia="仿宋" w:hAnsi="仿宋" w:cs="仿宋" w:hint="eastAsia"/>
                <w:spacing w:val="7"/>
                <w:sz w:val="24"/>
                <w:szCs w:val="24"/>
              </w:rPr>
              <w:t>≤</w:t>
            </w:r>
            <w:r>
              <w:rPr>
                <w:rFonts w:ascii="仿宋" w:eastAsia="仿宋" w:hAnsi="仿宋" w:cs="仿宋" w:hint="eastAsia"/>
                <w:spacing w:val="5"/>
                <w:sz w:val="24"/>
                <w:szCs w:val="24"/>
              </w:rPr>
              <w:t>50</w:t>
            </w:r>
          </w:p>
        </w:tc>
        <w:tc>
          <w:tcPr>
            <w:tcW w:w="1350" w:type="dxa"/>
            <w:tcBorders>
              <w:right w:val="single" w:sz="4" w:space="0" w:color="000000"/>
            </w:tcBorders>
            <w:vAlign w:val="center"/>
          </w:tcPr>
          <w:p w:rsidR="00925AC4" w:rsidRDefault="00285E1E">
            <w:pPr>
              <w:spacing w:before="133" w:line="167" w:lineRule="auto"/>
              <w:ind w:firstLineChars="0" w:firstLine="0"/>
              <w:jc w:val="center"/>
              <w:rPr>
                <w:rFonts w:ascii="仿宋" w:eastAsia="仿宋" w:hAnsi="仿宋" w:cs="仿宋"/>
                <w:sz w:val="24"/>
                <w:szCs w:val="24"/>
              </w:rPr>
            </w:pPr>
            <w:r>
              <w:rPr>
                <w:rFonts w:ascii="仿宋" w:eastAsia="仿宋" w:hAnsi="仿宋" w:cs="仿宋" w:hint="eastAsia"/>
                <w:spacing w:val="6"/>
                <w:sz w:val="24"/>
                <w:szCs w:val="24"/>
              </w:rPr>
              <w:t>≥</w:t>
            </w:r>
            <w:r>
              <w:rPr>
                <w:rFonts w:ascii="仿宋" w:eastAsia="仿宋" w:hAnsi="仿宋" w:cs="仿宋" w:hint="eastAsia"/>
                <w:spacing w:val="4"/>
                <w:sz w:val="24"/>
                <w:szCs w:val="24"/>
              </w:rPr>
              <w:t>25</w:t>
            </w:r>
          </w:p>
        </w:tc>
      </w:tr>
      <w:tr w:rsidR="00925AC4">
        <w:trPr>
          <w:trHeight w:val="90"/>
        </w:trPr>
        <w:tc>
          <w:tcPr>
            <w:tcW w:w="4484" w:type="dxa"/>
            <w:tcBorders>
              <w:left w:val="single" w:sz="4" w:space="0" w:color="000000"/>
            </w:tcBorders>
            <w:vAlign w:val="center"/>
          </w:tcPr>
          <w:p w:rsidR="00925AC4" w:rsidRDefault="00285E1E">
            <w:pPr>
              <w:spacing w:before="105" w:line="189" w:lineRule="auto"/>
              <w:ind w:firstLineChars="0" w:firstLine="0"/>
              <w:jc w:val="center"/>
              <w:rPr>
                <w:rFonts w:ascii="仿宋" w:eastAsia="仿宋" w:hAnsi="仿宋" w:cs="仿宋"/>
                <w:sz w:val="24"/>
                <w:szCs w:val="24"/>
              </w:rPr>
            </w:pPr>
            <w:r>
              <w:rPr>
                <w:rFonts w:ascii="仿宋" w:eastAsia="仿宋" w:hAnsi="仿宋" w:cs="仿宋" w:hint="eastAsia"/>
                <w:sz w:val="24"/>
                <w:szCs w:val="24"/>
              </w:rPr>
              <w:t>商业用地</w:t>
            </w:r>
          </w:p>
        </w:tc>
        <w:tc>
          <w:tcPr>
            <w:tcW w:w="1615" w:type="dxa"/>
            <w:vAlign w:val="center"/>
          </w:tcPr>
          <w:p w:rsidR="00925AC4" w:rsidRDefault="00285E1E">
            <w:pPr>
              <w:spacing w:before="133" w:line="173" w:lineRule="auto"/>
              <w:ind w:firstLineChars="0" w:firstLine="0"/>
              <w:jc w:val="center"/>
              <w:rPr>
                <w:rFonts w:ascii="仿宋" w:eastAsia="仿宋" w:hAnsi="仿宋" w:cs="仿宋"/>
                <w:sz w:val="24"/>
                <w:szCs w:val="24"/>
              </w:rPr>
            </w:pPr>
            <w:r>
              <w:rPr>
                <w:rFonts w:ascii="仿宋" w:eastAsia="仿宋" w:hAnsi="仿宋" w:cs="仿宋" w:hint="eastAsia"/>
                <w:spacing w:val="4"/>
                <w:sz w:val="24"/>
                <w:szCs w:val="24"/>
              </w:rPr>
              <w:t>≤</w:t>
            </w:r>
            <w:r>
              <w:rPr>
                <w:rFonts w:ascii="仿宋" w:eastAsia="仿宋" w:hAnsi="仿宋" w:cs="仿宋" w:hint="eastAsia"/>
                <w:spacing w:val="3"/>
                <w:sz w:val="24"/>
                <w:szCs w:val="24"/>
              </w:rPr>
              <w:t>2.5</w:t>
            </w:r>
          </w:p>
        </w:tc>
        <w:tc>
          <w:tcPr>
            <w:tcW w:w="1432" w:type="dxa"/>
            <w:vAlign w:val="center"/>
          </w:tcPr>
          <w:p w:rsidR="00925AC4" w:rsidRDefault="00285E1E">
            <w:pPr>
              <w:spacing w:before="133" w:line="173" w:lineRule="auto"/>
              <w:ind w:firstLineChars="0" w:firstLine="0"/>
              <w:jc w:val="center"/>
              <w:rPr>
                <w:rFonts w:ascii="仿宋" w:eastAsia="仿宋" w:hAnsi="仿宋" w:cs="仿宋"/>
                <w:sz w:val="24"/>
                <w:szCs w:val="24"/>
              </w:rPr>
            </w:pPr>
            <w:r>
              <w:rPr>
                <w:rFonts w:ascii="仿宋" w:eastAsia="仿宋" w:hAnsi="仿宋" w:cs="仿宋" w:hint="eastAsia"/>
                <w:spacing w:val="6"/>
                <w:sz w:val="24"/>
                <w:szCs w:val="24"/>
              </w:rPr>
              <w:t>≤</w:t>
            </w:r>
            <w:r>
              <w:rPr>
                <w:rFonts w:ascii="仿宋" w:eastAsia="仿宋" w:hAnsi="仿宋" w:cs="仿宋" w:hint="eastAsia"/>
                <w:spacing w:val="5"/>
                <w:sz w:val="24"/>
                <w:szCs w:val="24"/>
              </w:rPr>
              <w:t>60</w:t>
            </w:r>
          </w:p>
        </w:tc>
        <w:tc>
          <w:tcPr>
            <w:tcW w:w="1350" w:type="dxa"/>
            <w:tcBorders>
              <w:right w:val="single" w:sz="4" w:space="0" w:color="000000"/>
            </w:tcBorders>
            <w:vAlign w:val="center"/>
          </w:tcPr>
          <w:p w:rsidR="00925AC4" w:rsidRDefault="00285E1E">
            <w:pPr>
              <w:spacing w:before="133" w:line="173" w:lineRule="auto"/>
              <w:ind w:firstLineChars="0" w:firstLine="0"/>
              <w:jc w:val="center"/>
              <w:rPr>
                <w:rFonts w:ascii="仿宋" w:eastAsia="仿宋" w:hAnsi="仿宋" w:cs="仿宋"/>
                <w:sz w:val="24"/>
                <w:szCs w:val="24"/>
              </w:rPr>
            </w:pPr>
            <w:r>
              <w:rPr>
                <w:rFonts w:ascii="仿宋" w:eastAsia="仿宋" w:hAnsi="仿宋" w:cs="仿宋" w:hint="eastAsia"/>
                <w:spacing w:val="9"/>
                <w:sz w:val="24"/>
                <w:szCs w:val="24"/>
              </w:rPr>
              <w:t>≥</w:t>
            </w:r>
            <w:r>
              <w:rPr>
                <w:rFonts w:ascii="仿宋" w:eastAsia="仿宋" w:hAnsi="仿宋" w:cs="仿宋" w:hint="eastAsia"/>
                <w:spacing w:val="7"/>
                <w:sz w:val="24"/>
                <w:szCs w:val="24"/>
              </w:rPr>
              <w:t>10</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r>
        <w:rPr>
          <w:rFonts w:ascii="仿宋" w:eastAsia="仿宋" w:hAnsi="仿宋" w:cs="仿宋" w:hint="eastAsia"/>
          <w:color w:val="auto"/>
        </w:rPr>
        <w:t>1</w:t>
      </w:r>
      <w:r>
        <w:rPr>
          <w:rFonts w:ascii="仿宋" w:eastAsia="仿宋" w:hAnsi="仿宋" w:cs="仿宋" w:hint="eastAsia"/>
          <w:color w:val="auto"/>
        </w:rPr>
        <w:t>．</w:t>
      </w:r>
      <w:r>
        <w:rPr>
          <w:rFonts w:ascii="仿宋" w:eastAsia="仿宋" w:hAnsi="仿宋" w:cs="仿宋" w:hint="eastAsia"/>
          <w:color w:val="auto"/>
          <w:szCs w:val="24"/>
        </w:rPr>
        <w:t>主城区</w:t>
      </w:r>
      <w:r>
        <w:rPr>
          <w:rFonts w:ascii="仿宋" w:eastAsia="仿宋" w:hAnsi="仿宋" w:cs="仿宋" w:hint="eastAsia"/>
          <w:color w:val="auto"/>
        </w:rPr>
        <w:t>中心地段等特殊区域的容积率、建筑密度、绿地率确需突破上述指标的，应当经专题论证确定</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2</w:t>
      </w:r>
      <w:r>
        <w:rPr>
          <w:rFonts w:ascii="仿宋" w:eastAsia="仿宋" w:hAnsi="仿宋" w:cs="仿宋" w:hint="eastAsia"/>
          <w:color w:val="auto"/>
        </w:rPr>
        <w:t>．居住、商业、商务等用地性质混合兼容的，其容积率不得大于各用地最大容积率的平均值，建筑密度不得大于各用地建筑密度的最大值，绿地率不得小于各用地最小绿地率的平均值</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3</w:t>
      </w:r>
      <w:r>
        <w:rPr>
          <w:rFonts w:ascii="仿宋" w:eastAsia="仿宋" w:hAnsi="仿宋" w:cs="仿宋" w:hint="eastAsia"/>
          <w:color w:val="auto"/>
        </w:rPr>
        <w:t>．容积率应当与公共服务设施、公用设施、交通设施、空间形态、停车位配建标准、绿地率等其他规划指标相匹配</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4</w:t>
      </w:r>
      <w:r>
        <w:rPr>
          <w:rFonts w:ascii="仿宋" w:eastAsia="仿宋" w:hAnsi="仿宋" w:cs="仿宋" w:hint="eastAsia"/>
          <w:color w:val="auto"/>
        </w:rPr>
        <w:t>．列为城市更新对象或者纳入城市更新范围的项目，按照本市相关规定执行</w:t>
      </w:r>
      <w:r>
        <w:rPr>
          <w:rFonts w:ascii="仿宋" w:eastAsia="仿宋" w:hAnsi="仿宋" w:cs="仿宋" w:hint="eastAsia"/>
          <w:color w:val="auto"/>
        </w:rPr>
        <w:t>。</w:t>
      </w:r>
    </w:p>
    <w:p w:rsidR="00925AC4" w:rsidRDefault="00925AC4" w:rsidP="008E7712">
      <w:pPr>
        <w:pStyle w:val="ac"/>
        <w:ind w:firstLine="480"/>
        <w:rPr>
          <w:rFonts w:ascii="仿宋" w:eastAsia="仿宋" w:hAnsi="仿宋" w:cs="仿宋"/>
          <w:color w:val="auto"/>
        </w:rPr>
      </w:pP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szCs w:val="28"/>
        </w:rPr>
        <w:t xml:space="preserve"> </w:t>
      </w:r>
      <w:r>
        <w:rPr>
          <w:rFonts w:ascii="仿宋" w:eastAsia="仿宋" w:hAnsi="仿宋" w:cs="仿宋" w:hint="eastAsia"/>
          <w:color w:val="auto"/>
          <w:szCs w:val="28"/>
        </w:rPr>
        <w:t>机关团体用地容积率原则上不大于</w:t>
      </w:r>
      <w:r>
        <w:rPr>
          <w:rFonts w:ascii="仿宋" w:eastAsia="仿宋" w:hAnsi="仿宋" w:cs="仿宋" w:hint="eastAsia"/>
          <w:color w:val="auto"/>
          <w:szCs w:val="28"/>
        </w:rPr>
        <w:t>2.5,</w:t>
      </w:r>
      <w:r>
        <w:rPr>
          <w:rFonts w:ascii="仿宋" w:eastAsia="仿宋" w:hAnsi="仿宋" w:cs="仿宋" w:hint="eastAsia"/>
          <w:color w:val="auto"/>
          <w:szCs w:val="28"/>
        </w:rPr>
        <w:t>建筑密度不大于</w:t>
      </w:r>
      <w:r>
        <w:rPr>
          <w:rFonts w:ascii="仿宋" w:eastAsia="仿宋" w:hAnsi="仿宋" w:cs="仿宋" w:hint="eastAsia"/>
          <w:color w:val="auto"/>
          <w:szCs w:val="28"/>
        </w:rPr>
        <w:t>40%,</w:t>
      </w:r>
      <w:r>
        <w:rPr>
          <w:rFonts w:ascii="仿宋" w:eastAsia="仿宋" w:hAnsi="仿宋" w:cs="仿宋" w:hint="eastAsia"/>
          <w:color w:val="auto"/>
          <w:szCs w:val="28"/>
        </w:rPr>
        <w:t>绿地率结合方案合理性确定。</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高等教育用地、中等职业教育及其他教育用地的总容积率应不小于</w:t>
      </w:r>
      <w:r>
        <w:rPr>
          <w:rFonts w:ascii="仿宋" w:eastAsia="仿宋" w:hAnsi="仿宋" w:cs="仿宋" w:hint="eastAsia"/>
          <w:color w:val="auto"/>
        </w:rPr>
        <w:t>0.5</w:t>
      </w:r>
      <w:r>
        <w:rPr>
          <w:rFonts w:ascii="仿宋" w:eastAsia="仿宋" w:hAnsi="仿宋" w:cs="仿宋" w:hint="eastAsia"/>
          <w:color w:val="auto"/>
        </w:rPr>
        <w:t>且不宜大于</w:t>
      </w:r>
      <w:r>
        <w:rPr>
          <w:rFonts w:ascii="仿宋" w:eastAsia="仿宋" w:hAnsi="仿宋" w:cs="仿宋" w:hint="eastAsia"/>
          <w:color w:val="auto"/>
        </w:rPr>
        <w:t>2.5</w:t>
      </w:r>
      <w:r>
        <w:rPr>
          <w:rFonts w:ascii="仿宋" w:eastAsia="仿宋" w:hAnsi="仿宋" w:cs="仿宋" w:hint="eastAsia"/>
          <w:color w:val="auto"/>
        </w:rPr>
        <w:t>。有特殊需求的高等院校，可结合上述要求个案研究。</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中小学用地的总容积率、总建筑密度应按控规执行，控规未明确的其规划控制指标按相关规范结合方案合理性确定。</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科研用地的总容积率原则上不小于</w:t>
      </w:r>
      <w:r>
        <w:rPr>
          <w:rFonts w:ascii="仿宋" w:eastAsia="仿宋" w:hAnsi="仿宋" w:cs="仿宋" w:hint="eastAsia"/>
          <w:color w:val="auto"/>
        </w:rPr>
        <w:t>1.2</w:t>
      </w:r>
      <w:r>
        <w:rPr>
          <w:rFonts w:ascii="仿宋" w:eastAsia="仿宋" w:hAnsi="仿宋" w:cs="仿宋" w:hint="eastAsia"/>
          <w:color w:val="auto"/>
        </w:rPr>
        <w:t>且不大于</w:t>
      </w:r>
      <w:r>
        <w:rPr>
          <w:rFonts w:ascii="仿宋" w:eastAsia="仿宋" w:hAnsi="仿宋" w:cs="仿宋" w:hint="eastAsia"/>
          <w:color w:val="auto"/>
        </w:rPr>
        <w:t>3.0,</w:t>
      </w:r>
      <w:r>
        <w:rPr>
          <w:rFonts w:ascii="仿宋" w:eastAsia="仿宋" w:hAnsi="仿宋" w:cs="仿宋" w:hint="eastAsia"/>
          <w:color w:val="auto"/>
        </w:rPr>
        <w:t>总建筑密度不大于</w:t>
      </w:r>
      <w:r>
        <w:rPr>
          <w:rFonts w:ascii="仿宋" w:eastAsia="仿宋" w:hAnsi="仿宋" w:cs="仿宋" w:hint="eastAsia"/>
          <w:color w:val="auto"/>
        </w:rPr>
        <w:t>30%,</w:t>
      </w:r>
      <w:r>
        <w:rPr>
          <w:rFonts w:ascii="仿宋" w:eastAsia="仿宋" w:hAnsi="仿宋" w:cs="仿宋" w:hint="eastAsia"/>
          <w:color w:val="auto"/>
        </w:rPr>
        <w:t>绿地率不小于</w:t>
      </w:r>
      <w:r>
        <w:rPr>
          <w:rFonts w:ascii="仿宋" w:eastAsia="仿宋" w:hAnsi="仿宋" w:cs="仿宋" w:hint="eastAsia"/>
          <w:color w:val="auto"/>
        </w:rPr>
        <w:t>35%</w:t>
      </w:r>
      <w:r>
        <w:rPr>
          <w:rFonts w:ascii="仿宋" w:eastAsia="仿宋" w:hAnsi="仿宋" w:cs="仿宋" w:hint="eastAsia"/>
          <w:color w:val="auto"/>
        </w:rPr>
        <w:t>。</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控规中规划的体育用地除市级体育中心外，其余均为综合运动场地。综合运动场地按每</w:t>
      </w:r>
      <w:r>
        <w:rPr>
          <w:rFonts w:ascii="仿宋" w:eastAsia="仿宋" w:hAnsi="仿宋" w:cs="仿宋" w:hint="eastAsia"/>
          <w:color w:val="auto"/>
        </w:rPr>
        <w:t>100</w:t>
      </w:r>
      <w:r>
        <w:rPr>
          <w:rFonts w:ascii="仿宋" w:eastAsia="仿宋" w:hAnsi="仿宋" w:cs="仿宋" w:hint="eastAsia"/>
          <w:color w:val="auto"/>
        </w:rPr>
        <w:t>平方米用地面积配置不大于</w:t>
      </w:r>
      <w:r>
        <w:rPr>
          <w:rFonts w:ascii="仿宋" w:eastAsia="仿宋" w:hAnsi="仿宋" w:cs="仿宋" w:hint="eastAsia"/>
          <w:color w:val="auto"/>
        </w:rPr>
        <w:t>3</w:t>
      </w:r>
      <w:r>
        <w:rPr>
          <w:rFonts w:ascii="仿宋" w:eastAsia="仿宋" w:hAnsi="仿宋" w:cs="仿宋" w:hint="eastAsia"/>
          <w:color w:val="auto"/>
        </w:rPr>
        <w:t>平方米，且总建筑面积不大于</w:t>
      </w:r>
      <w:r>
        <w:rPr>
          <w:rFonts w:ascii="仿宋" w:eastAsia="仿宋" w:hAnsi="仿宋" w:cs="仿宋" w:hint="eastAsia"/>
          <w:color w:val="auto"/>
        </w:rPr>
        <w:t>500</w:t>
      </w:r>
      <w:r>
        <w:rPr>
          <w:rFonts w:ascii="仿宋" w:eastAsia="仿宋" w:hAnsi="仿宋" w:cs="仿宋" w:hint="eastAsia"/>
          <w:color w:val="auto"/>
        </w:rPr>
        <w:t>平方米的服务设施。</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新建或迁建医院的总容积率不大于</w:t>
      </w:r>
      <w:r>
        <w:rPr>
          <w:rFonts w:ascii="仿宋" w:eastAsia="仿宋" w:hAnsi="仿宋" w:cs="仿宋" w:hint="eastAsia"/>
          <w:color w:val="auto"/>
        </w:rPr>
        <w:t>2.5;</w:t>
      </w:r>
      <w:r>
        <w:rPr>
          <w:rFonts w:ascii="仿宋" w:eastAsia="仿宋" w:hAnsi="仿宋" w:cs="仿宋" w:hint="eastAsia"/>
          <w:color w:val="auto"/>
        </w:rPr>
        <w:t>改扩建医院的总容积率不大于</w:t>
      </w:r>
      <w:r>
        <w:rPr>
          <w:rFonts w:ascii="仿宋" w:eastAsia="仿宋" w:hAnsi="仿宋" w:cs="仿宋" w:hint="eastAsia"/>
          <w:color w:val="auto"/>
        </w:rPr>
        <w:t>3.0,</w:t>
      </w:r>
      <w:r>
        <w:rPr>
          <w:rFonts w:ascii="仿宋" w:eastAsia="仿宋" w:hAnsi="仿宋" w:cs="仿宋" w:hint="eastAsia"/>
          <w:color w:val="auto"/>
        </w:rPr>
        <w:t>改扩建医院总建筑密度和绿地率结合方案合理性确定。</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lastRenderedPageBreak/>
        <w:t xml:space="preserve"> </w:t>
      </w:r>
      <w:r>
        <w:rPr>
          <w:rFonts w:ascii="仿宋" w:eastAsia="仿宋" w:hAnsi="仿宋" w:cs="仿宋" w:hint="eastAsia"/>
          <w:color w:val="auto"/>
        </w:rPr>
        <w:t>社会福利用地的总容积率不大于</w:t>
      </w:r>
      <w:r>
        <w:rPr>
          <w:rFonts w:ascii="仿宋" w:eastAsia="仿宋" w:hAnsi="仿宋" w:cs="仿宋" w:hint="eastAsia"/>
          <w:color w:val="auto"/>
        </w:rPr>
        <w:t>1.8,</w:t>
      </w:r>
      <w:r>
        <w:rPr>
          <w:rFonts w:ascii="仿宋" w:eastAsia="仿宋" w:hAnsi="仿宋" w:cs="仿宋" w:hint="eastAsia"/>
          <w:color w:val="auto"/>
        </w:rPr>
        <w:t>总建筑密度不大于</w:t>
      </w:r>
      <w:r>
        <w:rPr>
          <w:rFonts w:ascii="仿宋" w:eastAsia="仿宋" w:hAnsi="仿宋" w:cs="仿宋" w:hint="eastAsia"/>
          <w:color w:val="auto"/>
        </w:rPr>
        <w:t>35%</w:t>
      </w:r>
      <w:r>
        <w:rPr>
          <w:rFonts w:ascii="仿宋" w:eastAsia="仿宋" w:hAnsi="仿宋" w:cs="仿宋" w:hint="eastAsia"/>
          <w:color w:val="auto"/>
        </w:rPr>
        <w:t>。</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批发市场用地的总容积率不小于</w:t>
      </w:r>
      <w:r>
        <w:rPr>
          <w:rFonts w:ascii="仿宋" w:eastAsia="仿宋" w:hAnsi="仿宋" w:cs="仿宋" w:hint="eastAsia"/>
          <w:color w:val="auto"/>
        </w:rPr>
        <w:t>1.5</w:t>
      </w:r>
      <w:r>
        <w:rPr>
          <w:rFonts w:ascii="仿宋" w:eastAsia="仿宋" w:hAnsi="仿宋" w:cs="仿宋" w:hint="eastAsia"/>
          <w:color w:val="auto"/>
        </w:rPr>
        <w:t>且不大于</w:t>
      </w:r>
      <w:r>
        <w:rPr>
          <w:rFonts w:ascii="仿宋" w:eastAsia="仿宋" w:hAnsi="仿宋" w:cs="仿宋" w:hint="eastAsia"/>
          <w:color w:val="auto"/>
        </w:rPr>
        <w:t>2.2,</w:t>
      </w:r>
      <w:r>
        <w:rPr>
          <w:rFonts w:ascii="仿宋" w:eastAsia="仿宋" w:hAnsi="仿宋" w:cs="仿宋" w:hint="eastAsia"/>
          <w:color w:val="auto"/>
        </w:rPr>
        <w:t>总建筑密度不大于</w:t>
      </w:r>
      <w:r>
        <w:rPr>
          <w:rFonts w:ascii="仿宋" w:eastAsia="仿宋" w:hAnsi="仿宋" w:cs="仿宋" w:hint="eastAsia"/>
          <w:color w:val="auto"/>
        </w:rPr>
        <w:t>50%</w:t>
      </w:r>
      <w:r>
        <w:rPr>
          <w:rFonts w:ascii="仿宋" w:eastAsia="仿宋" w:hAnsi="仿宋" w:cs="仿宋" w:hint="eastAsia"/>
          <w:color w:val="auto"/>
        </w:rPr>
        <w:t>。</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独立选址的立体停车场</w:t>
      </w:r>
      <w:r>
        <w:rPr>
          <w:rFonts w:ascii="仿宋" w:eastAsia="仿宋" w:hAnsi="仿宋" w:cs="仿宋" w:hint="eastAsia"/>
          <w:color w:val="auto"/>
        </w:rPr>
        <w:t>(</w:t>
      </w:r>
      <w:r>
        <w:rPr>
          <w:rFonts w:ascii="仿宋" w:eastAsia="仿宋" w:hAnsi="仿宋" w:cs="仿宋" w:hint="eastAsia"/>
          <w:color w:val="auto"/>
        </w:rPr>
        <w:t>库</w:t>
      </w:r>
      <w:r>
        <w:rPr>
          <w:rFonts w:ascii="仿宋" w:eastAsia="仿宋" w:hAnsi="仿宋" w:cs="仿宋" w:hint="eastAsia"/>
          <w:color w:val="auto"/>
        </w:rPr>
        <w:t>)</w:t>
      </w:r>
      <w:r>
        <w:rPr>
          <w:rFonts w:ascii="仿宋" w:eastAsia="仿宋" w:hAnsi="仿宋" w:cs="仿宋" w:hint="eastAsia"/>
          <w:color w:val="auto"/>
        </w:rPr>
        <w:t>容积率原则上不大于</w:t>
      </w:r>
      <w:r>
        <w:rPr>
          <w:rFonts w:ascii="仿宋" w:eastAsia="仿宋" w:hAnsi="仿宋" w:cs="仿宋" w:hint="eastAsia"/>
          <w:color w:val="auto"/>
        </w:rPr>
        <w:t>3.0</w:t>
      </w:r>
      <w:r>
        <w:rPr>
          <w:rFonts w:ascii="仿宋" w:eastAsia="仿宋" w:hAnsi="仿宋" w:cs="仿宋" w:hint="eastAsia"/>
          <w:color w:val="auto"/>
        </w:rPr>
        <w:t>。</w:t>
      </w:r>
    </w:p>
    <w:p w:rsidR="00925AC4" w:rsidRDefault="00285E1E">
      <w:pPr>
        <w:numPr>
          <w:ilvl w:val="0"/>
          <w:numId w:val="4"/>
        </w:numPr>
        <w:ind w:firstLine="560"/>
        <w:rPr>
          <w:rFonts w:ascii="仿宋" w:eastAsia="仿宋" w:hAnsi="仿宋" w:cs="仿宋"/>
          <w:color w:val="auto"/>
          <w:szCs w:val="28"/>
        </w:rPr>
      </w:pPr>
      <w:r>
        <w:rPr>
          <w:rFonts w:ascii="仿宋" w:eastAsia="仿宋" w:hAnsi="仿宋" w:cs="仿宋" w:hint="eastAsia"/>
          <w:color w:val="auto"/>
        </w:rPr>
        <w:t xml:space="preserve"> </w:t>
      </w:r>
      <w:r>
        <w:rPr>
          <w:rFonts w:ascii="仿宋" w:eastAsia="仿宋" w:hAnsi="仿宋" w:cs="仿宋" w:hint="eastAsia"/>
          <w:color w:val="auto"/>
        </w:rPr>
        <w:t>城市各类规划工业用地应满足以下要求：</w:t>
      </w:r>
    </w:p>
    <w:p w:rsidR="00925AC4" w:rsidRDefault="00285E1E">
      <w:pPr>
        <w:numPr>
          <w:ilvl w:val="0"/>
          <w:numId w:val="5"/>
        </w:numPr>
        <w:ind w:firstLine="560"/>
        <w:rPr>
          <w:rFonts w:ascii="仿宋" w:eastAsia="仿宋" w:hAnsi="仿宋" w:cs="仿宋"/>
          <w:color w:val="auto"/>
        </w:rPr>
      </w:pPr>
      <w:r>
        <w:rPr>
          <w:rFonts w:ascii="仿宋" w:eastAsia="仿宋" w:hAnsi="仿宋" w:cs="仿宋" w:hint="eastAsia"/>
          <w:color w:val="auto"/>
        </w:rPr>
        <w:t>工业用地除化工、机械制造、废旧材料回收加工等对安全生产、工艺流程有特殊要求的项目外，基准总容积率不小于</w:t>
      </w:r>
      <w:r>
        <w:rPr>
          <w:rFonts w:ascii="仿宋" w:eastAsia="仿宋" w:hAnsi="仿宋" w:cs="仿宋" w:hint="eastAsia"/>
          <w:color w:val="auto"/>
        </w:rPr>
        <w:t>1.2,</w:t>
      </w:r>
      <w:r>
        <w:rPr>
          <w:rFonts w:ascii="仿宋" w:eastAsia="仿宋" w:hAnsi="仿宋" w:cs="仿宋" w:hint="eastAsia"/>
          <w:color w:val="auto"/>
        </w:rPr>
        <w:t>电子工业用地的基准总容积率不小于</w:t>
      </w:r>
      <w:r>
        <w:rPr>
          <w:rFonts w:ascii="仿宋" w:eastAsia="仿宋" w:hAnsi="仿宋" w:cs="仿宋" w:hint="eastAsia"/>
          <w:color w:val="auto"/>
        </w:rPr>
        <w:t>1.5;</w:t>
      </w:r>
    </w:p>
    <w:p w:rsidR="00925AC4" w:rsidRDefault="00285E1E">
      <w:pPr>
        <w:numPr>
          <w:ilvl w:val="0"/>
          <w:numId w:val="5"/>
        </w:numPr>
        <w:ind w:firstLine="560"/>
        <w:rPr>
          <w:rFonts w:ascii="仿宋" w:eastAsia="仿宋" w:hAnsi="仿宋" w:cs="仿宋"/>
          <w:color w:val="auto"/>
        </w:rPr>
      </w:pPr>
      <w:r>
        <w:rPr>
          <w:rFonts w:ascii="仿宋" w:eastAsia="仿宋" w:hAnsi="仿宋" w:cs="仿宋" w:hint="eastAsia"/>
          <w:color w:val="auto"/>
        </w:rPr>
        <w:t>工业项目的建筑系数应不低于</w:t>
      </w:r>
      <w:r>
        <w:rPr>
          <w:rFonts w:ascii="仿宋" w:eastAsia="仿宋" w:hAnsi="仿宋" w:cs="仿宋" w:hint="eastAsia"/>
          <w:color w:val="auto"/>
        </w:rPr>
        <w:t>30%(</w:t>
      </w:r>
      <w:r>
        <w:rPr>
          <w:rFonts w:ascii="仿宋" w:eastAsia="仿宋" w:hAnsi="仿宋" w:cs="仿宋" w:hint="eastAsia"/>
          <w:color w:val="auto"/>
        </w:rPr>
        <w:t>建筑系数指项目用地范围内各种建筑物、用于生产和直接为生产服务的构筑物占地面积总和占总用地面积的比例</w:t>
      </w:r>
      <w:r>
        <w:rPr>
          <w:rFonts w:ascii="仿宋" w:eastAsia="仿宋" w:hAnsi="仿宋" w:cs="仿宋" w:hint="eastAsia"/>
          <w:color w:val="auto"/>
        </w:rPr>
        <w:t>)</w:t>
      </w:r>
      <w:r>
        <w:rPr>
          <w:rFonts w:ascii="仿宋" w:eastAsia="仿宋" w:hAnsi="仿宋" w:cs="仿宋" w:hint="eastAsia"/>
          <w:color w:val="auto"/>
        </w:rPr>
        <w:t>。计算公式为建筑系数</w:t>
      </w:r>
      <w:r>
        <w:rPr>
          <w:rFonts w:ascii="仿宋" w:eastAsia="仿宋" w:hAnsi="仿宋" w:cs="仿宋" w:hint="eastAsia"/>
          <w:color w:val="auto"/>
        </w:rPr>
        <w:t>=(</w:t>
      </w:r>
      <w:r>
        <w:rPr>
          <w:rFonts w:ascii="仿宋" w:eastAsia="仿宋" w:hAnsi="仿宋" w:cs="仿宋" w:hint="eastAsia"/>
          <w:color w:val="auto"/>
        </w:rPr>
        <w:t>建筑物占地面积</w:t>
      </w:r>
      <w:r>
        <w:rPr>
          <w:rFonts w:ascii="仿宋" w:eastAsia="仿宋" w:hAnsi="仿宋" w:cs="仿宋" w:hint="eastAsia"/>
          <w:color w:val="auto"/>
        </w:rPr>
        <w:t>+</w:t>
      </w:r>
      <w:r>
        <w:rPr>
          <w:rFonts w:ascii="仿宋" w:eastAsia="仿宋" w:hAnsi="仿宋" w:cs="仿宋" w:hint="eastAsia"/>
          <w:color w:val="auto"/>
        </w:rPr>
        <w:t>构筑物占地面积</w:t>
      </w:r>
      <w:r>
        <w:rPr>
          <w:rFonts w:ascii="仿宋" w:eastAsia="仿宋" w:hAnsi="仿宋" w:cs="仿宋" w:hint="eastAsia"/>
          <w:color w:val="auto"/>
        </w:rPr>
        <w:t>+</w:t>
      </w:r>
      <w:r>
        <w:rPr>
          <w:rFonts w:ascii="仿宋" w:eastAsia="仿宋" w:hAnsi="仿宋" w:cs="仿宋" w:hint="eastAsia"/>
          <w:color w:val="auto"/>
        </w:rPr>
        <w:t>堆场用地面积</w:t>
      </w:r>
      <w:r>
        <w:rPr>
          <w:rFonts w:ascii="仿宋" w:eastAsia="仿宋" w:hAnsi="仿宋" w:cs="仿宋" w:hint="eastAsia"/>
          <w:color w:val="auto"/>
        </w:rPr>
        <w:t>)</w:t>
      </w:r>
      <w:r>
        <w:rPr>
          <w:rFonts w:ascii="仿宋" w:eastAsia="仿宋" w:hAnsi="仿宋" w:cs="仿宋" w:hint="eastAsia"/>
          <w:color w:val="auto"/>
        </w:rPr>
        <w:t>÷项目总用地面积×</w:t>
      </w:r>
      <w:r>
        <w:rPr>
          <w:rFonts w:ascii="仿宋" w:eastAsia="仿宋" w:hAnsi="仿宋" w:cs="仿宋" w:hint="eastAsia"/>
          <w:color w:val="auto"/>
        </w:rPr>
        <w:t>100%);</w:t>
      </w:r>
    </w:p>
    <w:p w:rsidR="00925AC4" w:rsidRDefault="00285E1E">
      <w:pPr>
        <w:numPr>
          <w:ilvl w:val="0"/>
          <w:numId w:val="5"/>
        </w:numPr>
        <w:ind w:firstLine="560"/>
        <w:rPr>
          <w:rFonts w:ascii="仿宋" w:eastAsia="仿宋" w:hAnsi="仿宋" w:cs="仿宋"/>
          <w:color w:val="auto"/>
        </w:rPr>
      </w:pPr>
      <w:r>
        <w:rPr>
          <w:rFonts w:ascii="仿宋" w:eastAsia="仿宋" w:hAnsi="仿宋" w:cs="仿宋" w:hint="eastAsia"/>
          <w:color w:val="auto"/>
        </w:rPr>
        <w:t>工业用地绿地率不宜超过</w:t>
      </w:r>
      <w:r>
        <w:rPr>
          <w:rFonts w:ascii="仿宋" w:eastAsia="仿宋" w:hAnsi="仿宋" w:cs="仿宋" w:hint="eastAsia"/>
          <w:color w:val="auto"/>
        </w:rPr>
        <w:t>20%;</w:t>
      </w:r>
    </w:p>
    <w:p w:rsidR="00925AC4" w:rsidRDefault="00285E1E">
      <w:pPr>
        <w:numPr>
          <w:ilvl w:val="0"/>
          <w:numId w:val="5"/>
        </w:numPr>
        <w:ind w:firstLine="560"/>
        <w:rPr>
          <w:rFonts w:ascii="仿宋" w:eastAsia="仿宋" w:hAnsi="仿宋" w:cs="仿宋"/>
          <w:color w:val="auto"/>
        </w:rPr>
      </w:pPr>
      <w:r>
        <w:rPr>
          <w:rFonts w:ascii="仿宋" w:eastAsia="仿宋" w:hAnsi="仿宋" w:cs="仿宋" w:hint="eastAsia"/>
          <w:color w:val="auto"/>
        </w:rPr>
        <w:t>工业项目的行政办公及生活服务设施用地面积不超过建设用地面积</w:t>
      </w:r>
      <w:r>
        <w:rPr>
          <w:rFonts w:ascii="仿宋" w:eastAsia="仿宋" w:hAnsi="仿宋" w:cs="仿宋" w:hint="eastAsia"/>
          <w:color w:val="auto"/>
        </w:rPr>
        <w:t>7%,</w:t>
      </w:r>
      <w:r>
        <w:rPr>
          <w:rFonts w:ascii="仿宋" w:eastAsia="仿宋" w:hAnsi="仿宋" w:cs="仿宋" w:hint="eastAsia"/>
          <w:color w:val="auto"/>
        </w:rPr>
        <w:t>建筑面积不超过总建筑面积</w:t>
      </w:r>
      <w:r>
        <w:rPr>
          <w:rFonts w:ascii="仿宋" w:eastAsia="仿宋" w:hAnsi="仿宋" w:cs="仿宋" w:hint="eastAsia"/>
          <w:color w:val="auto"/>
        </w:rPr>
        <w:t>15</w:t>
      </w:r>
      <w:r>
        <w:rPr>
          <w:rFonts w:ascii="仿宋" w:eastAsia="仿宋" w:hAnsi="仿宋" w:cs="仿宋" w:hint="eastAsia"/>
          <w:color w:val="auto"/>
        </w:rPr>
        <w:t>%,</w:t>
      </w:r>
      <w:r>
        <w:rPr>
          <w:rFonts w:ascii="仿宋" w:eastAsia="仿宋" w:hAnsi="仿宋" w:cs="仿宋" w:hint="eastAsia"/>
          <w:color w:val="auto"/>
        </w:rPr>
        <w:t>且不得分割转让；严禁在工业项目用地范围内建造成套住宅、专家楼、宾馆、招待所和培训中心等非生产性配套设施；</w:t>
      </w:r>
    </w:p>
    <w:p w:rsidR="00925AC4" w:rsidRDefault="00285E1E">
      <w:pPr>
        <w:numPr>
          <w:ilvl w:val="0"/>
          <w:numId w:val="5"/>
        </w:numPr>
        <w:ind w:firstLine="560"/>
        <w:rPr>
          <w:rFonts w:ascii="仿宋" w:eastAsia="仿宋" w:hAnsi="仿宋" w:cs="仿宋"/>
          <w:color w:val="auto"/>
        </w:rPr>
      </w:pPr>
      <w:r>
        <w:rPr>
          <w:rFonts w:ascii="仿宋" w:eastAsia="仿宋" w:hAnsi="仿宋" w:cs="仿宋" w:hint="eastAsia"/>
          <w:color w:val="auto"/>
        </w:rPr>
        <w:t>工业项目建设应采用先进的生产工艺、生产设备，缩短工艺流程，节约使用土地。对适合多层标准厂房生产的工业项目，应建设多层标准厂房。</w:t>
      </w:r>
    </w:p>
    <w:p w:rsidR="00925AC4" w:rsidRDefault="00285E1E">
      <w:pPr>
        <w:numPr>
          <w:ilvl w:val="0"/>
          <w:numId w:val="5"/>
        </w:numPr>
        <w:ind w:firstLine="560"/>
        <w:rPr>
          <w:rFonts w:ascii="仿宋" w:eastAsia="仿宋" w:hAnsi="仿宋" w:cs="仿宋"/>
          <w:color w:val="auto"/>
        </w:rPr>
      </w:pPr>
      <w:r>
        <w:rPr>
          <w:rFonts w:ascii="仿宋" w:eastAsia="仿宋" w:hAnsi="仿宋" w:cs="仿宋" w:hint="eastAsia"/>
          <w:color w:val="auto"/>
        </w:rPr>
        <w:t>上述未提及的其他类工业用地可参照自然资源部《工业项目建设用地控制指标</w:t>
      </w:r>
      <w:r>
        <w:rPr>
          <w:rFonts w:ascii="仿宋" w:eastAsia="仿宋" w:hAnsi="仿宋" w:cs="仿宋" w:hint="eastAsia"/>
          <w:color w:val="auto"/>
        </w:rPr>
        <w:t>(</w:t>
      </w:r>
      <w:r>
        <w:rPr>
          <w:rFonts w:ascii="仿宋" w:eastAsia="仿宋" w:hAnsi="仿宋" w:cs="仿宋" w:hint="eastAsia"/>
          <w:color w:val="auto"/>
        </w:rPr>
        <w:t>征求意见稿</w:t>
      </w:r>
      <w:r>
        <w:rPr>
          <w:rFonts w:ascii="仿宋" w:eastAsia="仿宋" w:hAnsi="仿宋" w:cs="仿宋" w:hint="eastAsia"/>
          <w:color w:val="auto"/>
        </w:rPr>
        <w:t>)</w:t>
      </w:r>
      <w:r>
        <w:rPr>
          <w:rFonts w:ascii="仿宋" w:eastAsia="仿宋" w:hAnsi="仿宋" w:cs="仿宋" w:hint="eastAsia"/>
          <w:color w:val="auto"/>
        </w:rPr>
        <w:t>》及相关行业规范执行。</w:t>
      </w:r>
    </w:p>
    <w:p w:rsidR="00925AC4" w:rsidRDefault="00285E1E">
      <w:pPr>
        <w:numPr>
          <w:ilvl w:val="0"/>
          <w:numId w:val="4"/>
        </w:numPr>
        <w:ind w:firstLine="560"/>
        <w:rPr>
          <w:rFonts w:ascii="仿宋" w:eastAsia="仿宋" w:hAnsi="仿宋" w:cs="仿宋"/>
          <w:color w:val="auto"/>
        </w:rPr>
      </w:pPr>
      <w:r>
        <w:rPr>
          <w:rFonts w:ascii="仿宋" w:eastAsia="仿宋" w:hAnsi="仿宋" w:cs="仿宋" w:hint="eastAsia"/>
          <w:color w:val="auto"/>
        </w:rPr>
        <w:lastRenderedPageBreak/>
        <w:t xml:space="preserve"> </w:t>
      </w:r>
      <w:r>
        <w:rPr>
          <w:rFonts w:ascii="仿宋" w:eastAsia="仿宋" w:hAnsi="仿宋" w:cs="仿宋" w:hint="eastAsia"/>
          <w:color w:val="auto"/>
        </w:rPr>
        <w:t>物流仓储用地的总容积率不小于</w:t>
      </w:r>
      <w:r>
        <w:rPr>
          <w:rFonts w:ascii="仿宋" w:eastAsia="仿宋" w:hAnsi="仿宋" w:cs="仿宋" w:hint="eastAsia"/>
          <w:color w:val="auto"/>
        </w:rPr>
        <w:t>1.0</w:t>
      </w:r>
      <w:r>
        <w:rPr>
          <w:rFonts w:ascii="仿宋" w:eastAsia="仿宋" w:hAnsi="仿宋" w:cs="仿宋" w:hint="eastAsia"/>
          <w:color w:val="auto"/>
        </w:rPr>
        <w:t>且不大于</w:t>
      </w:r>
      <w:r>
        <w:rPr>
          <w:rFonts w:ascii="仿宋" w:eastAsia="仿宋" w:hAnsi="仿宋" w:cs="仿宋" w:hint="eastAsia"/>
          <w:color w:val="auto"/>
        </w:rPr>
        <w:t>1.8(</w:t>
      </w:r>
      <w:r>
        <w:rPr>
          <w:rFonts w:ascii="仿宋" w:eastAsia="仿宋" w:hAnsi="仿宋" w:cs="仿宋" w:hint="eastAsia"/>
          <w:color w:val="auto"/>
        </w:rPr>
        <w:t>不含货运堆场、货运停车场</w:t>
      </w:r>
      <w:r>
        <w:rPr>
          <w:rFonts w:ascii="仿宋" w:eastAsia="仿宋" w:hAnsi="仿宋" w:cs="仿宋" w:hint="eastAsia"/>
          <w:color w:val="auto"/>
        </w:rPr>
        <w:t>),</w:t>
      </w:r>
      <w:r>
        <w:rPr>
          <w:rFonts w:ascii="仿宋" w:eastAsia="仿宋" w:hAnsi="仿宋" w:cs="仿宋" w:hint="eastAsia"/>
          <w:color w:val="auto"/>
        </w:rPr>
        <w:t>总建筑密度不小于</w:t>
      </w:r>
      <w:r>
        <w:rPr>
          <w:rFonts w:ascii="仿宋" w:eastAsia="仿宋" w:hAnsi="仿宋" w:cs="仿宋" w:hint="eastAsia"/>
          <w:color w:val="auto"/>
        </w:rPr>
        <w:t>40%;</w:t>
      </w:r>
      <w:r>
        <w:rPr>
          <w:rFonts w:ascii="仿宋" w:eastAsia="仿宋" w:hAnsi="仿宋" w:cs="仿宋" w:hint="eastAsia"/>
          <w:color w:val="auto"/>
        </w:rPr>
        <w:t>冶金化工、易燃易爆等有特殊建设要求的项目规划控制指标结合方案合理</w:t>
      </w:r>
      <w:r>
        <w:rPr>
          <w:rFonts w:ascii="仿宋" w:eastAsia="仿宋" w:hAnsi="仿宋" w:cs="仿宋" w:hint="eastAsia"/>
          <w:color w:val="auto"/>
        </w:rPr>
        <w:t>性确定。</w:t>
      </w:r>
    </w:p>
    <w:p w:rsidR="00925AC4" w:rsidRDefault="00285E1E">
      <w:pPr>
        <w:pStyle w:val="2"/>
        <w:numPr>
          <w:ilvl w:val="0"/>
          <w:numId w:val="2"/>
        </w:numPr>
        <w:ind w:firstLine="602"/>
        <w:rPr>
          <w:rFonts w:ascii="仿宋" w:eastAsia="仿宋" w:hAnsi="仿宋" w:cs="仿宋"/>
          <w:color w:val="auto"/>
          <w:szCs w:val="31"/>
        </w:rPr>
      </w:pPr>
      <w:bookmarkStart w:id="14" w:name="_Toc27364"/>
      <w:r>
        <w:rPr>
          <w:rFonts w:ascii="仿宋" w:eastAsia="仿宋" w:hAnsi="仿宋" w:cs="仿宋" w:hint="eastAsia"/>
          <w:color w:val="auto"/>
          <w:sz w:val="30"/>
          <w:szCs w:val="30"/>
        </w:rPr>
        <w:t>建设用地规划控制</w:t>
      </w:r>
      <w:bookmarkEnd w:id="14"/>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b/>
          <w:bCs/>
          <w:color w:val="auto"/>
        </w:rPr>
        <w:t>零星用地</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城镇开发边界内小于</w:t>
      </w:r>
      <w:commentRangeStart w:id="15"/>
      <w:r>
        <w:rPr>
          <w:rFonts w:ascii="仿宋" w:eastAsia="仿宋" w:hAnsi="仿宋" w:cs="仿宋" w:hint="eastAsia"/>
          <w:color w:val="auto"/>
          <w:szCs w:val="28"/>
        </w:rPr>
        <w:t>1000</w:t>
      </w:r>
      <w:r>
        <w:rPr>
          <w:rFonts w:ascii="仿宋" w:eastAsia="仿宋" w:hAnsi="仿宋" w:cs="仿宋" w:hint="eastAsia"/>
          <w:color w:val="auto"/>
          <w:szCs w:val="28"/>
        </w:rPr>
        <w:t>平方米的居住用地</w:t>
      </w:r>
      <w:r>
        <w:rPr>
          <w:rFonts w:ascii="仿宋" w:eastAsia="仿宋" w:hAnsi="仿宋" w:cs="仿宋" w:hint="eastAsia"/>
          <w:color w:val="auto"/>
          <w:szCs w:val="28"/>
        </w:rPr>
        <w:t>(</w:t>
      </w:r>
      <w:r>
        <w:rPr>
          <w:rFonts w:ascii="仿宋" w:eastAsia="仿宋" w:hAnsi="仿宋" w:cs="仿宋" w:hint="eastAsia"/>
          <w:color w:val="auto"/>
          <w:szCs w:val="28"/>
        </w:rPr>
        <w:t>含与其他用地性质混合性兼容的居住用地</w:t>
      </w:r>
      <w:r>
        <w:rPr>
          <w:rFonts w:ascii="仿宋" w:eastAsia="仿宋" w:hAnsi="仿宋" w:cs="仿宋" w:hint="eastAsia"/>
          <w:color w:val="auto"/>
          <w:szCs w:val="28"/>
        </w:rPr>
        <w:t>)</w:t>
      </w:r>
      <w:r>
        <w:rPr>
          <w:rFonts w:ascii="仿宋" w:eastAsia="仿宋" w:hAnsi="仿宋" w:cs="仿宋" w:hint="eastAsia"/>
          <w:color w:val="auto"/>
          <w:szCs w:val="28"/>
        </w:rPr>
        <w:t>和小于</w:t>
      </w:r>
      <w:r>
        <w:rPr>
          <w:rFonts w:ascii="仿宋" w:eastAsia="仿宋" w:hAnsi="仿宋" w:cs="仿宋" w:hint="eastAsia"/>
          <w:color w:val="auto"/>
          <w:szCs w:val="28"/>
        </w:rPr>
        <w:t>500</w:t>
      </w:r>
      <w:commentRangeEnd w:id="15"/>
      <w:r>
        <w:rPr>
          <w:rFonts w:ascii="仿宋" w:eastAsia="仿宋" w:hAnsi="仿宋" w:cs="仿宋" w:hint="eastAsia"/>
        </w:rPr>
        <w:commentReference w:id="15"/>
      </w:r>
      <w:r>
        <w:rPr>
          <w:rFonts w:ascii="仿宋" w:eastAsia="仿宋" w:hAnsi="仿宋" w:cs="仿宋" w:hint="eastAsia"/>
          <w:color w:val="auto"/>
          <w:szCs w:val="28"/>
        </w:rPr>
        <w:t>平方米的非居住用地为零星用地；因用地狭窄或者与城市道路不相连等原因，不具备单独建设条件的用地，按照零星用地管理。</w:t>
      </w:r>
    </w:p>
    <w:p w:rsidR="00925AC4" w:rsidRDefault="00285E1E">
      <w:pPr>
        <w:tabs>
          <w:tab w:val="left" w:pos="0"/>
        </w:tabs>
        <w:ind w:firstLine="560"/>
        <w:rPr>
          <w:rFonts w:ascii="仿宋" w:eastAsia="仿宋" w:hAnsi="仿宋" w:cs="仿宋"/>
          <w:color w:val="auto"/>
          <w:szCs w:val="28"/>
        </w:rPr>
      </w:pPr>
      <w:r>
        <w:rPr>
          <w:rFonts w:ascii="仿宋" w:eastAsia="仿宋" w:hAnsi="仿宋" w:cs="仿宋" w:hint="eastAsia"/>
          <w:color w:val="auto"/>
          <w:szCs w:val="28"/>
        </w:rPr>
        <w:t>土地出让或者划拨时，应当按照集约利用、整体实施的原则，合理确定用地边界，避免出现零星用地。</w:t>
      </w:r>
    </w:p>
    <w:p w:rsidR="00925AC4" w:rsidRDefault="00285E1E">
      <w:pPr>
        <w:tabs>
          <w:tab w:val="left" w:pos="0"/>
        </w:tabs>
        <w:ind w:firstLine="560"/>
        <w:rPr>
          <w:rFonts w:ascii="仿宋" w:eastAsia="仿宋" w:hAnsi="仿宋" w:cs="仿宋"/>
          <w:color w:val="auto"/>
        </w:rPr>
      </w:pPr>
      <w:r>
        <w:rPr>
          <w:rFonts w:ascii="仿宋" w:eastAsia="仿宋" w:hAnsi="仿宋" w:cs="仿宋" w:hint="eastAsia"/>
          <w:color w:val="auto"/>
          <w:szCs w:val="28"/>
        </w:rPr>
        <w:t>已有零星用地应当与相邻用地整合使用。不具备整合条件的零星用地，鼓励实施绿地、广场等公益性建设项目；可以实施解危改造、公共服务设施、公用设施、交通设施、商业等建设项目</w:t>
      </w:r>
      <w:r>
        <w:rPr>
          <w:rFonts w:ascii="仿宋" w:eastAsia="仿宋" w:hAnsi="仿宋" w:cs="仿宋" w:hint="eastAsia"/>
          <w:b/>
          <w:bCs/>
          <w:color w:val="auto"/>
          <w:szCs w:val="28"/>
        </w:rPr>
        <w:t>。</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幼儿园应独立占地，建筑层数不宜大于</w:t>
      </w:r>
      <w:r>
        <w:rPr>
          <w:rFonts w:ascii="仿宋" w:eastAsia="仿宋" w:hAnsi="仿宋" w:cs="仿宋" w:hint="eastAsia"/>
          <w:color w:val="auto"/>
        </w:rPr>
        <w:t>3</w:t>
      </w:r>
      <w:r>
        <w:rPr>
          <w:rFonts w:ascii="仿宋" w:eastAsia="仿宋" w:hAnsi="仿宋" w:cs="仿宋" w:hint="eastAsia"/>
          <w:color w:val="auto"/>
        </w:rPr>
        <w:t>层，其控制规模按照表</w:t>
      </w:r>
      <w:r>
        <w:rPr>
          <w:rFonts w:ascii="仿宋" w:eastAsia="仿宋" w:hAnsi="仿宋" w:cs="仿宋" w:hint="eastAsia"/>
          <w:color w:val="auto"/>
        </w:rPr>
        <w:t>2.3.3</w:t>
      </w:r>
      <w:r>
        <w:rPr>
          <w:rFonts w:ascii="仿宋" w:eastAsia="仿宋" w:hAnsi="仿宋" w:cs="仿宋" w:hint="eastAsia"/>
          <w:color w:val="auto"/>
        </w:rPr>
        <w:t>执行：</w:t>
      </w:r>
    </w:p>
    <w:p w:rsidR="00925AC4" w:rsidRDefault="00285E1E" w:rsidP="008E7712">
      <w:pPr>
        <w:tabs>
          <w:tab w:val="left" w:pos="0"/>
        </w:tabs>
        <w:ind w:leftChars="200" w:left="560" w:firstLineChars="0" w:firstLine="0"/>
        <w:jc w:val="center"/>
        <w:rPr>
          <w:rFonts w:ascii="仿宋" w:eastAsia="仿宋" w:hAnsi="仿宋" w:cs="仿宋"/>
          <w:color w:val="auto"/>
          <w:sz w:val="24"/>
          <w:szCs w:val="24"/>
        </w:rPr>
      </w:pPr>
      <w:r>
        <w:rPr>
          <w:rFonts w:ascii="仿宋" w:eastAsia="仿宋" w:hAnsi="仿宋" w:cs="仿宋" w:hint="eastAsia"/>
          <w:color w:val="auto"/>
          <w:sz w:val="24"/>
          <w:szCs w:val="24"/>
        </w:rPr>
        <w:t>表</w:t>
      </w:r>
      <w:r>
        <w:rPr>
          <w:rFonts w:ascii="仿宋" w:eastAsia="仿宋" w:hAnsi="仿宋" w:cs="仿宋" w:hint="eastAsia"/>
          <w:color w:val="auto"/>
          <w:sz w:val="24"/>
          <w:szCs w:val="24"/>
        </w:rPr>
        <w:t>2.</w:t>
      </w:r>
      <w:r>
        <w:rPr>
          <w:rFonts w:ascii="仿宋" w:eastAsia="仿宋" w:hAnsi="仿宋" w:cs="仿宋" w:hint="eastAsia"/>
          <w:color w:val="auto"/>
          <w:sz w:val="24"/>
          <w:szCs w:val="24"/>
        </w:rPr>
        <w:t>3</w:t>
      </w:r>
      <w:r>
        <w:rPr>
          <w:rFonts w:ascii="仿宋" w:eastAsia="仿宋" w:hAnsi="仿宋" w:cs="仿宋" w:hint="eastAsia"/>
          <w:color w:val="auto"/>
          <w:sz w:val="24"/>
          <w:szCs w:val="24"/>
        </w:rPr>
        <w:t>.</w:t>
      </w:r>
      <w:r>
        <w:rPr>
          <w:rFonts w:ascii="仿宋" w:eastAsia="仿宋" w:hAnsi="仿宋" w:cs="仿宋" w:hint="eastAsia"/>
          <w:color w:val="auto"/>
          <w:sz w:val="24"/>
          <w:szCs w:val="24"/>
        </w:rPr>
        <w:t xml:space="preserve">3 </w:t>
      </w:r>
      <w:r>
        <w:rPr>
          <w:rFonts w:ascii="仿宋" w:eastAsia="仿宋" w:hAnsi="仿宋" w:cs="仿宋" w:hint="eastAsia"/>
          <w:color w:val="auto"/>
          <w:sz w:val="24"/>
          <w:szCs w:val="24"/>
        </w:rPr>
        <w:t>幼儿园规模控制标准</w:t>
      </w:r>
    </w:p>
    <w:tbl>
      <w:tblPr>
        <w:tblStyle w:val="TableNormal"/>
        <w:tblW w:w="88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3"/>
        <w:gridCol w:w="1079"/>
        <w:gridCol w:w="879"/>
        <w:gridCol w:w="1588"/>
        <w:gridCol w:w="1159"/>
        <w:gridCol w:w="1089"/>
        <w:gridCol w:w="1533"/>
      </w:tblGrid>
      <w:tr w:rsidR="00925AC4">
        <w:trPr>
          <w:trHeight w:val="454"/>
          <w:jc w:val="center"/>
        </w:trPr>
        <w:tc>
          <w:tcPr>
            <w:tcW w:w="1543" w:type="dxa"/>
            <w:vMerge w:val="restart"/>
            <w:tcBorders>
              <w:bottom w:val="nil"/>
            </w:tcBorders>
            <w:vAlign w:val="center"/>
          </w:tcPr>
          <w:p w:rsidR="00925AC4" w:rsidRDefault="00925AC4">
            <w:pPr>
              <w:pStyle w:val="ab"/>
              <w:jc w:val="center"/>
              <w:rPr>
                <w:rFonts w:ascii="仿宋" w:eastAsia="仿宋" w:hAnsi="仿宋" w:cs="仿宋" w:hint="default"/>
                <w:color w:val="auto"/>
              </w:rPr>
            </w:pPr>
          </w:p>
        </w:tc>
        <w:tc>
          <w:tcPr>
            <w:tcW w:w="3546"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最小用地面积</w:t>
            </w:r>
            <w:r>
              <w:rPr>
                <w:rFonts w:ascii="仿宋" w:eastAsia="仿宋" w:hAnsi="仿宋" w:cs="仿宋"/>
                <w:color w:val="auto"/>
              </w:rPr>
              <w:t>(m</w:t>
            </w:r>
            <w:r>
              <w:rPr>
                <w:rFonts w:ascii="仿宋" w:eastAsia="仿宋" w:hAnsi="仿宋" w:cs="仿宋"/>
                <w:color w:val="auto"/>
              </w:rPr>
              <w:t>²</w:t>
            </w:r>
            <w:r>
              <w:rPr>
                <w:rFonts w:ascii="仿宋" w:eastAsia="仿宋" w:hAnsi="仿宋" w:cs="仿宋"/>
                <w:color w:val="auto"/>
              </w:rPr>
              <w:t>)</w:t>
            </w:r>
          </w:p>
        </w:tc>
        <w:tc>
          <w:tcPr>
            <w:tcW w:w="3781"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最小建筑面积</w:t>
            </w:r>
            <w:r>
              <w:rPr>
                <w:rFonts w:ascii="仿宋" w:eastAsia="仿宋" w:hAnsi="仿宋" w:cs="仿宋"/>
                <w:color w:val="auto"/>
              </w:rPr>
              <w:t>(m</w:t>
            </w:r>
            <w:r>
              <w:rPr>
                <w:rFonts w:ascii="仿宋" w:eastAsia="仿宋" w:hAnsi="仿宋" w:cs="仿宋"/>
                <w:color w:val="auto"/>
              </w:rPr>
              <w:t>²</w:t>
            </w:r>
            <w:r>
              <w:rPr>
                <w:rFonts w:ascii="仿宋" w:eastAsia="仿宋" w:hAnsi="仿宋" w:cs="仿宋"/>
                <w:color w:val="auto"/>
              </w:rPr>
              <w:t>)</w:t>
            </w:r>
          </w:p>
        </w:tc>
      </w:tr>
      <w:tr w:rsidR="00925AC4">
        <w:trPr>
          <w:trHeight w:val="454"/>
          <w:jc w:val="center"/>
        </w:trPr>
        <w:tc>
          <w:tcPr>
            <w:tcW w:w="154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0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w:t>
            </w:r>
            <w:r>
              <w:rPr>
                <w:rFonts w:ascii="仿宋" w:eastAsia="仿宋" w:hAnsi="仿宋" w:cs="仿宋"/>
                <w:color w:val="auto"/>
              </w:rPr>
              <w:t>班</w:t>
            </w:r>
          </w:p>
        </w:tc>
        <w:tc>
          <w:tcPr>
            <w:tcW w:w="8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w:t>
            </w:r>
            <w:r>
              <w:rPr>
                <w:rFonts w:ascii="仿宋" w:eastAsia="仿宋" w:hAnsi="仿宋" w:cs="仿宋"/>
                <w:color w:val="auto"/>
              </w:rPr>
              <w:t>班</w:t>
            </w:r>
          </w:p>
        </w:tc>
        <w:tc>
          <w:tcPr>
            <w:tcW w:w="1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12</w:t>
            </w:r>
            <w:r>
              <w:rPr>
                <w:rFonts w:ascii="仿宋" w:eastAsia="仿宋" w:hAnsi="仿宋" w:cs="仿宋"/>
                <w:color w:val="auto"/>
              </w:rPr>
              <w:t>班及以上</w:t>
            </w:r>
          </w:p>
        </w:tc>
        <w:tc>
          <w:tcPr>
            <w:tcW w:w="115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w:t>
            </w:r>
            <w:r>
              <w:rPr>
                <w:rFonts w:ascii="仿宋" w:eastAsia="仿宋" w:hAnsi="仿宋" w:cs="仿宋"/>
                <w:color w:val="auto"/>
              </w:rPr>
              <w:t>班</w:t>
            </w:r>
          </w:p>
        </w:tc>
        <w:tc>
          <w:tcPr>
            <w:tcW w:w="10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w:t>
            </w:r>
            <w:r>
              <w:rPr>
                <w:rFonts w:ascii="仿宋" w:eastAsia="仿宋" w:hAnsi="仿宋" w:cs="仿宋"/>
                <w:color w:val="auto"/>
              </w:rPr>
              <w:t>班</w:t>
            </w:r>
          </w:p>
        </w:tc>
        <w:tc>
          <w:tcPr>
            <w:tcW w:w="153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12</w:t>
            </w:r>
            <w:r>
              <w:rPr>
                <w:rFonts w:ascii="仿宋" w:eastAsia="仿宋" w:hAnsi="仿宋" w:cs="仿宋"/>
                <w:color w:val="auto"/>
              </w:rPr>
              <w:t>班及以上</w:t>
            </w:r>
          </w:p>
        </w:tc>
      </w:tr>
      <w:tr w:rsidR="00925AC4">
        <w:trPr>
          <w:trHeight w:val="454"/>
          <w:jc w:val="center"/>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老城区</w:t>
            </w:r>
          </w:p>
        </w:tc>
        <w:tc>
          <w:tcPr>
            <w:tcW w:w="10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2700</w:t>
            </w:r>
          </w:p>
        </w:tc>
        <w:tc>
          <w:tcPr>
            <w:tcW w:w="8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4050</w:t>
            </w:r>
          </w:p>
        </w:tc>
        <w:tc>
          <w:tcPr>
            <w:tcW w:w="1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5400</w:t>
            </w:r>
          </w:p>
        </w:tc>
        <w:tc>
          <w:tcPr>
            <w:tcW w:w="115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1800</w:t>
            </w:r>
          </w:p>
        </w:tc>
        <w:tc>
          <w:tcPr>
            <w:tcW w:w="10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2700</w:t>
            </w:r>
          </w:p>
        </w:tc>
        <w:tc>
          <w:tcPr>
            <w:tcW w:w="153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3600</w:t>
            </w:r>
          </w:p>
        </w:tc>
      </w:tr>
      <w:tr w:rsidR="00925AC4">
        <w:trPr>
          <w:trHeight w:val="454"/>
          <w:jc w:val="center"/>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一般地区</w:t>
            </w:r>
          </w:p>
        </w:tc>
        <w:tc>
          <w:tcPr>
            <w:tcW w:w="10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3600</w:t>
            </w:r>
          </w:p>
        </w:tc>
        <w:tc>
          <w:tcPr>
            <w:tcW w:w="8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5400</w:t>
            </w:r>
          </w:p>
        </w:tc>
        <w:tc>
          <w:tcPr>
            <w:tcW w:w="1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7200</w:t>
            </w:r>
          </w:p>
        </w:tc>
        <w:tc>
          <w:tcPr>
            <w:tcW w:w="115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2160</w:t>
            </w:r>
          </w:p>
        </w:tc>
        <w:tc>
          <w:tcPr>
            <w:tcW w:w="10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3240</w:t>
            </w:r>
          </w:p>
        </w:tc>
        <w:tc>
          <w:tcPr>
            <w:tcW w:w="153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4320</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p>
    <w:p w:rsidR="00925AC4" w:rsidRDefault="00285E1E" w:rsidP="008E7712">
      <w:pPr>
        <w:pStyle w:val="ac"/>
        <w:numPr>
          <w:ilvl w:val="0"/>
          <w:numId w:val="7"/>
        </w:numPr>
        <w:ind w:firstLine="480"/>
        <w:rPr>
          <w:rFonts w:ascii="仿宋" w:eastAsia="仿宋" w:hAnsi="仿宋" w:cs="仿宋"/>
          <w:color w:val="auto"/>
        </w:rPr>
      </w:pPr>
      <w:r>
        <w:rPr>
          <w:rFonts w:ascii="仿宋" w:eastAsia="仿宋" w:hAnsi="仿宋" w:cs="仿宋" w:hint="eastAsia"/>
          <w:color w:val="auto"/>
        </w:rPr>
        <w:t>幼儿园规模控制按照生均指标与最小用地面积、最小建筑面积双重管控，按高标准执行；</w:t>
      </w:r>
    </w:p>
    <w:p w:rsidR="00925AC4" w:rsidRDefault="00285E1E" w:rsidP="008E7712">
      <w:pPr>
        <w:pStyle w:val="ac"/>
        <w:numPr>
          <w:ilvl w:val="0"/>
          <w:numId w:val="7"/>
        </w:numPr>
        <w:ind w:firstLine="480"/>
        <w:rPr>
          <w:rFonts w:ascii="仿宋" w:eastAsia="仿宋" w:hAnsi="仿宋" w:cs="仿宋"/>
          <w:color w:val="auto"/>
        </w:rPr>
      </w:pPr>
      <w:r>
        <w:rPr>
          <w:rFonts w:ascii="仿宋" w:eastAsia="仿宋" w:hAnsi="仿宋" w:cs="仿宋" w:hint="eastAsia"/>
          <w:color w:val="auto"/>
        </w:rPr>
        <w:t>每班幼儿人数：小班</w:t>
      </w:r>
      <w:r>
        <w:rPr>
          <w:rFonts w:ascii="仿宋" w:eastAsia="仿宋" w:hAnsi="仿宋" w:cs="仿宋" w:hint="eastAsia"/>
          <w:color w:val="auto"/>
        </w:rPr>
        <w:t>25</w:t>
      </w:r>
      <w:r>
        <w:rPr>
          <w:rFonts w:ascii="仿宋" w:eastAsia="仿宋" w:hAnsi="仿宋" w:cs="仿宋" w:hint="eastAsia"/>
          <w:color w:val="auto"/>
        </w:rPr>
        <w:t>人、中班</w:t>
      </w:r>
      <w:r>
        <w:rPr>
          <w:rFonts w:ascii="仿宋" w:eastAsia="仿宋" w:hAnsi="仿宋" w:cs="仿宋" w:hint="eastAsia"/>
          <w:color w:val="auto"/>
        </w:rPr>
        <w:t>30</w:t>
      </w:r>
      <w:r>
        <w:rPr>
          <w:rFonts w:ascii="仿宋" w:eastAsia="仿宋" w:hAnsi="仿宋" w:cs="仿宋" w:hint="eastAsia"/>
          <w:color w:val="auto"/>
        </w:rPr>
        <w:t>人、大班</w:t>
      </w:r>
      <w:r>
        <w:rPr>
          <w:rFonts w:ascii="仿宋" w:eastAsia="仿宋" w:hAnsi="仿宋" w:cs="仿宋" w:hint="eastAsia"/>
          <w:color w:val="auto"/>
        </w:rPr>
        <w:t>35</w:t>
      </w:r>
      <w:r>
        <w:rPr>
          <w:rFonts w:ascii="仿宋" w:eastAsia="仿宋" w:hAnsi="仿宋" w:cs="仿宋" w:hint="eastAsia"/>
          <w:color w:val="auto"/>
        </w:rPr>
        <w:t>人；</w:t>
      </w:r>
    </w:p>
    <w:p w:rsidR="00925AC4" w:rsidRDefault="00285E1E" w:rsidP="008E7712">
      <w:pPr>
        <w:pStyle w:val="ac"/>
        <w:numPr>
          <w:ilvl w:val="0"/>
          <w:numId w:val="7"/>
        </w:numPr>
        <w:ind w:firstLine="480"/>
        <w:rPr>
          <w:rFonts w:ascii="仿宋" w:eastAsia="仿宋" w:hAnsi="仿宋" w:cs="仿宋"/>
          <w:color w:val="auto"/>
        </w:rPr>
      </w:pPr>
      <w:r>
        <w:rPr>
          <w:rFonts w:ascii="仿宋" w:eastAsia="仿宋" w:hAnsi="仿宋" w:cs="仿宋" w:hint="eastAsia"/>
          <w:color w:val="auto"/>
        </w:rPr>
        <w:t>幼儿园规模以</w:t>
      </w:r>
      <w:r>
        <w:rPr>
          <w:rFonts w:ascii="仿宋" w:eastAsia="仿宋" w:hAnsi="仿宋" w:cs="仿宋" w:hint="eastAsia"/>
          <w:color w:val="auto"/>
        </w:rPr>
        <w:t>6</w:t>
      </w:r>
      <w:r>
        <w:rPr>
          <w:rFonts w:ascii="仿宋" w:eastAsia="仿宋" w:hAnsi="仿宋" w:cs="仿宋" w:hint="eastAsia"/>
          <w:color w:val="auto"/>
        </w:rPr>
        <w:t>—</w:t>
      </w:r>
      <w:r>
        <w:rPr>
          <w:rFonts w:ascii="仿宋" w:eastAsia="仿宋" w:hAnsi="仿宋" w:cs="仿宋" w:hint="eastAsia"/>
          <w:color w:val="auto"/>
        </w:rPr>
        <w:t>12</w:t>
      </w:r>
      <w:r>
        <w:rPr>
          <w:rFonts w:ascii="仿宋" w:eastAsia="仿宋" w:hAnsi="仿宋" w:cs="仿宋" w:hint="eastAsia"/>
          <w:color w:val="auto"/>
        </w:rPr>
        <w:t>个班为宜，优先建设</w:t>
      </w:r>
      <w:r>
        <w:rPr>
          <w:rFonts w:ascii="仿宋" w:eastAsia="仿宋" w:hAnsi="仿宋" w:cs="仿宋" w:hint="eastAsia"/>
          <w:color w:val="auto"/>
        </w:rPr>
        <w:t>9</w:t>
      </w:r>
      <w:r>
        <w:rPr>
          <w:rFonts w:ascii="仿宋" w:eastAsia="仿宋" w:hAnsi="仿宋" w:cs="仿宋" w:hint="eastAsia"/>
          <w:color w:val="auto"/>
        </w:rPr>
        <w:t>个班，一般不超过</w:t>
      </w:r>
      <w:r>
        <w:rPr>
          <w:rFonts w:ascii="仿宋" w:eastAsia="仿宋" w:hAnsi="仿宋" w:cs="仿宋" w:hint="eastAsia"/>
          <w:color w:val="auto"/>
        </w:rPr>
        <w:t>15</w:t>
      </w:r>
      <w:r>
        <w:rPr>
          <w:rFonts w:ascii="仿宋" w:eastAsia="仿宋" w:hAnsi="仿宋" w:cs="仿宋" w:hint="eastAsia"/>
          <w:color w:val="auto"/>
        </w:rPr>
        <w:t>个班。</w:t>
      </w:r>
    </w:p>
    <w:p w:rsidR="00925AC4" w:rsidRDefault="00925AC4">
      <w:pPr>
        <w:pStyle w:val="ac"/>
        <w:ind w:firstLineChars="0" w:firstLine="0"/>
        <w:rPr>
          <w:rFonts w:ascii="仿宋" w:eastAsia="仿宋" w:hAnsi="仿宋" w:cs="仿宋"/>
        </w:rPr>
      </w:pPr>
    </w:p>
    <w:p w:rsidR="00925AC4" w:rsidRDefault="00285E1E" w:rsidP="008E7712">
      <w:pPr>
        <w:ind w:firstLine="560"/>
        <w:rPr>
          <w:rFonts w:ascii="仿宋" w:eastAsia="仿宋" w:hAnsi="仿宋" w:cs="仿宋"/>
          <w:color w:val="auto"/>
        </w:rPr>
      </w:pPr>
      <w:r>
        <w:rPr>
          <w:rFonts w:ascii="仿宋" w:eastAsia="仿宋" w:hAnsi="仿宋" w:cs="仿宋" w:hint="eastAsia"/>
          <w:color w:val="auto"/>
        </w:rPr>
        <w:lastRenderedPageBreak/>
        <w:t>规划幼儿园</w:t>
      </w:r>
      <w:r>
        <w:rPr>
          <w:rFonts w:ascii="仿宋" w:eastAsia="仿宋" w:hAnsi="仿宋" w:cs="仿宋" w:hint="eastAsia"/>
          <w:color w:val="auto"/>
        </w:rPr>
        <w:t>300</w:t>
      </w:r>
      <w:r>
        <w:rPr>
          <w:rFonts w:ascii="仿宋" w:eastAsia="仿宋" w:hAnsi="仿宋" w:cs="仿宋" w:hint="eastAsia"/>
          <w:color w:val="auto"/>
        </w:rPr>
        <w:t>米服务半径范围外且计容建筑面积</w:t>
      </w:r>
      <w:r>
        <w:rPr>
          <w:rFonts w:ascii="仿宋" w:eastAsia="仿宋" w:hAnsi="仿宋" w:cs="仿宋" w:hint="eastAsia"/>
          <w:color w:val="auto"/>
        </w:rPr>
        <w:t>15</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15</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以上的新建住宅项目，应当配建不小于</w:t>
      </w:r>
      <w:r>
        <w:rPr>
          <w:rFonts w:ascii="仿宋" w:eastAsia="仿宋" w:hAnsi="仿宋" w:cs="仿宋" w:hint="eastAsia"/>
          <w:color w:val="auto"/>
        </w:rPr>
        <w:t>6</w:t>
      </w:r>
      <w:r>
        <w:rPr>
          <w:rFonts w:ascii="仿宋" w:eastAsia="仿宋" w:hAnsi="仿宋" w:cs="仿宋" w:hint="eastAsia"/>
          <w:color w:val="auto"/>
        </w:rPr>
        <w:t>个班且有独立室外活动场地的幼儿园</w:t>
      </w:r>
      <w:r>
        <w:rPr>
          <w:rFonts w:ascii="仿宋" w:eastAsia="仿宋" w:hAnsi="仿宋" w:cs="仿宋" w:hint="eastAsia"/>
          <w:color w:val="auto"/>
        </w:rPr>
        <w:t>(</w:t>
      </w:r>
      <w:r>
        <w:rPr>
          <w:rFonts w:ascii="仿宋" w:eastAsia="仿宋" w:hAnsi="仿宋" w:cs="仿宋" w:hint="eastAsia"/>
          <w:color w:val="auto"/>
        </w:rPr>
        <w:t>幼儿园建筑面积不纳入土地出让金征收范围</w:t>
      </w:r>
      <w:r>
        <w:rPr>
          <w:rFonts w:ascii="仿宋" w:eastAsia="仿宋" w:hAnsi="仿宋" w:cs="仿宋" w:hint="eastAsia"/>
          <w:color w:val="auto"/>
        </w:rPr>
        <w:t>),</w:t>
      </w:r>
      <w:r>
        <w:rPr>
          <w:rFonts w:ascii="仿宋" w:eastAsia="仿宋" w:hAnsi="仿宋" w:cs="仿宋" w:hint="eastAsia"/>
          <w:color w:val="auto"/>
        </w:rPr>
        <w:t>竣工验收合格后应无偿移交政府相关部门</w:t>
      </w:r>
      <w:commentRangeStart w:id="16"/>
      <w:r>
        <w:rPr>
          <w:rFonts w:ascii="仿宋" w:eastAsia="仿宋" w:hAnsi="仿宋" w:cs="仿宋" w:hint="eastAsia"/>
          <w:b/>
          <w:bCs/>
          <w:color w:val="C00000"/>
          <w:highlight w:val="yellow"/>
          <w:u w:val="single"/>
        </w:rPr>
        <w:t>（需讨论，不动产、教育部门）</w:t>
      </w:r>
      <w:commentRangeEnd w:id="16"/>
      <w:r>
        <w:rPr>
          <w:rFonts w:ascii="仿宋" w:eastAsia="仿宋" w:hAnsi="仿宋" w:cs="仿宋" w:hint="eastAsia"/>
        </w:rPr>
        <w:commentReference w:id="16"/>
      </w:r>
      <w:r>
        <w:rPr>
          <w:rFonts w:ascii="仿宋" w:eastAsia="仿宋" w:hAnsi="仿宋" w:cs="仿宋" w:hint="eastAsia"/>
          <w:color w:val="auto"/>
        </w:rPr>
        <w:t>，其用地规模及建筑规模等应满足表</w:t>
      </w:r>
      <w:r>
        <w:rPr>
          <w:rFonts w:ascii="仿宋" w:eastAsia="仿宋" w:hAnsi="仿宋" w:cs="仿宋" w:hint="eastAsia"/>
          <w:color w:val="auto"/>
        </w:rPr>
        <w:t>2.3.3</w:t>
      </w:r>
      <w:r>
        <w:rPr>
          <w:rFonts w:ascii="仿宋" w:eastAsia="仿宋" w:hAnsi="仿宋" w:cs="仿宋" w:hint="eastAsia"/>
          <w:color w:val="auto"/>
        </w:rPr>
        <w:t>要求。</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城市用地规划应遵循以下要求：</w:t>
      </w:r>
    </w:p>
    <w:p w:rsidR="00925AC4" w:rsidRDefault="00285E1E" w:rsidP="008E7712">
      <w:pPr>
        <w:numPr>
          <w:ilvl w:val="0"/>
          <w:numId w:val="8"/>
        </w:numPr>
        <w:ind w:firstLine="560"/>
        <w:rPr>
          <w:rFonts w:ascii="仿宋" w:eastAsia="仿宋" w:hAnsi="仿宋" w:cs="仿宋"/>
          <w:color w:val="auto"/>
        </w:rPr>
      </w:pPr>
      <w:r>
        <w:rPr>
          <w:rFonts w:ascii="仿宋" w:eastAsia="仿宋" w:hAnsi="仿宋" w:cs="仿宋" w:hint="eastAsia"/>
          <w:color w:val="auto"/>
        </w:rPr>
        <w:t>除公益性设施和基本公共服务设施外，建筑基地未达到下列最小面积的，原则上不得单独建设：</w:t>
      </w:r>
    </w:p>
    <w:p w:rsidR="00925AC4" w:rsidRDefault="00285E1E">
      <w:pPr>
        <w:numPr>
          <w:ilvl w:val="0"/>
          <w:numId w:val="9"/>
        </w:numPr>
        <w:ind w:firstLine="560"/>
        <w:rPr>
          <w:rFonts w:ascii="仿宋" w:eastAsia="仿宋" w:hAnsi="仿宋" w:cs="仿宋"/>
          <w:color w:val="auto"/>
        </w:rPr>
      </w:pPr>
      <w:r>
        <w:rPr>
          <w:rFonts w:ascii="仿宋" w:eastAsia="仿宋" w:hAnsi="仿宋" w:cs="仿宋" w:hint="eastAsia"/>
          <w:color w:val="auto"/>
        </w:rPr>
        <w:t>低、多层居住建筑</w:t>
      </w:r>
      <w:r>
        <w:rPr>
          <w:rFonts w:ascii="仿宋" w:eastAsia="仿宋" w:hAnsi="仿宋" w:cs="仿宋" w:hint="eastAsia"/>
          <w:color w:val="auto"/>
        </w:rPr>
        <w:t>，建筑基地未达到</w:t>
      </w:r>
      <w:commentRangeStart w:id="17"/>
      <w:r>
        <w:rPr>
          <w:rFonts w:ascii="仿宋" w:eastAsia="仿宋" w:hAnsi="仿宋" w:cs="仿宋" w:hint="eastAsia"/>
          <w:color w:val="auto"/>
        </w:rPr>
        <w:t>2</w:t>
      </w:r>
      <w:r>
        <w:rPr>
          <w:rFonts w:ascii="仿宋" w:eastAsia="仿宋" w:hAnsi="仿宋" w:cs="仿宋" w:hint="eastAsia"/>
          <w:color w:val="auto"/>
        </w:rPr>
        <w:t>000</w:t>
      </w:r>
      <w:commentRangeEnd w:id="17"/>
      <w:r>
        <w:rPr>
          <w:rFonts w:ascii="仿宋" w:eastAsia="仿宋" w:hAnsi="仿宋" w:cs="仿宋" w:hint="eastAsia"/>
        </w:rPr>
        <w:commentReference w:id="17"/>
      </w:r>
      <w:r>
        <w:rPr>
          <w:rFonts w:ascii="仿宋" w:eastAsia="仿宋" w:hAnsi="仿宋" w:cs="仿宋" w:hint="eastAsia"/>
          <w:color w:val="auto"/>
        </w:rPr>
        <w:t>平方米；</w:t>
      </w:r>
    </w:p>
    <w:p w:rsidR="00925AC4" w:rsidRDefault="00285E1E">
      <w:pPr>
        <w:numPr>
          <w:ilvl w:val="0"/>
          <w:numId w:val="9"/>
        </w:numPr>
        <w:ind w:firstLine="560"/>
        <w:rPr>
          <w:rFonts w:ascii="仿宋" w:eastAsia="仿宋" w:hAnsi="仿宋" w:cs="仿宋"/>
          <w:color w:val="auto"/>
        </w:rPr>
      </w:pPr>
      <w:r>
        <w:rPr>
          <w:rFonts w:ascii="仿宋" w:eastAsia="仿宋" w:hAnsi="仿宋" w:cs="仿宋" w:hint="eastAsia"/>
          <w:color w:val="auto"/>
        </w:rPr>
        <w:t>高层居住建筑，建筑基地未达到</w:t>
      </w:r>
      <w:commentRangeStart w:id="18"/>
      <w:r>
        <w:rPr>
          <w:rFonts w:ascii="仿宋" w:eastAsia="仿宋" w:hAnsi="仿宋" w:cs="仿宋" w:hint="eastAsia"/>
          <w:color w:val="auto"/>
        </w:rPr>
        <w:t>5</w:t>
      </w:r>
      <w:r>
        <w:rPr>
          <w:rFonts w:ascii="仿宋" w:eastAsia="仿宋" w:hAnsi="仿宋" w:cs="仿宋" w:hint="eastAsia"/>
          <w:color w:val="auto"/>
        </w:rPr>
        <w:t>000</w:t>
      </w:r>
      <w:commentRangeEnd w:id="18"/>
      <w:r>
        <w:rPr>
          <w:rFonts w:ascii="仿宋" w:eastAsia="仿宋" w:hAnsi="仿宋" w:cs="仿宋" w:hint="eastAsia"/>
        </w:rPr>
        <w:commentReference w:id="18"/>
      </w:r>
      <w:r>
        <w:rPr>
          <w:rFonts w:ascii="仿宋" w:eastAsia="仿宋" w:hAnsi="仿宋" w:cs="仿宋" w:hint="eastAsia"/>
          <w:color w:val="auto"/>
        </w:rPr>
        <w:t>平方米；</w:t>
      </w:r>
    </w:p>
    <w:p w:rsidR="00925AC4" w:rsidRDefault="00285E1E">
      <w:pPr>
        <w:numPr>
          <w:ilvl w:val="0"/>
          <w:numId w:val="9"/>
        </w:numPr>
        <w:ind w:firstLine="560"/>
        <w:rPr>
          <w:rFonts w:ascii="仿宋" w:eastAsia="仿宋" w:hAnsi="仿宋" w:cs="仿宋"/>
          <w:color w:val="auto"/>
        </w:rPr>
      </w:pPr>
      <w:r>
        <w:rPr>
          <w:rFonts w:ascii="仿宋" w:eastAsia="仿宋" w:hAnsi="仿宋" w:cs="仿宋" w:hint="eastAsia"/>
          <w:color w:val="auto"/>
        </w:rPr>
        <w:t>公共建筑，建筑基地未达到</w:t>
      </w:r>
      <w:commentRangeStart w:id="19"/>
      <w:r>
        <w:rPr>
          <w:rFonts w:ascii="仿宋" w:eastAsia="仿宋" w:hAnsi="仿宋" w:cs="仿宋" w:hint="eastAsia"/>
          <w:color w:val="auto"/>
        </w:rPr>
        <w:t>1</w:t>
      </w:r>
      <w:r>
        <w:rPr>
          <w:rFonts w:ascii="仿宋" w:eastAsia="仿宋" w:hAnsi="仿宋" w:cs="仿宋" w:hint="eastAsia"/>
          <w:color w:val="auto"/>
        </w:rPr>
        <w:t>000</w:t>
      </w:r>
      <w:commentRangeEnd w:id="19"/>
      <w:r>
        <w:rPr>
          <w:rFonts w:ascii="仿宋" w:eastAsia="仿宋" w:hAnsi="仿宋" w:cs="仿宋" w:hint="eastAsia"/>
        </w:rPr>
        <w:commentReference w:id="19"/>
      </w:r>
      <w:r>
        <w:rPr>
          <w:rFonts w:ascii="仿宋" w:eastAsia="仿宋" w:hAnsi="仿宋" w:cs="仿宋" w:hint="eastAsia"/>
          <w:color w:val="auto"/>
        </w:rPr>
        <w:t>平方米；</w:t>
      </w:r>
    </w:p>
    <w:p w:rsidR="00925AC4" w:rsidRDefault="00285E1E">
      <w:pPr>
        <w:numPr>
          <w:ilvl w:val="0"/>
          <w:numId w:val="9"/>
        </w:numPr>
        <w:ind w:firstLine="560"/>
        <w:rPr>
          <w:rFonts w:ascii="仿宋" w:eastAsia="仿宋" w:hAnsi="仿宋" w:cs="仿宋"/>
          <w:color w:val="auto"/>
        </w:rPr>
      </w:pPr>
      <w:r>
        <w:rPr>
          <w:rFonts w:ascii="仿宋" w:eastAsia="仿宋" w:hAnsi="仿宋" w:cs="仿宋" w:hint="eastAsia"/>
          <w:color w:val="auto"/>
        </w:rPr>
        <w:t>因规划街区划分、棚户区</w:t>
      </w:r>
      <w:r>
        <w:rPr>
          <w:rFonts w:ascii="仿宋" w:eastAsia="仿宋" w:hAnsi="仿宋" w:cs="仿宋" w:hint="eastAsia"/>
          <w:color w:val="auto"/>
        </w:rPr>
        <w:t>(</w:t>
      </w:r>
      <w:r>
        <w:rPr>
          <w:rFonts w:ascii="仿宋" w:eastAsia="仿宋" w:hAnsi="仿宋" w:cs="仿宋" w:hint="eastAsia"/>
          <w:color w:val="auto"/>
        </w:rPr>
        <w:t>危旧房屋</w:t>
      </w:r>
      <w:r>
        <w:rPr>
          <w:rFonts w:ascii="仿宋" w:eastAsia="仿宋" w:hAnsi="仿宋" w:cs="仿宋" w:hint="eastAsia"/>
          <w:color w:val="auto"/>
        </w:rPr>
        <w:t>)</w:t>
      </w:r>
      <w:r>
        <w:rPr>
          <w:rFonts w:ascii="仿宋" w:eastAsia="仿宋" w:hAnsi="仿宋" w:cs="仿宋" w:hint="eastAsia"/>
          <w:color w:val="auto"/>
        </w:rPr>
        <w:t>改造、市政</w:t>
      </w:r>
      <w:r>
        <w:rPr>
          <w:rFonts w:ascii="仿宋" w:eastAsia="仿宋" w:hAnsi="仿宋" w:cs="仿宋" w:hint="eastAsia"/>
          <w:color w:val="auto"/>
        </w:rPr>
        <w:t>公用设施等限制，确实无法调整合并的，在确定不妨碍国土空间规划实施的情况下，可按程序报批。</w:t>
      </w:r>
    </w:p>
    <w:p w:rsidR="00925AC4" w:rsidRDefault="00285E1E">
      <w:pPr>
        <w:numPr>
          <w:ilvl w:val="0"/>
          <w:numId w:val="8"/>
        </w:numPr>
        <w:tabs>
          <w:tab w:val="left" w:pos="0"/>
        </w:tabs>
        <w:ind w:firstLine="560"/>
        <w:rPr>
          <w:rFonts w:ascii="仿宋" w:eastAsia="仿宋" w:hAnsi="仿宋" w:cs="仿宋"/>
          <w:color w:val="auto"/>
        </w:rPr>
      </w:pPr>
      <w:r>
        <w:rPr>
          <w:rFonts w:ascii="仿宋" w:eastAsia="仿宋" w:hAnsi="仿宋" w:cs="仿宋" w:hint="eastAsia"/>
          <w:color w:val="auto"/>
        </w:rPr>
        <w:t>为合理利用空间资源，节约集约利用土地，鼓励相邻地块之间空间共享，在取得相关权益人同意的前提下可采取以下措施：</w:t>
      </w:r>
    </w:p>
    <w:p w:rsidR="00925AC4" w:rsidRDefault="00285E1E">
      <w:pPr>
        <w:numPr>
          <w:ilvl w:val="0"/>
          <w:numId w:val="10"/>
        </w:numPr>
        <w:ind w:firstLine="560"/>
        <w:rPr>
          <w:rFonts w:ascii="仿宋" w:eastAsia="仿宋" w:hAnsi="仿宋" w:cs="仿宋"/>
          <w:color w:val="auto"/>
        </w:rPr>
      </w:pPr>
      <w:r>
        <w:rPr>
          <w:rFonts w:ascii="仿宋" w:eastAsia="仿宋" w:hAnsi="仿宋" w:cs="仿宋" w:hint="eastAsia"/>
          <w:color w:val="auto"/>
        </w:rPr>
        <w:t>若相邻地块之间不设围墙，共用消防通道，相邻建筑之间可不考虑建筑退界，只控制建筑间距；</w:t>
      </w:r>
    </w:p>
    <w:p w:rsidR="00925AC4" w:rsidRDefault="00285E1E">
      <w:pPr>
        <w:numPr>
          <w:ilvl w:val="0"/>
          <w:numId w:val="10"/>
        </w:numPr>
        <w:ind w:firstLine="560"/>
        <w:rPr>
          <w:rFonts w:ascii="仿宋" w:eastAsia="仿宋" w:hAnsi="仿宋" w:cs="仿宋"/>
          <w:color w:val="auto"/>
        </w:rPr>
      </w:pPr>
      <w:r>
        <w:rPr>
          <w:rFonts w:ascii="仿宋" w:eastAsia="仿宋" w:hAnsi="仿宋" w:cs="仿宋" w:hint="eastAsia"/>
          <w:color w:val="auto"/>
        </w:rPr>
        <w:t>若相邻地块采用建筑拼建，</w:t>
      </w:r>
      <w:commentRangeStart w:id="20"/>
      <w:r>
        <w:rPr>
          <w:rFonts w:ascii="仿宋" w:eastAsia="仿宋" w:hAnsi="仿宋" w:cs="仿宋" w:hint="eastAsia"/>
          <w:color w:val="auto"/>
        </w:rPr>
        <w:t>其拼接面叠合宽度不得小于</w:t>
      </w:r>
      <w:r>
        <w:rPr>
          <w:rFonts w:ascii="仿宋" w:eastAsia="仿宋" w:hAnsi="仿宋" w:cs="仿宋" w:hint="eastAsia"/>
          <w:color w:val="auto"/>
        </w:rPr>
        <w:t>3</w:t>
      </w:r>
      <w:r>
        <w:rPr>
          <w:rFonts w:ascii="仿宋" w:eastAsia="仿宋" w:hAnsi="仿宋" w:cs="仿宋" w:hint="eastAsia"/>
          <w:color w:val="auto"/>
        </w:rPr>
        <w:t>米</w:t>
      </w:r>
      <w:commentRangeEnd w:id="20"/>
      <w:r>
        <w:rPr>
          <w:rFonts w:ascii="仿宋" w:eastAsia="仿宋" w:hAnsi="仿宋" w:cs="仿宋" w:hint="eastAsia"/>
        </w:rPr>
        <w:commentReference w:id="20"/>
      </w:r>
      <w:r>
        <w:rPr>
          <w:rFonts w:ascii="仿宋" w:eastAsia="仿宋" w:hAnsi="仿宋" w:cs="仿宋" w:hint="eastAsia"/>
          <w:color w:val="auto"/>
        </w:rPr>
        <w:t>，</w:t>
      </w:r>
      <w:r>
        <w:rPr>
          <w:rFonts w:ascii="仿宋" w:eastAsia="仿宋" w:hAnsi="仿宋" w:cs="仿宋" w:hint="eastAsia"/>
          <w:color w:val="auto"/>
        </w:rPr>
        <w:t>拼建部分可不退用地红线</w:t>
      </w:r>
      <w:r>
        <w:rPr>
          <w:rFonts w:ascii="仿宋" w:eastAsia="仿宋" w:hAnsi="仿宋" w:cs="仿宋" w:hint="eastAsia"/>
          <w:color w:val="auto"/>
        </w:rPr>
        <w:t>(</w:t>
      </w:r>
      <w:r>
        <w:rPr>
          <w:rFonts w:ascii="仿宋" w:eastAsia="仿宋" w:hAnsi="仿宋" w:cs="仿宋" w:hint="eastAsia"/>
          <w:color w:val="auto"/>
        </w:rPr>
        <w:t>不得与学校、医院等有特殊要求的项目拼建</w:t>
      </w:r>
      <w:r>
        <w:rPr>
          <w:rFonts w:ascii="仿宋" w:eastAsia="仿宋" w:hAnsi="仿宋" w:cs="仿宋" w:hint="eastAsia"/>
          <w:color w:val="auto"/>
        </w:rPr>
        <w:t>),</w:t>
      </w:r>
      <w:r>
        <w:rPr>
          <w:rFonts w:ascii="仿宋" w:eastAsia="仿宋" w:hAnsi="仿宋" w:cs="仿宋" w:hint="eastAsia"/>
          <w:color w:val="auto"/>
        </w:rPr>
        <w:t>但必须符合消防等相关规定，拼接建筑必须整体设计并同步实施；</w:t>
      </w:r>
    </w:p>
    <w:p w:rsidR="00925AC4" w:rsidRDefault="00285E1E">
      <w:pPr>
        <w:numPr>
          <w:ilvl w:val="0"/>
          <w:numId w:val="10"/>
        </w:numPr>
        <w:ind w:firstLine="560"/>
        <w:rPr>
          <w:rFonts w:ascii="仿宋" w:eastAsia="仿宋" w:hAnsi="仿宋" w:cs="仿宋"/>
          <w:color w:val="auto"/>
        </w:rPr>
      </w:pPr>
      <w:r>
        <w:rPr>
          <w:rFonts w:ascii="仿宋" w:eastAsia="仿宋" w:hAnsi="仿宋" w:cs="仿宋" w:hint="eastAsia"/>
          <w:color w:val="auto"/>
        </w:rPr>
        <w:t>相邻地块之间地下室可整体设计或通过通道连接</w:t>
      </w:r>
      <w:r>
        <w:rPr>
          <w:rFonts w:ascii="仿宋" w:eastAsia="仿宋" w:hAnsi="仿宋" w:cs="仿宋" w:hint="eastAsia"/>
          <w:color w:val="auto"/>
        </w:rPr>
        <w:t>、</w:t>
      </w:r>
      <w:r>
        <w:rPr>
          <w:rFonts w:ascii="仿宋" w:eastAsia="仿宋" w:hAnsi="仿宋" w:cs="仿宋" w:hint="eastAsia"/>
          <w:color w:val="auto"/>
        </w:rPr>
        <w:t>坡道共享，减少同一路段地块开口数量。</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0000FF"/>
        </w:rPr>
        <w:lastRenderedPageBreak/>
        <w:t xml:space="preserve"> </w:t>
      </w:r>
      <w:r>
        <w:rPr>
          <w:rFonts w:ascii="仿宋" w:eastAsia="仿宋" w:hAnsi="仿宋" w:cs="仿宋" w:hint="eastAsia"/>
          <w:color w:val="auto"/>
        </w:rPr>
        <w:t>新建住宅项目应按照房屋建筑总面积的</w:t>
      </w:r>
      <w:commentRangeStart w:id="21"/>
      <w:commentRangeStart w:id="22"/>
      <w:r>
        <w:rPr>
          <w:rFonts w:ascii="仿宋" w:eastAsia="仿宋" w:hAnsi="仿宋" w:cs="仿宋" w:hint="eastAsia"/>
          <w:color w:val="auto"/>
        </w:rPr>
        <w:t>2</w:t>
      </w:r>
      <w:r>
        <w:rPr>
          <w:rFonts w:ascii="仿宋" w:eastAsia="仿宋" w:hAnsi="仿宋" w:cs="仿宋" w:hint="eastAsia"/>
          <w:color w:val="auto"/>
        </w:rPr>
        <w:t>‰</w:t>
      </w:r>
      <w:commentRangeEnd w:id="21"/>
      <w:r>
        <w:rPr>
          <w:rFonts w:ascii="仿宋" w:eastAsia="仿宋" w:hAnsi="仿宋" w:cs="仿宋" w:hint="eastAsia"/>
        </w:rPr>
        <w:commentReference w:id="21"/>
      </w:r>
      <w:commentRangeEnd w:id="22"/>
      <w:r>
        <w:rPr>
          <w:rFonts w:ascii="仿宋" w:eastAsia="仿宋" w:hAnsi="仿宋" w:cs="仿宋" w:hint="eastAsia"/>
        </w:rPr>
        <w:commentReference w:id="22"/>
      </w:r>
      <w:r>
        <w:rPr>
          <w:rFonts w:ascii="仿宋" w:eastAsia="仿宋" w:hAnsi="仿宋" w:cs="仿宋" w:hint="eastAsia"/>
          <w:color w:val="auto"/>
        </w:rPr>
        <w:t>且不低于</w:t>
      </w:r>
      <w:r>
        <w:rPr>
          <w:rFonts w:ascii="仿宋" w:eastAsia="仿宋" w:hAnsi="仿宋" w:cs="仿宋" w:hint="eastAsia"/>
          <w:color w:val="auto"/>
        </w:rPr>
        <w:t>100</w:t>
      </w:r>
      <w:r>
        <w:rPr>
          <w:rFonts w:ascii="仿宋" w:eastAsia="仿宋" w:hAnsi="仿宋" w:cs="仿宋" w:hint="eastAsia"/>
          <w:color w:val="auto"/>
        </w:rPr>
        <w:t>平方米的标准，在地面以上配套建设物业服务用房，另应在地面以上设置一间不低于</w:t>
      </w:r>
      <w:r>
        <w:rPr>
          <w:rFonts w:ascii="仿宋" w:eastAsia="仿宋" w:hAnsi="仿宋" w:cs="仿宋" w:hint="eastAsia"/>
          <w:color w:val="auto"/>
        </w:rPr>
        <w:t>30</w:t>
      </w:r>
      <w:r>
        <w:rPr>
          <w:rFonts w:ascii="仿宋" w:eastAsia="仿宋" w:hAnsi="仿宋" w:cs="仿宋" w:hint="eastAsia"/>
          <w:color w:val="auto"/>
        </w:rPr>
        <w:t>平方米的业主委员会议事活动用房。</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新建住宅项目的住宅计容建筑面积之和大于</w:t>
      </w:r>
      <w:r>
        <w:rPr>
          <w:rFonts w:ascii="仿宋" w:eastAsia="仿宋" w:hAnsi="仿宋" w:cs="仿宋" w:hint="eastAsia"/>
          <w:color w:val="auto"/>
        </w:rPr>
        <w:t>3</w:t>
      </w:r>
      <w:r>
        <w:rPr>
          <w:rFonts w:ascii="仿宋" w:eastAsia="仿宋" w:hAnsi="仿宋" w:cs="仿宋" w:hint="eastAsia"/>
          <w:color w:val="auto"/>
        </w:rPr>
        <w:t>万平方米的项目，应配建用地面积不小于</w:t>
      </w:r>
      <w:r>
        <w:rPr>
          <w:rFonts w:ascii="仿宋" w:eastAsia="仿宋" w:hAnsi="仿宋" w:cs="仿宋" w:hint="eastAsia"/>
          <w:color w:val="auto"/>
        </w:rPr>
        <w:t>150</w:t>
      </w:r>
      <w:r>
        <w:rPr>
          <w:rFonts w:ascii="仿宋" w:eastAsia="仿宋" w:hAnsi="仿宋" w:cs="仿宋" w:hint="eastAsia"/>
          <w:color w:val="auto"/>
        </w:rPr>
        <w:t>平方米</w:t>
      </w:r>
      <w:r>
        <w:rPr>
          <w:rFonts w:ascii="仿宋" w:eastAsia="仿宋" w:hAnsi="仿宋" w:cs="仿宋" w:hint="eastAsia"/>
          <w:color w:val="auto"/>
        </w:rPr>
        <w:t>全民健身活动场所</w:t>
      </w:r>
      <w:r>
        <w:rPr>
          <w:rFonts w:ascii="仿宋" w:eastAsia="仿宋" w:hAnsi="仿宋" w:cs="仿宋" w:hint="eastAsia"/>
          <w:color w:val="auto"/>
        </w:rPr>
        <w:t>(</w:t>
      </w:r>
      <w:r>
        <w:rPr>
          <w:rFonts w:ascii="仿宋" w:eastAsia="仿宋" w:hAnsi="仿宋" w:cs="仿宋" w:hint="eastAsia"/>
          <w:color w:val="auto"/>
        </w:rPr>
        <w:t>可设置于建筑物架空底层内</w:t>
      </w:r>
      <w:r>
        <w:rPr>
          <w:rFonts w:ascii="仿宋" w:eastAsia="仿宋" w:hAnsi="仿宋" w:cs="仿宋" w:hint="eastAsia"/>
          <w:color w:val="auto"/>
        </w:rPr>
        <w:t>),</w:t>
      </w:r>
      <w:r>
        <w:rPr>
          <w:rFonts w:ascii="仿宋" w:eastAsia="仿宋" w:hAnsi="仿宋" w:cs="仿宋" w:hint="eastAsia"/>
          <w:color w:val="auto"/>
        </w:rPr>
        <w:t>并配置健身活动设施。健身活动场所用地面积按每</w:t>
      </w:r>
      <w:r>
        <w:rPr>
          <w:rFonts w:ascii="仿宋" w:eastAsia="仿宋" w:hAnsi="仿宋" w:cs="仿宋" w:hint="eastAsia"/>
          <w:color w:val="auto"/>
        </w:rPr>
        <w:t>3</w:t>
      </w:r>
      <w:r>
        <w:rPr>
          <w:rFonts w:ascii="仿宋" w:eastAsia="仿宋" w:hAnsi="仿宋" w:cs="仿宋" w:hint="eastAsia"/>
          <w:color w:val="auto"/>
        </w:rPr>
        <w:t>万平方米居住建筑面积为单位递增。全民健身活动场所宜结合绿地、社区文化活动站等配套设施统一规划建设。</w:t>
      </w:r>
    </w:p>
    <w:p w:rsidR="00925AC4" w:rsidRDefault="00285E1E" w:rsidP="008E7712">
      <w:pPr>
        <w:numPr>
          <w:ilvl w:val="0"/>
          <w:numId w:val="6"/>
        </w:numPr>
        <w:ind w:firstLine="560"/>
        <w:rPr>
          <w:rFonts w:ascii="仿宋" w:eastAsia="仿宋" w:hAnsi="仿宋" w:cs="仿宋"/>
          <w:color w:val="0070C0"/>
        </w:rPr>
      </w:pPr>
      <w:r>
        <w:rPr>
          <w:rFonts w:ascii="仿宋" w:eastAsia="仿宋" w:hAnsi="仿宋" w:cs="仿宋" w:hint="eastAsia"/>
          <w:color w:val="0070C0"/>
        </w:rPr>
        <w:t xml:space="preserve"> </w:t>
      </w:r>
      <w:r>
        <w:rPr>
          <w:rFonts w:ascii="仿宋" w:eastAsia="仿宋" w:hAnsi="仿宋" w:cs="仿宋" w:hint="eastAsia"/>
          <w:color w:val="auto"/>
        </w:rPr>
        <w:t>新建住宅项目应按照房屋建筑总面积的</w:t>
      </w:r>
      <w:r>
        <w:rPr>
          <w:rFonts w:ascii="仿宋" w:eastAsia="仿宋" w:hAnsi="仿宋" w:cs="仿宋" w:hint="eastAsia"/>
          <w:color w:val="auto"/>
        </w:rPr>
        <w:t>0.8</w:t>
      </w:r>
      <w:r>
        <w:rPr>
          <w:rFonts w:ascii="仿宋" w:eastAsia="仿宋" w:hAnsi="仿宋" w:cs="仿宋" w:hint="eastAsia"/>
          <w:color w:val="auto"/>
        </w:rPr>
        <w:t>‰配建垃圾用房，且建筑面积应不小于</w:t>
      </w:r>
      <w:commentRangeStart w:id="23"/>
      <w:r>
        <w:rPr>
          <w:rFonts w:ascii="仿宋" w:eastAsia="仿宋" w:hAnsi="仿宋" w:cs="仿宋" w:hint="eastAsia"/>
          <w:color w:val="auto"/>
        </w:rPr>
        <w:t>10</w:t>
      </w:r>
      <w:r>
        <w:rPr>
          <w:rFonts w:ascii="仿宋" w:eastAsia="仿宋" w:hAnsi="仿宋" w:cs="仿宋" w:hint="eastAsia"/>
          <w:color w:val="auto"/>
        </w:rPr>
        <w:t>平方米</w:t>
      </w:r>
      <w:commentRangeEnd w:id="23"/>
      <w:r>
        <w:rPr>
          <w:rFonts w:ascii="仿宋" w:eastAsia="仿宋" w:hAnsi="仿宋" w:cs="仿宋" w:hint="eastAsia"/>
        </w:rPr>
        <w:commentReference w:id="23"/>
      </w:r>
      <w:r>
        <w:rPr>
          <w:rFonts w:ascii="仿宋" w:eastAsia="仿宋" w:hAnsi="仿宋" w:cs="仿宋" w:hint="eastAsia"/>
          <w:color w:val="auto"/>
        </w:rPr>
        <w:t>；住宅建筑面积较大的项目可分散设置垃圾用房；设有农贸市场的用地内应配建建筑面积不小于</w:t>
      </w:r>
      <w:r>
        <w:rPr>
          <w:rFonts w:ascii="仿宋" w:eastAsia="仿宋" w:hAnsi="仿宋" w:cs="仿宋" w:hint="eastAsia"/>
          <w:color w:val="auto"/>
        </w:rPr>
        <w:t>20</w:t>
      </w:r>
      <w:r>
        <w:rPr>
          <w:rFonts w:ascii="仿宋" w:eastAsia="仿宋" w:hAnsi="仿宋" w:cs="仿宋" w:hint="eastAsia"/>
          <w:color w:val="auto"/>
        </w:rPr>
        <w:t>平方米的垃圾用房。配建垃圾用房的建筑面积不计入项目容积率。</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垃圾用房的位置应隐蔽且方便使用，宜设置单独的对外出入口，前区布置应满足垃圾收集小车、垃圾运输车的通行和方便、安全作业的要求；建筑设计和外部装饰应与周围居民住宅、公共建筑物及环境相协调；垃圾用房内应设置给排水和通风设施，平面布局适应垃圾分类收集的发展需求。</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新建住宅项目应配建公厕，其中，总建筑面积在</w:t>
      </w:r>
      <w:r>
        <w:rPr>
          <w:rFonts w:ascii="仿宋" w:eastAsia="仿宋" w:hAnsi="仿宋" w:cs="仿宋" w:hint="eastAsia"/>
          <w:color w:val="auto"/>
        </w:rPr>
        <w:t>10</w:t>
      </w:r>
      <w:r>
        <w:rPr>
          <w:rFonts w:ascii="仿宋" w:eastAsia="仿宋" w:hAnsi="仿宋" w:cs="仿宋" w:hint="eastAsia"/>
          <w:color w:val="auto"/>
        </w:rPr>
        <w:t>万平方米以上</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10</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的应配建一处对社会开放的公厕，公厕面积不低于</w:t>
      </w:r>
      <w:r>
        <w:rPr>
          <w:rFonts w:ascii="仿宋" w:eastAsia="仿宋" w:hAnsi="仿宋" w:cs="仿宋" w:hint="eastAsia"/>
          <w:color w:val="auto"/>
        </w:rPr>
        <w:t>50</w:t>
      </w:r>
      <w:r>
        <w:rPr>
          <w:rFonts w:ascii="仿宋" w:eastAsia="仿宋" w:hAnsi="仿宋" w:cs="仿宋" w:hint="eastAsia"/>
          <w:color w:val="auto"/>
        </w:rPr>
        <w:t>平方米，竣工验收合格后应无偿移交政府相关部门（明确产权否？）；</w:t>
      </w:r>
      <w:commentRangeStart w:id="24"/>
      <w:r>
        <w:rPr>
          <w:rFonts w:ascii="仿宋" w:eastAsia="仿宋" w:hAnsi="仿宋" w:cs="仿宋" w:hint="eastAsia"/>
          <w:color w:val="auto"/>
        </w:rPr>
        <w:t>配建公厕</w:t>
      </w:r>
      <w:commentRangeEnd w:id="24"/>
      <w:r>
        <w:rPr>
          <w:rFonts w:ascii="仿宋" w:eastAsia="仿宋" w:hAnsi="仿宋" w:cs="仿宋" w:hint="eastAsia"/>
        </w:rPr>
        <w:commentReference w:id="24"/>
      </w:r>
      <w:r>
        <w:rPr>
          <w:rFonts w:ascii="仿宋" w:eastAsia="仿宋" w:hAnsi="仿宋" w:cs="仿宋" w:hint="eastAsia"/>
          <w:color w:val="auto"/>
        </w:rPr>
        <w:t>的建筑面积不计入项目容积率。</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新建住宅项目应按以下规</w:t>
      </w:r>
      <w:r>
        <w:rPr>
          <w:rFonts w:ascii="仿宋" w:eastAsia="仿宋" w:hAnsi="仿宋" w:cs="仿宋" w:hint="eastAsia"/>
          <w:color w:val="auto"/>
        </w:rPr>
        <w:t>定配</w:t>
      </w:r>
      <w:commentRangeStart w:id="25"/>
      <w:r>
        <w:rPr>
          <w:rFonts w:ascii="仿宋" w:eastAsia="仿宋" w:hAnsi="仿宋" w:cs="仿宋" w:hint="eastAsia"/>
          <w:color w:val="auto"/>
        </w:rPr>
        <w:t>建社区综合服务设施，竣工验收合格后应无偿移交地方政府</w:t>
      </w:r>
      <w:commentRangeEnd w:id="25"/>
      <w:r>
        <w:rPr>
          <w:rFonts w:ascii="仿宋" w:eastAsia="仿宋" w:hAnsi="仿宋" w:cs="仿宋" w:hint="eastAsia"/>
        </w:rPr>
        <w:commentReference w:id="25"/>
      </w:r>
      <w:r>
        <w:rPr>
          <w:rFonts w:ascii="仿宋" w:eastAsia="仿宋" w:hAnsi="仿宋" w:cs="仿宋" w:hint="eastAsia"/>
          <w:color w:val="auto"/>
        </w:rPr>
        <w:t>：</w:t>
      </w:r>
    </w:p>
    <w:p w:rsidR="00925AC4" w:rsidRDefault="00285E1E">
      <w:pPr>
        <w:numPr>
          <w:ilvl w:val="0"/>
          <w:numId w:val="11"/>
        </w:numPr>
        <w:ind w:firstLine="560"/>
        <w:rPr>
          <w:rFonts w:ascii="仿宋" w:eastAsia="仿宋" w:hAnsi="仿宋" w:cs="仿宋"/>
          <w:color w:val="auto"/>
        </w:rPr>
      </w:pPr>
      <w:r>
        <w:rPr>
          <w:rFonts w:ascii="仿宋" w:eastAsia="仿宋" w:hAnsi="仿宋" w:cs="仿宋" w:hint="eastAsia"/>
          <w:color w:val="auto"/>
        </w:rPr>
        <w:t>计容住宅建筑面积低于</w:t>
      </w:r>
      <w:r>
        <w:rPr>
          <w:rFonts w:ascii="仿宋" w:eastAsia="仿宋" w:hAnsi="仿宋" w:cs="仿宋" w:hint="eastAsia"/>
          <w:color w:val="auto"/>
        </w:rPr>
        <w:t>2</w:t>
      </w:r>
      <w:r>
        <w:rPr>
          <w:rFonts w:ascii="仿宋" w:eastAsia="仿宋" w:hAnsi="仿宋" w:cs="仿宋" w:hint="eastAsia"/>
          <w:color w:val="auto"/>
        </w:rPr>
        <w:t>万平方米的，开发建设单位按照计容住宅建筑面积</w:t>
      </w:r>
      <w:r>
        <w:rPr>
          <w:rFonts w:ascii="仿宋" w:eastAsia="仿宋" w:hAnsi="仿宋" w:cs="仿宋" w:hint="eastAsia"/>
          <w:color w:val="auto"/>
        </w:rPr>
        <w:t>3</w:t>
      </w:r>
      <w:r>
        <w:rPr>
          <w:rFonts w:ascii="仿宋" w:eastAsia="仿宋" w:hAnsi="仿宋" w:cs="仿宋" w:hint="eastAsia"/>
          <w:color w:val="auto"/>
        </w:rPr>
        <w:t>‰的比例，交纳社区综合服务设施建设配套资金</w:t>
      </w:r>
      <w:r>
        <w:rPr>
          <w:rFonts w:ascii="仿宋" w:eastAsia="仿宋" w:hAnsi="仿宋" w:cs="仿宋" w:hint="eastAsia"/>
          <w:color w:val="auto"/>
        </w:rPr>
        <w:t>(</w:t>
      </w:r>
      <w:r>
        <w:rPr>
          <w:rFonts w:ascii="仿宋" w:eastAsia="仿宋" w:hAnsi="仿宋" w:cs="仿宋" w:hint="eastAsia"/>
          <w:color w:val="auto"/>
        </w:rPr>
        <w:t>每平方米</w:t>
      </w:r>
      <w:r>
        <w:rPr>
          <w:rFonts w:ascii="仿宋" w:eastAsia="仿宋" w:hAnsi="仿宋" w:cs="仿宋" w:hint="eastAsia"/>
          <w:color w:val="auto"/>
        </w:rPr>
        <w:lastRenderedPageBreak/>
        <w:t>按建设施工合同价计算</w:t>
      </w:r>
      <w:r>
        <w:rPr>
          <w:rFonts w:ascii="仿宋" w:eastAsia="仿宋" w:hAnsi="仿宋" w:cs="仿宋" w:hint="eastAsia"/>
          <w:color w:val="auto"/>
        </w:rPr>
        <w:t>),</w:t>
      </w:r>
      <w:r>
        <w:rPr>
          <w:rFonts w:ascii="仿宋" w:eastAsia="仿宋" w:hAnsi="仿宋" w:cs="仿宋" w:hint="eastAsia"/>
          <w:color w:val="auto"/>
        </w:rPr>
        <w:t>由住房城乡建设部门代收，纳入财政专户管理，全额安排给同级人民政府，用于社区综合服务设施建设；</w:t>
      </w:r>
    </w:p>
    <w:p w:rsidR="00925AC4" w:rsidRDefault="00285E1E">
      <w:pPr>
        <w:numPr>
          <w:ilvl w:val="0"/>
          <w:numId w:val="11"/>
        </w:numPr>
        <w:ind w:firstLine="560"/>
        <w:rPr>
          <w:rFonts w:ascii="仿宋" w:eastAsia="仿宋" w:hAnsi="仿宋" w:cs="仿宋"/>
          <w:color w:val="auto"/>
        </w:rPr>
      </w:pPr>
      <w:r>
        <w:rPr>
          <w:rFonts w:ascii="仿宋" w:eastAsia="仿宋" w:hAnsi="仿宋" w:cs="仿宋" w:hint="eastAsia"/>
          <w:color w:val="auto"/>
        </w:rPr>
        <w:t>计容住宅建筑面积</w:t>
      </w:r>
      <w:r>
        <w:rPr>
          <w:rFonts w:ascii="仿宋" w:eastAsia="仿宋" w:hAnsi="仿宋" w:cs="仿宋" w:hint="eastAsia"/>
          <w:color w:val="auto"/>
        </w:rPr>
        <w:t>2</w:t>
      </w:r>
      <w:r>
        <w:rPr>
          <w:rFonts w:ascii="仿宋" w:eastAsia="仿宋" w:hAnsi="仿宋" w:cs="仿宋" w:hint="eastAsia"/>
          <w:color w:val="auto"/>
        </w:rPr>
        <w:t>万平方米</w:t>
      </w:r>
      <w:r>
        <w:rPr>
          <w:rFonts w:ascii="仿宋" w:eastAsia="仿宋" w:hAnsi="仿宋" w:cs="仿宋" w:hint="eastAsia"/>
          <w:color w:val="auto"/>
        </w:rPr>
        <w:t>至</w:t>
      </w:r>
      <w:r>
        <w:rPr>
          <w:rFonts w:ascii="仿宋" w:eastAsia="仿宋" w:hAnsi="仿宋" w:cs="仿宋" w:hint="eastAsia"/>
          <w:color w:val="auto"/>
        </w:rPr>
        <w:t>5</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5</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的，按照计容住宅建筑面积</w:t>
      </w:r>
      <w:r>
        <w:rPr>
          <w:rFonts w:ascii="仿宋" w:eastAsia="仿宋" w:hAnsi="仿宋" w:cs="仿宋" w:hint="eastAsia"/>
          <w:color w:val="auto"/>
        </w:rPr>
        <w:t>3</w:t>
      </w:r>
      <w:r>
        <w:rPr>
          <w:rFonts w:ascii="仿宋" w:eastAsia="仿宋" w:hAnsi="仿宋" w:cs="仿宋" w:hint="eastAsia"/>
          <w:color w:val="auto"/>
        </w:rPr>
        <w:t>‰的比例配建一个不低于</w:t>
      </w:r>
      <w:commentRangeStart w:id="26"/>
      <w:r>
        <w:rPr>
          <w:rFonts w:ascii="仿宋" w:eastAsia="仿宋" w:hAnsi="仿宋" w:cs="仿宋" w:hint="eastAsia"/>
          <w:color w:val="auto"/>
        </w:rPr>
        <w:t>150</w:t>
      </w:r>
      <w:r>
        <w:rPr>
          <w:rFonts w:ascii="仿宋" w:eastAsia="仿宋" w:hAnsi="仿宋" w:cs="仿宋" w:hint="eastAsia"/>
          <w:color w:val="auto"/>
        </w:rPr>
        <w:t>平方米</w:t>
      </w:r>
      <w:commentRangeEnd w:id="26"/>
      <w:r>
        <w:rPr>
          <w:rFonts w:ascii="仿宋" w:eastAsia="仿宋" w:hAnsi="仿宋" w:cs="仿宋" w:hint="eastAsia"/>
        </w:rPr>
        <w:commentReference w:id="26"/>
      </w:r>
      <w:r>
        <w:rPr>
          <w:rFonts w:ascii="仿宋" w:eastAsia="仿宋" w:hAnsi="仿宋" w:cs="仿宋" w:hint="eastAsia"/>
          <w:color w:val="auto"/>
        </w:rPr>
        <w:t>的社区综合服务设施；</w:t>
      </w:r>
    </w:p>
    <w:p w:rsidR="00925AC4" w:rsidRDefault="00285E1E">
      <w:pPr>
        <w:numPr>
          <w:ilvl w:val="0"/>
          <w:numId w:val="11"/>
        </w:numPr>
        <w:ind w:firstLine="560"/>
        <w:rPr>
          <w:rFonts w:ascii="仿宋" w:eastAsia="仿宋" w:hAnsi="仿宋" w:cs="仿宋"/>
          <w:color w:val="auto"/>
        </w:rPr>
      </w:pPr>
      <w:r>
        <w:rPr>
          <w:rFonts w:ascii="仿宋" w:eastAsia="仿宋" w:hAnsi="仿宋" w:cs="仿宋" w:hint="eastAsia"/>
          <w:color w:val="auto"/>
        </w:rPr>
        <w:t>计容住宅建筑面积</w:t>
      </w:r>
      <w:r>
        <w:rPr>
          <w:rFonts w:ascii="仿宋" w:eastAsia="仿宋" w:hAnsi="仿宋" w:cs="仿宋" w:hint="eastAsia"/>
          <w:color w:val="auto"/>
        </w:rPr>
        <w:t>5</w:t>
      </w:r>
      <w:r>
        <w:rPr>
          <w:rFonts w:ascii="仿宋" w:eastAsia="仿宋" w:hAnsi="仿宋" w:cs="仿宋" w:hint="eastAsia"/>
          <w:color w:val="auto"/>
        </w:rPr>
        <w:t>万平方米</w:t>
      </w:r>
      <w:r>
        <w:rPr>
          <w:rFonts w:ascii="仿宋" w:eastAsia="仿宋" w:hAnsi="仿宋" w:cs="仿宋" w:hint="eastAsia"/>
          <w:color w:val="auto"/>
        </w:rPr>
        <w:t>至</w:t>
      </w:r>
      <w:r>
        <w:rPr>
          <w:rFonts w:ascii="仿宋" w:eastAsia="仿宋" w:hAnsi="仿宋" w:cs="仿宋" w:hint="eastAsia"/>
          <w:color w:val="auto"/>
        </w:rPr>
        <w:t>9</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9</w:t>
      </w:r>
      <w:r>
        <w:rPr>
          <w:rFonts w:ascii="仿宋" w:eastAsia="仿宋" w:hAnsi="仿宋" w:cs="仿宋" w:hint="eastAsia"/>
          <w:color w:val="auto"/>
        </w:rPr>
        <w:t>万平方米</w:t>
      </w:r>
      <w:r>
        <w:rPr>
          <w:rFonts w:ascii="仿宋" w:eastAsia="仿宋" w:hAnsi="仿宋" w:cs="仿宋" w:hint="eastAsia"/>
          <w:color w:val="auto"/>
        </w:rPr>
        <w:t>)</w:t>
      </w:r>
      <w:r>
        <w:rPr>
          <w:rFonts w:ascii="仿宋" w:eastAsia="仿宋" w:hAnsi="仿宋" w:cs="仿宋" w:hint="eastAsia"/>
          <w:color w:val="auto"/>
        </w:rPr>
        <w:t>的，按照计容住宅建筑面积</w:t>
      </w:r>
      <w:r>
        <w:rPr>
          <w:rFonts w:ascii="仿宋" w:eastAsia="仿宋" w:hAnsi="仿宋" w:cs="仿宋" w:hint="eastAsia"/>
          <w:color w:val="auto"/>
        </w:rPr>
        <w:t>3</w:t>
      </w:r>
      <w:r>
        <w:rPr>
          <w:rFonts w:ascii="仿宋" w:eastAsia="仿宋" w:hAnsi="仿宋" w:cs="仿宋" w:hint="eastAsia"/>
          <w:color w:val="auto"/>
        </w:rPr>
        <w:t>‰的比例配建一个社区综合服务设施；</w:t>
      </w:r>
    </w:p>
    <w:p w:rsidR="00925AC4" w:rsidRDefault="00285E1E">
      <w:pPr>
        <w:numPr>
          <w:ilvl w:val="0"/>
          <w:numId w:val="11"/>
        </w:numPr>
        <w:ind w:firstLine="560"/>
        <w:rPr>
          <w:rFonts w:ascii="仿宋" w:eastAsia="仿宋" w:hAnsi="仿宋" w:cs="仿宋"/>
          <w:color w:val="auto"/>
        </w:rPr>
      </w:pPr>
      <w:r>
        <w:rPr>
          <w:rFonts w:ascii="仿宋" w:eastAsia="仿宋" w:hAnsi="仿宋" w:cs="仿宋" w:hint="eastAsia"/>
          <w:color w:val="auto"/>
        </w:rPr>
        <w:t>计容住宅建筑面积</w:t>
      </w:r>
      <w:r>
        <w:rPr>
          <w:rFonts w:ascii="仿宋" w:eastAsia="仿宋" w:hAnsi="仿宋" w:cs="仿宋" w:hint="eastAsia"/>
          <w:color w:val="auto"/>
        </w:rPr>
        <w:t>9</w:t>
      </w:r>
      <w:r>
        <w:rPr>
          <w:rFonts w:ascii="仿宋" w:eastAsia="仿宋" w:hAnsi="仿宋" w:cs="仿宋" w:hint="eastAsia"/>
          <w:color w:val="auto"/>
        </w:rPr>
        <w:t>万平方米以上的，按照计容住宅建筑面积</w:t>
      </w:r>
      <w:r>
        <w:rPr>
          <w:rFonts w:ascii="仿宋" w:eastAsia="仿宋" w:hAnsi="仿宋" w:cs="仿宋" w:hint="eastAsia"/>
          <w:color w:val="auto"/>
        </w:rPr>
        <w:t>3</w:t>
      </w:r>
      <w:r>
        <w:rPr>
          <w:rFonts w:ascii="仿宋" w:eastAsia="仿宋" w:hAnsi="仿宋" w:cs="仿宋" w:hint="eastAsia"/>
          <w:color w:val="auto"/>
        </w:rPr>
        <w:t>‰的比例配建一个或多个社区综合服务设施；</w:t>
      </w:r>
    </w:p>
    <w:p w:rsidR="00925AC4" w:rsidRDefault="00285E1E">
      <w:pPr>
        <w:numPr>
          <w:ilvl w:val="0"/>
          <w:numId w:val="11"/>
        </w:numPr>
        <w:ind w:firstLine="560"/>
        <w:rPr>
          <w:rFonts w:ascii="仿宋" w:eastAsia="仿宋" w:hAnsi="仿宋" w:cs="仿宋"/>
          <w:color w:val="auto"/>
        </w:rPr>
      </w:pPr>
      <w:r>
        <w:rPr>
          <w:rFonts w:ascii="仿宋" w:eastAsia="仿宋" w:hAnsi="仿宋" w:cs="仿宋" w:hint="eastAsia"/>
          <w:color w:val="auto"/>
        </w:rPr>
        <w:t>社区综合服务设施设置位置应临近小区出入口或小区干道，地面以上建筑的一至二层，应有独立的出入口、楼梯间及卫生间等；具备水、电、气、采光、通风等基本功能，竣工后达到交付使用条件。</w:t>
      </w:r>
    </w:p>
    <w:p w:rsidR="00925AC4" w:rsidRDefault="00285E1E">
      <w:pPr>
        <w:numPr>
          <w:ilvl w:val="0"/>
          <w:numId w:val="11"/>
        </w:numPr>
        <w:ind w:firstLine="560"/>
        <w:rPr>
          <w:rFonts w:ascii="仿宋" w:eastAsia="仿宋" w:hAnsi="仿宋" w:cs="仿宋"/>
          <w:color w:val="auto"/>
          <w:sz w:val="31"/>
          <w:szCs w:val="31"/>
        </w:rPr>
      </w:pPr>
      <w:r>
        <w:rPr>
          <w:rFonts w:ascii="仿宋" w:eastAsia="仿宋" w:hAnsi="仿宋" w:cs="仿宋" w:hint="eastAsia"/>
          <w:color w:val="auto"/>
        </w:rPr>
        <w:t>配建社区综合服务设施的建筑面积不计入项目容积率。</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commentRangeStart w:id="27"/>
      <w:r>
        <w:rPr>
          <w:rFonts w:ascii="仿宋" w:eastAsia="仿宋" w:hAnsi="仿宋" w:cs="仿宋" w:hint="eastAsia"/>
          <w:color w:val="auto"/>
        </w:rPr>
        <w:t>以下设施不应设置在地下空间内</w:t>
      </w:r>
      <w:commentRangeEnd w:id="27"/>
      <w:r>
        <w:rPr>
          <w:rFonts w:ascii="仿宋" w:eastAsia="仿宋" w:hAnsi="仿宋" w:cs="仿宋" w:hint="eastAsia"/>
        </w:rPr>
        <w:commentReference w:id="27"/>
      </w:r>
      <w:r>
        <w:rPr>
          <w:rFonts w:ascii="仿宋" w:eastAsia="仿宋" w:hAnsi="仿宋" w:cs="仿宋" w:hint="eastAsia"/>
          <w:color w:val="auto"/>
        </w:rPr>
        <w:t>：社区服务站、街道办事处、农贸市场、养老设施、邮政服务网点、文化</w:t>
      </w:r>
      <w:r>
        <w:rPr>
          <w:rFonts w:ascii="仿宋" w:eastAsia="仿宋" w:hAnsi="仿宋" w:cs="仿宋" w:hint="eastAsia"/>
          <w:color w:val="auto"/>
        </w:rPr>
        <w:t>活动中心、文化活动站、社区卫生服务中心、社区卫生服务站、体育活动中心、社区警务室或警务工作站。其中农贸市场应优先设置于地面一、二层，且设置于一层的建筑面积不应小于设置于二层的建筑面积。</w:t>
      </w: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建设用地内应按以下标准配建机动车、非机动车停车场</w:t>
      </w:r>
      <w:r>
        <w:rPr>
          <w:rFonts w:ascii="仿宋" w:eastAsia="仿宋" w:hAnsi="仿宋" w:cs="仿宋" w:hint="eastAsia"/>
          <w:color w:val="auto"/>
        </w:rPr>
        <w:t>(</w:t>
      </w:r>
      <w:r>
        <w:rPr>
          <w:rFonts w:ascii="仿宋" w:eastAsia="仿宋" w:hAnsi="仿宋" w:cs="仿宋" w:hint="eastAsia"/>
          <w:color w:val="auto"/>
        </w:rPr>
        <w:t>库</w:t>
      </w:r>
      <w:r>
        <w:rPr>
          <w:rFonts w:ascii="仿宋" w:eastAsia="仿宋" w:hAnsi="仿宋" w:cs="仿宋" w:hint="eastAsia"/>
          <w:color w:val="auto"/>
        </w:rPr>
        <w:t>)</w:t>
      </w:r>
    </w:p>
    <w:p w:rsidR="00925AC4" w:rsidRDefault="00285E1E" w:rsidP="008E7712">
      <w:pPr>
        <w:tabs>
          <w:tab w:val="left" w:pos="0"/>
        </w:tabs>
        <w:ind w:leftChars="200" w:left="560" w:firstLineChars="0" w:firstLine="0"/>
        <w:jc w:val="center"/>
        <w:rPr>
          <w:rFonts w:ascii="仿宋" w:eastAsia="仿宋" w:hAnsi="仿宋" w:cs="仿宋"/>
          <w:color w:val="auto"/>
          <w:sz w:val="24"/>
          <w:szCs w:val="24"/>
        </w:rPr>
      </w:pPr>
      <w:r>
        <w:rPr>
          <w:rFonts w:ascii="仿宋" w:eastAsia="仿宋" w:hAnsi="仿宋" w:cs="仿宋" w:hint="eastAsia"/>
          <w:color w:val="auto"/>
          <w:sz w:val="24"/>
          <w:szCs w:val="24"/>
        </w:rPr>
        <w:t>表</w:t>
      </w:r>
      <w:r>
        <w:rPr>
          <w:rFonts w:ascii="仿宋" w:eastAsia="仿宋" w:hAnsi="仿宋" w:cs="仿宋" w:hint="eastAsia"/>
          <w:color w:val="auto"/>
          <w:sz w:val="24"/>
          <w:szCs w:val="24"/>
        </w:rPr>
        <w:t>2.3.</w:t>
      </w:r>
      <w:r>
        <w:rPr>
          <w:rFonts w:ascii="仿宋" w:eastAsia="仿宋" w:hAnsi="仿宋" w:cs="仿宋" w:hint="eastAsia"/>
          <w:color w:val="auto"/>
          <w:sz w:val="24"/>
          <w:szCs w:val="24"/>
        </w:rPr>
        <w:t xml:space="preserve">11 </w:t>
      </w:r>
      <w:r>
        <w:rPr>
          <w:rFonts w:ascii="仿宋" w:eastAsia="仿宋" w:hAnsi="仿宋" w:cs="仿宋" w:hint="eastAsia"/>
          <w:color w:val="auto"/>
          <w:sz w:val="24"/>
          <w:szCs w:val="24"/>
        </w:rPr>
        <w:t>机动车停车场</w:t>
      </w:r>
      <w:r>
        <w:rPr>
          <w:rFonts w:ascii="仿宋" w:eastAsia="仿宋" w:hAnsi="仿宋" w:cs="仿宋" w:hint="eastAsia"/>
          <w:color w:val="auto"/>
          <w:sz w:val="24"/>
          <w:szCs w:val="24"/>
        </w:rPr>
        <w:t>(</w:t>
      </w:r>
      <w:r>
        <w:rPr>
          <w:rFonts w:ascii="仿宋" w:eastAsia="仿宋" w:hAnsi="仿宋" w:cs="仿宋" w:hint="eastAsia"/>
          <w:color w:val="auto"/>
          <w:sz w:val="24"/>
          <w:szCs w:val="24"/>
        </w:rPr>
        <w:t>库</w:t>
      </w:r>
      <w:r>
        <w:rPr>
          <w:rFonts w:ascii="仿宋" w:eastAsia="仿宋" w:hAnsi="仿宋" w:cs="仿宋" w:hint="eastAsia"/>
          <w:color w:val="auto"/>
          <w:sz w:val="24"/>
          <w:szCs w:val="24"/>
        </w:rPr>
        <w:t>)</w:t>
      </w:r>
      <w:r>
        <w:rPr>
          <w:rFonts w:ascii="仿宋" w:eastAsia="仿宋" w:hAnsi="仿宋" w:cs="仿宋" w:hint="eastAsia"/>
          <w:color w:val="auto"/>
          <w:sz w:val="24"/>
          <w:szCs w:val="24"/>
        </w:rPr>
        <w:t>配置标准一览表</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4"/>
        <w:gridCol w:w="2607"/>
        <w:gridCol w:w="2717"/>
        <w:gridCol w:w="1388"/>
        <w:gridCol w:w="1214"/>
      </w:tblGrid>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类别</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单位</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非机动车</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机动车</w:t>
            </w:r>
          </w:p>
        </w:tc>
      </w:tr>
      <w:tr w:rsidR="00925AC4">
        <w:trPr>
          <w:trHeight w:val="454"/>
        </w:trPr>
        <w:tc>
          <w:tcPr>
            <w:tcW w:w="944"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居住区</w:t>
            </w:r>
          </w:p>
        </w:tc>
        <w:tc>
          <w:tcPr>
            <w:tcW w:w="2607" w:type="dxa"/>
            <w:vAlign w:val="center"/>
          </w:tcPr>
          <w:p w:rsidR="00925AC4" w:rsidRDefault="00285E1E">
            <w:pPr>
              <w:pStyle w:val="ab"/>
              <w:jc w:val="center"/>
              <w:rPr>
                <w:rFonts w:ascii="仿宋" w:eastAsia="仿宋" w:hAnsi="仿宋" w:cs="仿宋" w:hint="default"/>
                <w:color w:val="auto"/>
                <w:highlight w:val="yellow"/>
              </w:rPr>
            </w:pPr>
            <w:r>
              <w:rPr>
                <w:rFonts w:ascii="仿宋" w:eastAsia="仿宋" w:hAnsi="仿宋" w:cs="仿宋"/>
                <w:color w:val="auto"/>
                <w:highlight w:val="yellow"/>
              </w:rPr>
              <w:t>普通住宅</w:t>
            </w:r>
          </w:p>
        </w:tc>
        <w:tc>
          <w:tcPr>
            <w:tcW w:w="2717" w:type="dxa"/>
            <w:vAlign w:val="center"/>
          </w:tcPr>
          <w:p w:rsidR="00925AC4" w:rsidRDefault="00285E1E">
            <w:pPr>
              <w:pStyle w:val="ab"/>
              <w:jc w:val="center"/>
              <w:rPr>
                <w:rFonts w:ascii="仿宋" w:eastAsia="仿宋" w:hAnsi="仿宋" w:cs="仿宋" w:hint="default"/>
                <w:color w:val="auto"/>
                <w:highlight w:val="yellow"/>
              </w:rPr>
            </w:pPr>
            <w:r>
              <w:rPr>
                <w:rFonts w:ascii="仿宋" w:eastAsia="仿宋" w:hAnsi="仿宋" w:cs="仿宋"/>
                <w:color w:val="auto"/>
                <w:highlight w:val="yellow"/>
              </w:rPr>
              <w:t>车位</w:t>
            </w:r>
            <w:r>
              <w:rPr>
                <w:rFonts w:ascii="仿宋" w:eastAsia="仿宋" w:hAnsi="仿宋" w:cs="仿宋"/>
                <w:color w:val="auto"/>
                <w:highlight w:val="yellow"/>
              </w:rPr>
              <w:t>/</w:t>
            </w:r>
            <w:r>
              <w:rPr>
                <w:rFonts w:ascii="仿宋" w:eastAsia="仿宋" w:hAnsi="仿宋" w:cs="仿宋"/>
                <w:color w:val="auto"/>
                <w:highlight w:val="yellow"/>
              </w:rPr>
              <w:t>户</w:t>
            </w:r>
          </w:p>
        </w:tc>
        <w:tc>
          <w:tcPr>
            <w:tcW w:w="1388" w:type="dxa"/>
            <w:vAlign w:val="center"/>
          </w:tcPr>
          <w:p w:rsidR="00925AC4" w:rsidRDefault="00285E1E">
            <w:pPr>
              <w:pStyle w:val="ab"/>
              <w:jc w:val="center"/>
              <w:rPr>
                <w:rFonts w:ascii="仿宋" w:eastAsia="仿宋" w:hAnsi="仿宋" w:cs="仿宋" w:hint="default"/>
                <w:color w:val="auto"/>
                <w:highlight w:val="yellow"/>
              </w:rPr>
            </w:pPr>
            <w:r>
              <w:rPr>
                <w:rFonts w:ascii="仿宋" w:eastAsia="仿宋" w:hAnsi="仿宋" w:cs="仿宋"/>
                <w:color w:val="auto"/>
                <w:highlight w:val="yellow"/>
              </w:rPr>
              <w:t>0.9</w:t>
            </w:r>
          </w:p>
        </w:tc>
        <w:tc>
          <w:tcPr>
            <w:tcW w:w="1214" w:type="dxa"/>
            <w:vAlign w:val="center"/>
          </w:tcPr>
          <w:p w:rsidR="00925AC4" w:rsidRDefault="00285E1E">
            <w:pPr>
              <w:pStyle w:val="ab"/>
              <w:jc w:val="center"/>
              <w:rPr>
                <w:rFonts w:ascii="仿宋" w:eastAsia="仿宋" w:hAnsi="仿宋" w:cs="仿宋" w:hint="default"/>
                <w:color w:val="auto"/>
                <w:highlight w:val="yellow"/>
              </w:rPr>
            </w:pPr>
            <w:commentRangeStart w:id="28"/>
            <w:r>
              <w:rPr>
                <w:rFonts w:ascii="仿宋" w:eastAsia="仿宋" w:hAnsi="仿宋" w:cs="仿宋"/>
                <w:color w:val="auto"/>
                <w:highlight w:val="yellow"/>
              </w:rPr>
              <w:t>0.5-1.5</w:t>
            </w:r>
            <w:commentRangeEnd w:id="28"/>
            <w:r>
              <w:rPr>
                <w:rFonts w:ascii="仿宋" w:eastAsia="仿宋" w:hAnsi="仿宋" w:cs="仿宋"/>
              </w:rPr>
              <w:commentReference w:id="28"/>
            </w:r>
          </w:p>
        </w:tc>
      </w:tr>
      <w:tr w:rsidR="00925AC4">
        <w:trPr>
          <w:trHeight w:val="454"/>
        </w:trPr>
        <w:tc>
          <w:tcPr>
            <w:tcW w:w="944"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260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配套商业</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w:t>
            </w:r>
            <w:r>
              <w:rPr>
                <w:rFonts w:ascii="仿宋" w:eastAsia="仿宋" w:hAnsi="仿宋" w:cs="仿宋"/>
                <w:color w:val="auto"/>
              </w:rPr>
              <w:t>户</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酒店</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w:t>
            </w:r>
            <w:r>
              <w:rPr>
                <w:rFonts w:ascii="仿宋" w:eastAsia="仿宋" w:hAnsi="仿宋" w:cs="仿宋"/>
                <w:color w:val="auto"/>
              </w:rPr>
              <w:t>间客房</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0.3</w:t>
            </w:r>
          </w:p>
        </w:tc>
        <w:tc>
          <w:tcPr>
            <w:tcW w:w="1214" w:type="dxa"/>
            <w:vAlign w:val="center"/>
          </w:tcPr>
          <w:p w:rsidR="00925AC4" w:rsidRDefault="00285E1E">
            <w:pPr>
              <w:pStyle w:val="ab"/>
              <w:jc w:val="center"/>
              <w:rPr>
                <w:rFonts w:ascii="仿宋" w:eastAsia="仿宋" w:hAnsi="仿宋" w:cs="仿宋" w:hint="default"/>
                <w:color w:val="auto"/>
              </w:rPr>
            </w:pPr>
            <w:commentRangeStart w:id="29"/>
            <w:r>
              <w:rPr>
                <w:rFonts w:ascii="仿宋" w:eastAsia="仿宋" w:hAnsi="仿宋" w:cs="仿宋"/>
                <w:color w:val="auto"/>
              </w:rPr>
              <w:t>0.5</w:t>
            </w:r>
            <w:commentRangeEnd w:id="29"/>
            <w:r>
              <w:rPr>
                <w:rFonts w:ascii="仿宋" w:eastAsia="仿宋" w:hAnsi="仿宋" w:cs="仿宋"/>
              </w:rPr>
              <w:commentReference w:id="29"/>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lastRenderedPageBreak/>
              <w:t>行政办公</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1.2</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博物馆、图书馆、展览馆</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1.5</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0.4</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医院</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1.2</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体育场</w:t>
            </w:r>
            <w:r>
              <w:rPr>
                <w:rFonts w:ascii="仿宋" w:eastAsia="仿宋" w:hAnsi="仿宋" w:cs="仿宋"/>
                <w:color w:val="auto"/>
              </w:rPr>
              <w:t>(</w:t>
            </w:r>
            <w:r>
              <w:rPr>
                <w:rFonts w:ascii="仿宋" w:eastAsia="仿宋" w:hAnsi="仿宋" w:cs="仿宋"/>
                <w:color w:val="auto"/>
              </w:rPr>
              <w:t>馆</w:t>
            </w:r>
            <w:r>
              <w:rPr>
                <w:rFonts w:ascii="仿宋" w:eastAsia="仿宋" w:hAnsi="仿宋" w:cs="仿宋"/>
                <w:color w:val="auto"/>
              </w:rPr>
              <w:t>)</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w:t>
            </w:r>
            <w:r>
              <w:rPr>
                <w:rFonts w:ascii="仿宋" w:eastAsia="仿宋" w:hAnsi="仿宋" w:cs="仿宋"/>
                <w:color w:val="auto"/>
              </w:rPr>
              <w:t>座位</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影剧院</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w:t>
            </w:r>
            <w:r>
              <w:rPr>
                <w:rFonts w:ascii="仿宋" w:eastAsia="仿宋" w:hAnsi="仿宋" w:cs="仿宋"/>
                <w:color w:val="auto"/>
              </w:rPr>
              <w:t>座位</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15</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w:t>
            </w:r>
          </w:p>
        </w:tc>
      </w:tr>
      <w:tr w:rsidR="00925AC4">
        <w:trPr>
          <w:trHeight w:val="454"/>
        </w:trPr>
        <w:tc>
          <w:tcPr>
            <w:tcW w:w="944"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学校</w:t>
            </w:r>
          </w:p>
        </w:tc>
        <w:tc>
          <w:tcPr>
            <w:tcW w:w="260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大专院校</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0.5</w:t>
            </w:r>
          </w:p>
        </w:tc>
      </w:tr>
      <w:tr w:rsidR="00925AC4">
        <w:trPr>
          <w:trHeight w:val="454"/>
        </w:trPr>
        <w:tc>
          <w:tcPr>
            <w:tcW w:w="944" w:type="dxa"/>
            <w:vMerge/>
            <w:tcBorders>
              <w:top w:val="nil"/>
              <w:bottom w:val="nil"/>
            </w:tcBorders>
            <w:vAlign w:val="center"/>
          </w:tcPr>
          <w:p w:rsidR="00925AC4" w:rsidRDefault="00925AC4">
            <w:pPr>
              <w:pStyle w:val="ab"/>
              <w:jc w:val="center"/>
              <w:rPr>
                <w:rFonts w:ascii="仿宋" w:eastAsia="仿宋" w:hAnsi="仿宋" w:cs="仿宋" w:hint="default"/>
                <w:color w:val="auto"/>
              </w:rPr>
            </w:pPr>
          </w:p>
        </w:tc>
        <w:tc>
          <w:tcPr>
            <w:tcW w:w="260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中学</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w:t>
            </w:r>
            <w:r>
              <w:rPr>
                <w:rFonts w:ascii="仿宋" w:eastAsia="仿宋" w:hAnsi="仿宋" w:cs="仿宋"/>
                <w:color w:val="auto"/>
              </w:rPr>
              <w:t>班级</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p>
        </w:tc>
      </w:tr>
      <w:tr w:rsidR="00925AC4">
        <w:trPr>
          <w:trHeight w:val="454"/>
        </w:trPr>
        <w:tc>
          <w:tcPr>
            <w:tcW w:w="944" w:type="dxa"/>
            <w:vMerge/>
            <w:tcBorders>
              <w:top w:val="nil"/>
              <w:bottom w:val="nil"/>
            </w:tcBorders>
            <w:vAlign w:val="center"/>
          </w:tcPr>
          <w:p w:rsidR="00925AC4" w:rsidRDefault="00925AC4">
            <w:pPr>
              <w:pStyle w:val="ab"/>
              <w:jc w:val="center"/>
              <w:rPr>
                <w:rFonts w:ascii="仿宋" w:eastAsia="仿宋" w:hAnsi="仿宋" w:cs="仿宋" w:hint="default"/>
                <w:color w:val="auto"/>
              </w:rPr>
            </w:pPr>
          </w:p>
        </w:tc>
        <w:tc>
          <w:tcPr>
            <w:tcW w:w="260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小学</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w:t>
            </w:r>
            <w:r>
              <w:rPr>
                <w:rFonts w:ascii="仿宋" w:eastAsia="仿宋" w:hAnsi="仿宋" w:cs="仿宋"/>
                <w:color w:val="auto"/>
              </w:rPr>
              <w:t>班级</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p>
        </w:tc>
      </w:tr>
      <w:tr w:rsidR="00925AC4">
        <w:trPr>
          <w:trHeight w:val="454"/>
        </w:trPr>
        <w:tc>
          <w:tcPr>
            <w:tcW w:w="944"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260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幼儿园</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w:t>
            </w:r>
            <w:r>
              <w:rPr>
                <w:rFonts w:ascii="仿宋" w:eastAsia="仿宋" w:hAnsi="仿宋" w:cs="仿宋"/>
                <w:color w:val="auto"/>
              </w:rPr>
              <w:t>名师生</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市场</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7"/>
              <w:ind w:firstLineChars="0" w:firstLine="0"/>
              <w:jc w:val="center"/>
              <w:rPr>
                <w:rFonts w:ascii="仿宋" w:eastAsia="仿宋" w:hAnsi="仿宋" w:cs="仿宋"/>
                <w:color w:val="auto"/>
                <w:szCs w:val="20"/>
              </w:rPr>
            </w:pPr>
            <w:r>
              <w:rPr>
                <w:rFonts w:ascii="仿宋" w:eastAsia="仿宋" w:hAnsi="仿宋" w:cs="仿宋" w:hint="eastAsia"/>
                <w:color w:val="auto"/>
                <w:szCs w:val="20"/>
              </w:rPr>
              <w:t>4</w:t>
            </w:r>
          </w:p>
        </w:tc>
        <w:tc>
          <w:tcPr>
            <w:tcW w:w="1214" w:type="dxa"/>
            <w:vAlign w:val="center"/>
          </w:tcPr>
          <w:p w:rsidR="00925AC4" w:rsidRDefault="00285E1E">
            <w:pPr>
              <w:pStyle w:val="a7"/>
              <w:ind w:firstLineChars="0" w:firstLine="0"/>
              <w:jc w:val="center"/>
              <w:rPr>
                <w:rFonts w:ascii="仿宋" w:eastAsia="仿宋" w:hAnsi="仿宋" w:cs="仿宋"/>
                <w:color w:val="auto"/>
                <w:szCs w:val="20"/>
              </w:rPr>
            </w:pPr>
            <w:r>
              <w:rPr>
                <w:rFonts w:ascii="仿宋" w:eastAsia="仿宋" w:hAnsi="仿宋" w:cs="仿宋" w:hint="eastAsia"/>
                <w:color w:val="auto"/>
                <w:szCs w:val="20"/>
              </w:rPr>
              <w:t>0.3</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商业中心</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7"/>
              <w:ind w:firstLineChars="0" w:firstLine="0"/>
              <w:jc w:val="center"/>
              <w:rPr>
                <w:rFonts w:ascii="仿宋" w:eastAsia="仿宋" w:hAnsi="仿宋" w:cs="仿宋"/>
                <w:color w:val="auto"/>
                <w:szCs w:val="20"/>
              </w:rPr>
            </w:pPr>
            <w:commentRangeStart w:id="30"/>
            <w:r>
              <w:rPr>
                <w:rFonts w:ascii="仿宋" w:eastAsia="仿宋" w:hAnsi="仿宋" w:cs="仿宋" w:hint="eastAsia"/>
                <w:color w:val="auto"/>
                <w:szCs w:val="20"/>
              </w:rPr>
              <w:t>4</w:t>
            </w:r>
          </w:p>
        </w:tc>
        <w:tc>
          <w:tcPr>
            <w:tcW w:w="1214" w:type="dxa"/>
            <w:vAlign w:val="center"/>
          </w:tcPr>
          <w:p w:rsidR="00925AC4" w:rsidRDefault="00285E1E">
            <w:pPr>
              <w:pStyle w:val="a7"/>
              <w:ind w:firstLineChars="0" w:firstLine="0"/>
              <w:jc w:val="center"/>
              <w:rPr>
                <w:rFonts w:ascii="仿宋" w:eastAsia="仿宋" w:hAnsi="仿宋" w:cs="仿宋"/>
                <w:color w:val="auto"/>
                <w:szCs w:val="20"/>
              </w:rPr>
            </w:pPr>
            <w:r>
              <w:rPr>
                <w:rFonts w:ascii="仿宋" w:eastAsia="仿宋" w:hAnsi="仿宋" w:cs="仿宋" w:hint="eastAsia"/>
                <w:color w:val="auto"/>
                <w:szCs w:val="20"/>
              </w:rPr>
              <w:t>0.4</w:t>
            </w:r>
            <w:commentRangeEnd w:id="30"/>
            <w:r>
              <w:rPr>
                <w:rFonts w:ascii="仿宋" w:eastAsia="仿宋" w:hAnsi="仿宋" w:cs="仿宋" w:hint="eastAsia"/>
              </w:rPr>
              <w:commentReference w:id="30"/>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工业品销售维修</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/100m</w:t>
            </w:r>
            <w:r>
              <w:rPr>
                <w:rFonts w:ascii="仿宋" w:eastAsia="仿宋" w:hAnsi="仿宋" w:cs="仿宋"/>
                <w:color w:val="auto"/>
              </w:rPr>
              <w:t>²建筑面积</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0.5</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城市公园</w:t>
            </w: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车位</w:t>
            </w:r>
            <w:r>
              <w:rPr>
                <w:rFonts w:ascii="仿宋" w:eastAsia="仿宋" w:hAnsi="仿宋" w:cs="仿宋"/>
                <w:color w:val="auto"/>
              </w:rPr>
              <w:t>/1hm</w:t>
            </w:r>
            <w:r>
              <w:rPr>
                <w:rFonts w:ascii="仿宋" w:eastAsia="仿宋" w:hAnsi="仿宋" w:cs="仿宋"/>
                <w:color w:val="auto"/>
              </w:rPr>
              <w:t>²占地面积</w:t>
            </w:r>
          </w:p>
        </w:tc>
        <w:tc>
          <w:tcPr>
            <w:tcW w:w="13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2.5</w:t>
            </w:r>
          </w:p>
        </w:tc>
        <w:tc>
          <w:tcPr>
            <w:tcW w:w="12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w:t>
            </w:r>
          </w:p>
        </w:tc>
      </w:tr>
      <w:tr w:rsidR="00925AC4">
        <w:trPr>
          <w:trHeight w:val="454"/>
        </w:trPr>
        <w:tc>
          <w:tcPr>
            <w:tcW w:w="355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交通枢纽及公用设施</w:t>
            </w:r>
          </w:p>
        </w:tc>
        <w:tc>
          <w:tcPr>
            <w:tcW w:w="5319"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结合方案合理性确定</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r>
        <w:rPr>
          <w:rFonts w:ascii="仿宋" w:eastAsia="仿宋" w:hAnsi="仿宋" w:cs="仿宋" w:hint="eastAsia"/>
          <w:color w:val="auto"/>
        </w:rPr>
        <w:t>表中机动车停车位以小型汽车为标准当量</w:t>
      </w:r>
      <w:r>
        <w:rPr>
          <w:rFonts w:ascii="仿宋" w:eastAsia="仿宋" w:hAnsi="仿宋" w:cs="仿宋" w:hint="eastAsia"/>
          <w:color w:val="auto"/>
        </w:rPr>
        <w:t>(</w:t>
      </w:r>
      <w:r>
        <w:rPr>
          <w:rFonts w:ascii="仿宋" w:eastAsia="仿宋" w:hAnsi="仿宋" w:cs="仿宋" w:hint="eastAsia"/>
          <w:color w:val="auto"/>
        </w:rPr>
        <w:t>微型汽车位不纳入计算</w:t>
      </w:r>
      <w:r>
        <w:rPr>
          <w:rFonts w:ascii="仿宋" w:eastAsia="仿宋" w:hAnsi="仿宋" w:cs="仿宋" w:hint="eastAsia"/>
          <w:color w:val="auto"/>
        </w:rPr>
        <w:t>),</w:t>
      </w:r>
      <w:r>
        <w:rPr>
          <w:rFonts w:ascii="仿宋" w:eastAsia="仿宋" w:hAnsi="仿宋" w:cs="仿宋" w:hint="eastAsia"/>
          <w:color w:val="auto"/>
        </w:rPr>
        <w:t>计算出停车位总数量不足</w:t>
      </w:r>
      <w:r>
        <w:rPr>
          <w:rFonts w:ascii="仿宋" w:eastAsia="仿宋" w:hAnsi="仿宋" w:cs="仿宋" w:hint="eastAsia"/>
          <w:color w:val="auto"/>
        </w:rPr>
        <w:t>1</w:t>
      </w:r>
      <w:r>
        <w:rPr>
          <w:rFonts w:ascii="仿宋" w:eastAsia="仿宋" w:hAnsi="仿宋" w:cs="仿宋" w:hint="eastAsia"/>
          <w:color w:val="auto"/>
        </w:rPr>
        <w:t>个的按</w:t>
      </w:r>
      <w:r>
        <w:rPr>
          <w:rFonts w:ascii="仿宋" w:eastAsia="仿宋" w:hAnsi="仿宋" w:cs="仿宋" w:hint="eastAsia"/>
          <w:color w:val="auto"/>
        </w:rPr>
        <w:t>1</w:t>
      </w:r>
      <w:r>
        <w:rPr>
          <w:rFonts w:ascii="仿宋" w:eastAsia="仿宋" w:hAnsi="仿宋" w:cs="仿宋" w:hint="eastAsia"/>
          <w:color w:val="auto"/>
        </w:rPr>
        <w:t>个计算；</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建设项目配建的半地下、地下机动车停车场单个车位的平均面积宜为</w:t>
      </w:r>
      <w:r>
        <w:rPr>
          <w:rFonts w:ascii="仿宋" w:eastAsia="仿宋" w:hAnsi="仿宋" w:cs="仿宋" w:hint="eastAsia"/>
          <w:color w:val="auto"/>
        </w:rPr>
        <w:t>35m</w:t>
      </w:r>
      <w:r>
        <w:rPr>
          <w:rFonts w:ascii="仿宋" w:eastAsia="仿宋" w:hAnsi="仿宋" w:cs="仿宋" w:hint="eastAsia"/>
          <w:color w:val="auto"/>
        </w:rPr>
        <w:t>²</w:t>
      </w:r>
      <w:r>
        <w:rPr>
          <w:rFonts w:ascii="仿宋" w:eastAsia="仿宋" w:hAnsi="仿宋" w:cs="仿宋" w:hint="eastAsia"/>
          <w:color w:val="auto"/>
        </w:rPr>
        <w:t>;</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新建住宅项目</w:t>
      </w:r>
      <w:r>
        <w:rPr>
          <w:rFonts w:ascii="仿宋" w:eastAsia="仿宋" w:hAnsi="仿宋" w:cs="仿宋" w:hint="eastAsia"/>
          <w:color w:val="auto"/>
        </w:rPr>
        <w:t>(</w:t>
      </w:r>
      <w:r>
        <w:rPr>
          <w:rFonts w:ascii="仿宋" w:eastAsia="仿宋" w:hAnsi="仿宋" w:cs="仿宋" w:hint="eastAsia"/>
          <w:color w:val="auto"/>
        </w:rPr>
        <w:t>不含集中建设的保障性住房项目</w:t>
      </w:r>
      <w:r>
        <w:rPr>
          <w:rFonts w:ascii="仿宋" w:eastAsia="仿宋" w:hAnsi="仿宋" w:cs="仿宋" w:hint="eastAsia"/>
          <w:color w:val="auto"/>
        </w:rPr>
        <w:t>)</w:t>
      </w:r>
      <w:r>
        <w:rPr>
          <w:rFonts w:ascii="仿宋" w:eastAsia="仿宋" w:hAnsi="仿宋" w:cs="仿宋" w:hint="eastAsia"/>
          <w:color w:val="auto"/>
        </w:rPr>
        <w:t>原则上不配建地面停车位和机械停车位；</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商业、住宅停车场位于同一地块内时应结合消防分区，分别设置停车泊位；</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子母车位应按一个车位计入车位数；</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在城市中心区以及学校、医院、商业综合体等人员密集场所周边等停车位需求较大的区域，应当单独规划和设置公共停车场</w:t>
      </w:r>
      <w:r>
        <w:rPr>
          <w:rFonts w:ascii="仿宋" w:eastAsia="仿宋" w:hAnsi="仿宋" w:cs="仿宋" w:hint="eastAsia"/>
          <w:color w:val="auto"/>
        </w:rPr>
        <w:t>(</w:t>
      </w:r>
      <w:r>
        <w:rPr>
          <w:rFonts w:ascii="仿宋" w:eastAsia="仿宋" w:hAnsi="仿宋" w:cs="仿宋" w:hint="eastAsia"/>
          <w:color w:val="auto"/>
        </w:rPr>
        <w:t>库</w:t>
      </w:r>
      <w:r>
        <w:rPr>
          <w:rFonts w:ascii="仿宋" w:eastAsia="仿宋" w:hAnsi="仿宋" w:cs="仿宋" w:hint="eastAsia"/>
          <w:color w:val="auto"/>
        </w:rPr>
        <w:t>),</w:t>
      </w:r>
      <w:r>
        <w:rPr>
          <w:rFonts w:ascii="仿宋" w:eastAsia="仿宋" w:hAnsi="仿宋" w:cs="仿宋" w:hint="eastAsia"/>
          <w:color w:val="auto"/>
        </w:rPr>
        <w:t>建设不低于停车位总数</w:t>
      </w:r>
      <w:r>
        <w:rPr>
          <w:rFonts w:ascii="仿宋" w:eastAsia="仿宋" w:hAnsi="仿宋" w:cs="仿宋" w:hint="eastAsia"/>
          <w:color w:val="auto"/>
        </w:rPr>
        <w:t>8%</w:t>
      </w:r>
      <w:r>
        <w:rPr>
          <w:rFonts w:ascii="仿宋" w:eastAsia="仿宋" w:hAnsi="仿宋" w:cs="仿宋" w:hint="eastAsia"/>
          <w:color w:val="auto"/>
        </w:rPr>
        <w:t>的专用充电桩停车位，住宅小区配建停车场应建设不低于停车位总数</w:t>
      </w:r>
      <w:r>
        <w:rPr>
          <w:rFonts w:ascii="仿宋" w:eastAsia="仿宋" w:hAnsi="仿宋" w:cs="仿宋" w:hint="eastAsia"/>
          <w:color w:val="auto"/>
        </w:rPr>
        <w:t>10%</w:t>
      </w:r>
      <w:r>
        <w:rPr>
          <w:rFonts w:ascii="仿宋" w:eastAsia="仿宋" w:hAnsi="仿宋" w:cs="仿宋" w:hint="eastAsia"/>
          <w:color w:val="auto"/>
        </w:rPr>
        <w:t>的专用充电桩停车位；</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非机动车停车位结合规划方案合理确定位置，其车位占地面积不小于</w:t>
      </w:r>
      <w:r>
        <w:rPr>
          <w:rFonts w:ascii="仿宋" w:eastAsia="仿宋" w:hAnsi="仿宋" w:cs="仿宋" w:hint="eastAsia"/>
          <w:color w:val="auto"/>
        </w:rPr>
        <w:t>1.2</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个。</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剧院、大中院校、中小学、酒店、博物馆、图书馆、展览馆、体育场</w:t>
      </w:r>
      <w:r>
        <w:rPr>
          <w:rFonts w:ascii="仿宋" w:eastAsia="仿宋" w:hAnsi="仿宋" w:cs="仿宋" w:hint="eastAsia"/>
          <w:color w:val="auto"/>
        </w:rPr>
        <w:t>(</w:t>
      </w:r>
      <w:r>
        <w:rPr>
          <w:rFonts w:ascii="仿宋" w:eastAsia="仿宋" w:hAnsi="仿宋" w:cs="仿宋" w:hint="eastAsia"/>
          <w:color w:val="auto"/>
        </w:rPr>
        <w:t>馆</w:t>
      </w:r>
      <w:r>
        <w:rPr>
          <w:rFonts w:ascii="仿宋" w:eastAsia="仿宋" w:hAnsi="仿宋" w:cs="仿宋" w:hint="eastAsia"/>
          <w:color w:val="auto"/>
        </w:rPr>
        <w:t>)</w:t>
      </w:r>
      <w:r>
        <w:rPr>
          <w:rFonts w:ascii="仿宋" w:eastAsia="仿宋" w:hAnsi="仿宋" w:cs="仿宋" w:hint="eastAsia"/>
          <w:color w:val="auto"/>
        </w:rPr>
        <w:t>等公共建筑，每配建</w:t>
      </w:r>
      <w:r>
        <w:rPr>
          <w:rFonts w:ascii="仿宋" w:eastAsia="仿宋" w:hAnsi="仿宋" w:cs="仿宋" w:hint="eastAsia"/>
          <w:color w:val="auto"/>
        </w:rPr>
        <w:t>50</w:t>
      </w:r>
      <w:r>
        <w:rPr>
          <w:rFonts w:ascii="仿宋" w:eastAsia="仿宋" w:hAnsi="仿宋" w:cs="仿宋" w:hint="eastAsia"/>
          <w:color w:val="auto"/>
        </w:rPr>
        <w:t>个停车位中应当配建不少于</w:t>
      </w:r>
      <w:r>
        <w:rPr>
          <w:rFonts w:ascii="仿宋" w:eastAsia="仿宋" w:hAnsi="仿宋" w:cs="仿宋" w:hint="eastAsia"/>
          <w:color w:val="auto"/>
        </w:rPr>
        <w:t>1</w:t>
      </w:r>
      <w:r>
        <w:rPr>
          <w:rFonts w:ascii="仿宋" w:eastAsia="仿宋" w:hAnsi="仿宋" w:cs="仿宋" w:hint="eastAsia"/>
          <w:color w:val="auto"/>
        </w:rPr>
        <w:t>个大型车停车位，且宜在主入口附近的自身用地范围内设置对外机动车临时停车场地和学生临时接送场</w:t>
      </w:r>
      <w:r>
        <w:rPr>
          <w:rFonts w:ascii="仿宋" w:eastAsia="仿宋" w:hAnsi="仿宋" w:cs="仿宋" w:hint="eastAsia"/>
          <w:color w:val="auto"/>
        </w:rPr>
        <w:t>地，设置供接送学生使用的停车位，其比例应不低于停车位总数的</w:t>
      </w:r>
      <w:r>
        <w:rPr>
          <w:rFonts w:ascii="仿宋" w:eastAsia="仿宋" w:hAnsi="仿宋" w:cs="仿宋" w:hint="eastAsia"/>
          <w:color w:val="auto"/>
        </w:rPr>
        <w:t>20%;</w:t>
      </w:r>
      <w:r>
        <w:rPr>
          <w:rFonts w:ascii="仿宋" w:eastAsia="仿宋" w:hAnsi="仿宋" w:cs="仿宋" w:hint="eastAsia"/>
          <w:color w:val="auto"/>
        </w:rPr>
        <w:t>中小学校、医院、幼儿园、影剧院的出入口附近，在不影响动态交通和路外停车场的正常经营的前提下，可利用城市次干道等级以下的路网系统合理增加路内停车位，作为路外停车位不足的补充。宜在用地范围内设置后退红线，预留路内临时候车道的宽度。</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建设项目每配建</w:t>
      </w:r>
      <w:r>
        <w:rPr>
          <w:rFonts w:ascii="仿宋" w:eastAsia="仿宋" w:hAnsi="仿宋" w:cs="仿宋" w:hint="eastAsia"/>
          <w:color w:val="auto"/>
        </w:rPr>
        <w:t>50</w:t>
      </w:r>
      <w:r>
        <w:rPr>
          <w:rFonts w:ascii="仿宋" w:eastAsia="仿宋" w:hAnsi="仿宋" w:cs="仿宋" w:hint="eastAsia"/>
          <w:color w:val="auto"/>
        </w:rPr>
        <w:t>个停车位中应当配建不少于</w:t>
      </w:r>
      <w:r>
        <w:rPr>
          <w:rFonts w:ascii="仿宋" w:eastAsia="仿宋" w:hAnsi="仿宋" w:cs="仿宋" w:hint="eastAsia"/>
          <w:color w:val="auto"/>
        </w:rPr>
        <w:t>1</w:t>
      </w:r>
      <w:r>
        <w:rPr>
          <w:rFonts w:ascii="仿宋" w:eastAsia="仿宋" w:hAnsi="仿宋" w:cs="仿宋" w:hint="eastAsia"/>
          <w:color w:val="auto"/>
        </w:rPr>
        <w:t>个无障碍停车位；</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lastRenderedPageBreak/>
        <w:t>客运站、火车站、公交枢纽站、机场、医院、文娱中心等地区应设置一定数量的出租车候客专用停车位；</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沿江、河流等自然水体地势相对较低的建设项目，经国土空间规划委员</w:t>
      </w:r>
      <w:r>
        <w:rPr>
          <w:rFonts w:ascii="仿宋" w:eastAsia="仿宋" w:hAnsi="仿宋" w:cs="仿宋" w:hint="eastAsia"/>
          <w:color w:val="auto"/>
        </w:rPr>
        <w:t>会批准，地下车位配建标准可酌情降低。</w:t>
      </w:r>
    </w:p>
    <w:p w:rsidR="00925AC4" w:rsidRDefault="00285E1E">
      <w:pPr>
        <w:pStyle w:val="ac"/>
        <w:numPr>
          <w:ilvl w:val="0"/>
          <w:numId w:val="12"/>
        </w:numPr>
        <w:ind w:firstLineChars="0" w:firstLine="560"/>
        <w:rPr>
          <w:rFonts w:ascii="仿宋" w:eastAsia="仿宋" w:hAnsi="仿宋" w:cs="仿宋"/>
          <w:color w:val="auto"/>
        </w:rPr>
      </w:pPr>
      <w:r>
        <w:rPr>
          <w:rFonts w:ascii="仿宋" w:eastAsia="仿宋" w:hAnsi="仿宋" w:cs="仿宋" w:hint="eastAsia"/>
          <w:color w:val="auto"/>
        </w:rPr>
        <w:t>本规定未涉及类别停车</w:t>
      </w:r>
      <w:r>
        <w:rPr>
          <w:rFonts w:ascii="仿宋" w:eastAsia="仿宋" w:hAnsi="仿宋" w:cs="仿宋" w:hint="eastAsia"/>
          <w:color w:val="auto"/>
        </w:rPr>
        <w:t>位设置的参照国家相关规范执行。</w:t>
      </w:r>
    </w:p>
    <w:p w:rsidR="00925AC4" w:rsidRDefault="00925AC4">
      <w:pPr>
        <w:pStyle w:val="ac"/>
        <w:ind w:left="620" w:firstLineChars="0" w:firstLine="0"/>
        <w:rPr>
          <w:rFonts w:ascii="仿宋" w:eastAsia="仿宋" w:hAnsi="仿宋" w:cs="仿宋"/>
          <w:color w:val="auto"/>
        </w:rPr>
      </w:pP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b/>
          <w:bCs/>
          <w:color w:val="auto"/>
        </w:rPr>
        <w:t>停车场（库）充电车位配比标准</w:t>
      </w:r>
      <w:r>
        <w:commentReference w:id="31"/>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充电设备在各类建筑物停车场（库）的配置数量应按表</w:t>
      </w:r>
      <w:r>
        <w:rPr>
          <w:rFonts w:ascii="仿宋" w:eastAsia="仿宋" w:hAnsi="仿宋" w:cs="仿宋" w:hint="eastAsia"/>
          <w:color w:val="auto"/>
        </w:rPr>
        <w:t>2.3.12</w:t>
      </w:r>
      <w:r>
        <w:rPr>
          <w:rFonts w:ascii="仿宋" w:eastAsia="仿宋" w:hAnsi="仿宋" w:cs="仿宋" w:hint="eastAsia"/>
          <w:color w:val="auto"/>
        </w:rPr>
        <w:t>的规定执行：</w:t>
      </w:r>
    </w:p>
    <w:p w:rsidR="00925AC4" w:rsidRDefault="00285E1E">
      <w:pPr>
        <w:ind w:firstLineChars="0" w:firstLine="0"/>
        <w:jc w:val="center"/>
        <w:rPr>
          <w:rFonts w:ascii="仿宋" w:eastAsia="仿宋" w:hAnsi="仿宋" w:cs="仿宋"/>
          <w:color w:val="auto"/>
        </w:rPr>
      </w:pPr>
      <w:r>
        <w:rPr>
          <w:rFonts w:ascii="仿宋" w:eastAsia="仿宋" w:hAnsi="仿宋" w:cs="仿宋" w:hint="eastAsia"/>
          <w:color w:val="auto"/>
          <w:sz w:val="24"/>
          <w:szCs w:val="24"/>
        </w:rPr>
        <w:t>表</w:t>
      </w:r>
      <w:r>
        <w:rPr>
          <w:rFonts w:ascii="仿宋" w:eastAsia="仿宋" w:hAnsi="仿宋" w:cs="仿宋" w:hint="eastAsia"/>
          <w:color w:val="auto"/>
          <w:sz w:val="24"/>
          <w:szCs w:val="24"/>
        </w:rPr>
        <w:t>2.3.</w:t>
      </w:r>
      <w:r>
        <w:rPr>
          <w:rFonts w:ascii="仿宋" w:eastAsia="仿宋" w:hAnsi="仿宋" w:cs="仿宋" w:hint="eastAsia"/>
          <w:color w:val="auto"/>
          <w:sz w:val="24"/>
          <w:szCs w:val="24"/>
        </w:rPr>
        <w:t xml:space="preserve">12 </w:t>
      </w:r>
      <w:r>
        <w:rPr>
          <w:rFonts w:ascii="仿宋" w:eastAsia="仿宋" w:hAnsi="仿宋" w:cs="仿宋" w:hint="eastAsia"/>
          <w:color w:val="auto"/>
          <w:sz w:val="24"/>
          <w:szCs w:val="24"/>
        </w:rPr>
        <w:t>电动汽车充电车位配比</w:t>
      </w:r>
    </w:p>
    <w:tbl>
      <w:tblPr>
        <w:tblStyle w:val="TableNormal"/>
        <w:tblW w:w="493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87"/>
        <w:gridCol w:w="2205"/>
        <w:gridCol w:w="2149"/>
      </w:tblGrid>
      <w:tr w:rsidR="00925AC4">
        <w:trPr>
          <w:trHeight w:val="454"/>
        </w:trPr>
        <w:tc>
          <w:tcPr>
            <w:tcW w:w="448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建筑类型</w:t>
            </w:r>
          </w:p>
        </w:tc>
        <w:tc>
          <w:tcPr>
            <w:tcW w:w="220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配置充电车位配比</w:t>
            </w:r>
          </w:p>
        </w:tc>
        <w:tc>
          <w:tcPr>
            <w:tcW w:w="214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预留充电车位配比</w:t>
            </w:r>
          </w:p>
        </w:tc>
      </w:tr>
      <w:tr w:rsidR="00925AC4">
        <w:trPr>
          <w:trHeight w:val="454"/>
        </w:trPr>
        <w:tc>
          <w:tcPr>
            <w:tcW w:w="4481" w:type="dxa"/>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t>新建建筑的配建停车场（库）</w:t>
            </w:r>
          </w:p>
        </w:tc>
        <w:tc>
          <w:tcPr>
            <w:tcW w:w="220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10%</w:t>
            </w:r>
          </w:p>
        </w:tc>
        <w:tc>
          <w:tcPr>
            <w:tcW w:w="214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10%</w:t>
            </w:r>
          </w:p>
        </w:tc>
      </w:tr>
      <w:tr w:rsidR="00925AC4">
        <w:trPr>
          <w:trHeight w:val="454"/>
        </w:trPr>
        <w:tc>
          <w:tcPr>
            <w:tcW w:w="4481" w:type="dxa"/>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t>改建、扩建建筑物的配建停车场（库）</w:t>
            </w:r>
          </w:p>
        </w:tc>
        <w:tc>
          <w:tcPr>
            <w:tcW w:w="220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5%</w:t>
            </w:r>
          </w:p>
        </w:tc>
        <w:tc>
          <w:tcPr>
            <w:tcW w:w="214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10%</w:t>
            </w:r>
          </w:p>
        </w:tc>
      </w:tr>
      <w:tr w:rsidR="00925AC4">
        <w:trPr>
          <w:trHeight w:val="454"/>
        </w:trPr>
        <w:tc>
          <w:tcPr>
            <w:tcW w:w="4481" w:type="dxa"/>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t>政府办公楼停车场（库）</w:t>
            </w:r>
          </w:p>
        </w:tc>
        <w:tc>
          <w:tcPr>
            <w:tcW w:w="220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20%</w:t>
            </w:r>
          </w:p>
        </w:tc>
        <w:tc>
          <w:tcPr>
            <w:tcW w:w="214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10%</w:t>
            </w:r>
          </w:p>
        </w:tc>
      </w:tr>
      <w:tr w:rsidR="00925AC4">
        <w:trPr>
          <w:trHeight w:val="454"/>
        </w:trPr>
        <w:tc>
          <w:tcPr>
            <w:tcW w:w="4481" w:type="dxa"/>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t>医院、学校等公共事业单位停车场（库）</w:t>
            </w:r>
          </w:p>
        </w:tc>
        <w:tc>
          <w:tcPr>
            <w:tcW w:w="220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10%</w:t>
            </w:r>
          </w:p>
        </w:tc>
        <w:tc>
          <w:tcPr>
            <w:tcW w:w="214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10%</w:t>
            </w:r>
          </w:p>
        </w:tc>
      </w:tr>
      <w:tr w:rsidR="00925AC4">
        <w:trPr>
          <w:trHeight w:val="454"/>
        </w:trPr>
        <w:tc>
          <w:tcPr>
            <w:tcW w:w="4481" w:type="dxa"/>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t>新建住宅配建停车场（库）</w:t>
            </w:r>
          </w:p>
        </w:tc>
        <w:tc>
          <w:tcPr>
            <w:tcW w:w="4350"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100%</w:t>
            </w:r>
            <w:r>
              <w:rPr>
                <w:rFonts w:ascii="仿宋" w:eastAsia="仿宋" w:hAnsi="仿宋" w:cs="仿宋"/>
                <w:color w:val="auto"/>
              </w:rPr>
              <w:t>建设充电设施或预留建设安装条件</w:t>
            </w:r>
          </w:p>
        </w:tc>
      </w:tr>
      <w:tr w:rsidR="00925AC4">
        <w:trPr>
          <w:trHeight w:val="454"/>
        </w:trPr>
        <w:tc>
          <w:tcPr>
            <w:tcW w:w="4481" w:type="dxa"/>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t>大型公共建筑配建停车场（库）</w:t>
            </w:r>
          </w:p>
        </w:tc>
        <w:tc>
          <w:tcPr>
            <w:tcW w:w="4350"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不低于</w:t>
            </w:r>
            <w:r>
              <w:rPr>
                <w:rFonts w:ascii="仿宋" w:eastAsia="仿宋" w:hAnsi="仿宋" w:cs="仿宋"/>
                <w:color w:val="auto"/>
              </w:rPr>
              <w:t>10%</w:t>
            </w:r>
            <w:r>
              <w:rPr>
                <w:rFonts w:ascii="仿宋" w:eastAsia="仿宋" w:hAnsi="仿宋" w:cs="仿宋"/>
                <w:color w:val="auto"/>
              </w:rPr>
              <w:t>的车位建设充电设施或预留建设安装条件</w:t>
            </w:r>
          </w:p>
        </w:tc>
      </w:tr>
    </w:tbl>
    <w:p w:rsidR="00925AC4" w:rsidRDefault="00925AC4" w:rsidP="008E7712">
      <w:pPr>
        <w:ind w:firstLine="560"/>
        <w:rPr>
          <w:rFonts w:ascii="仿宋" w:eastAsia="仿宋" w:hAnsi="仿宋" w:cs="仿宋"/>
          <w:color w:val="auto"/>
        </w:rPr>
      </w:pPr>
    </w:p>
    <w:p w:rsidR="00925AC4" w:rsidRDefault="00285E1E" w:rsidP="008E7712">
      <w:pPr>
        <w:numPr>
          <w:ilvl w:val="0"/>
          <w:numId w:val="6"/>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b/>
          <w:bCs/>
          <w:color w:val="auto"/>
        </w:rPr>
        <w:t>公共空间规划管理</w:t>
      </w:r>
    </w:p>
    <w:p w:rsidR="00925AC4" w:rsidRDefault="00285E1E">
      <w:pPr>
        <w:numPr>
          <w:ilvl w:val="0"/>
          <w:numId w:val="13"/>
        </w:numPr>
        <w:ind w:firstLineChars="0" w:firstLine="562"/>
        <w:rPr>
          <w:rFonts w:ascii="仿宋" w:eastAsia="仿宋" w:hAnsi="仿宋" w:cs="仿宋"/>
          <w:b/>
          <w:bCs/>
          <w:color w:val="auto"/>
        </w:rPr>
      </w:pPr>
      <w:r>
        <w:rPr>
          <w:rFonts w:ascii="仿宋" w:eastAsia="仿宋" w:hAnsi="仿宋" w:cs="仿宋" w:hint="eastAsia"/>
          <w:b/>
          <w:bCs/>
          <w:color w:val="auto"/>
        </w:rPr>
        <w:t>公共空间控制</w:t>
      </w:r>
    </w:p>
    <w:p w:rsidR="00925AC4" w:rsidRDefault="00285E1E">
      <w:pPr>
        <w:numPr>
          <w:ilvl w:val="0"/>
          <w:numId w:val="14"/>
        </w:numPr>
        <w:ind w:firstLine="560"/>
        <w:rPr>
          <w:rFonts w:ascii="仿宋" w:eastAsia="仿宋" w:hAnsi="仿宋" w:cs="仿宋"/>
          <w:color w:val="auto"/>
        </w:rPr>
      </w:pPr>
      <w:r>
        <w:rPr>
          <w:rFonts w:ascii="仿宋" w:eastAsia="仿宋" w:hAnsi="仿宋" w:cs="仿宋" w:hint="eastAsia"/>
          <w:color w:val="auto"/>
        </w:rPr>
        <w:t>风景名胜区、城市重要水体及规划确定的用地面积大于</w:t>
      </w:r>
      <w:r>
        <w:rPr>
          <w:rFonts w:ascii="仿宋" w:eastAsia="仿宋" w:hAnsi="仿宋" w:cs="仿宋" w:hint="eastAsia"/>
          <w:color w:val="auto"/>
        </w:rPr>
        <w:t>2</w:t>
      </w:r>
      <w:r>
        <w:rPr>
          <w:rFonts w:ascii="仿宋" w:eastAsia="仿宋" w:hAnsi="仿宋" w:cs="仿宋" w:hint="eastAsia"/>
          <w:color w:val="auto"/>
        </w:rPr>
        <w:t>万平方米的公园绿地或者广场等公共空间周边的建筑布局、建筑风貌、建筑高度、天际轮廓线等内容，应当专题论证；</w:t>
      </w:r>
      <w:r>
        <w:rPr>
          <w:rFonts w:ascii="仿宋" w:eastAsia="仿宋" w:hAnsi="仿宋" w:cs="仿宋" w:hint="eastAsia"/>
          <w:color w:val="auto"/>
        </w:rPr>
        <w:t>提交规委会审议。</w:t>
      </w:r>
    </w:p>
    <w:p w:rsidR="00925AC4" w:rsidRDefault="00285E1E">
      <w:pPr>
        <w:numPr>
          <w:ilvl w:val="0"/>
          <w:numId w:val="14"/>
        </w:numPr>
        <w:ind w:firstLine="560"/>
        <w:rPr>
          <w:rFonts w:ascii="仿宋" w:eastAsia="仿宋" w:hAnsi="仿宋" w:cs="仿宋"/>
          <w:color w:val="auto"/>
        </w:rPr>
      </w:pPr>
      <w:r>
        <w:rPr>
          <w:rFonts w:ascii="仿宋" w:eastAsia="仿宋" w:hAnsi="仿宋" w:cs="仿宋" w:hint="eastAsia"/>
          <w:color w:val="auto"/>
        </w:rPr>
        <w:t>城市公共空间应当与城市道路合理连接；</w:t>
      </w:r>
    </w:p>
    <w:p w:rsidR="00925AC4" w:rsidRDefault="00285E1E">
      <w:pPr>
        <w:numPr>
          <w:ilvl w:val="0"/>
          <w:numId w:val="14"/>
        </w:numPr>
        <w:ind w:firstLine="560"/>
        <w:rPr>
          <w:rFonts w:ascii="仿宋" w:eastAsia="仿宋" w:hAnsi="仿宋" w:cs="仿宋"/>
          <w:color w:val="auto"/>
        </w:rPr>
      </w:pPr>
      <w:r>
        <w:rPr>
          <w:rFonts w:ascii="仿宋" w:eastAsia="仿宋" w:hAnsi="仿宋" w:cs="仿宋" w:hint="eastAsia"/>
          <w:color w:val="auto"/>
        </w:rPr>
        <w:t>商业用地</w:t>
      </w:r>
      <w:r>
        <w:rPr>
          <w:rFonts w:ascii="仿宋" w:eastAsia="仿宋" w:hAnsi="仿宋" w:cs="仿宋" w:hint="eastAsia"/>
          <w:color w:val="auto"/>
        </w:rPr>
        <w:t>(0901)</w:t>
      </w:r>
      <w:r>
        <w:rPr>
          <w:rFonts w:ascii="仿宋" w:eastAsia="仿宋" w:hAnsi="仿宋" w:cs="仿宋" w:hint="eastAsia"/>
          <w:color w:val="auto"/>
        </w:rPr>
        <w:t>、商务金融用地</w:t>
      </w:r>
      <w:r>
        <w:rPr>
          <w:rFonts w:ascii="仿宋" w:eastAsia="仿宋" w:hAnsi="仿宋" w:cs="仿宋" w:hint="eastAsia"/>
          <w:color w:val="auto"/>
        </w:rPr>
        <w:t>(0902)</w:t>
      </w:r>
      <w:r>
        <w:rPr>
          <w:rFonts w:ascii="仿宋" w:eastAsia="仿宋" w:hAnsi="仿宋" w:cs="仿宋" w:hint="eastAsia"/>
          <w:color w:val="auto"/>
        </w:rPr>
        <w:t>相对集中成片布局的，应同步规划建设广场、集中绿地等城市公共空间。在片区绿地面积总体符合要求的原则下，其商业用地、商务金融用地的绿地率指标可根据项目功能和空间组织的合理性确定。</w:t>
      </w:r>
    </w:p>
    <w:p w:rsidR="00925AC4" w:rsidRDefault="00285E1E">
      <w:pPr>
        <w:numPr>
          <w:ilvl w:val="0"/>
          <w:numId w:val="13"/>
        </w:numPr>
        <w:ind w:firstLineChars="0" w:firstLine="562"/>
        <w:rPr>
          <w:rFonts w:ascii="仿宋" w:eastAsia="仿宋" w:hAnsi="仿宋" w:cs="仿宋"/>
          <w:b/>
          <w:bCs/>
          <w:color w:val="auto"/>
        </w:rPr>
      </w:pPr>
      <w:r>
        <w:rPr>
          <w:rFonts w:ascii="仿宋" w:eastAsia="仿宋" w:hAnsi="仿宋" w:cs="仿宋" w:hint="eastAsia"/>
          <w:b/>
          <w:bCs/>
          <w:color w:val="auto"/>
        </w:rPr>
        <w:lastRenderedPageBreak/>
        <w:t>城市广场与绿地</w:t>
      </w:r>
    </w:p>
    <w:p w:rsidR="00925AC4" w:rsidRDefault="00285E1E">
      <w:pPr>
        <w:numPr>
          <w:ilvl w:val="0"/>
          <w:numId w:val="15"/>
        </w:numPr>
        <w:ind w:firstLine="560"/>
        <w:rPr>
          <w:rFonts w:ascii="仿宋" w:eastAsia="仿宋" w:hAnsi="仿宋" w:cs="仿宋"/>
          <w:color w:val="auto"/>
        </w:rPr>
      </w:pPr>
      <w:r>
        <w:rPr>
          <w:rFonts w:ascii="仿宋" w:eastAsia="仿宋" w:hAnsi="仿宋" w:cs="仿宋" w:hint="eastAsia"/>
          <w:color w:val="auto"/>
        </w:rPr>
        <w:t>城市广场</w:t>
      </w:r>
      <w:r>
        <w:rPr>
          <w:rFonts w:ascii="仿宋" w:eastAsia="仿宋" w:hAnsi="仿宋" w:cs="仿宋" w:hint="eastAsia"/>
          <w:color w:val="auto"/>
        </w:rPr>
        <w:t>和</w:t>
      </w:r>
      <w:r>
        <w:rPr>
          <w:rFonts w:ascii="仿宋" w:eastAsia="仿宋" w:hAnsi="仿宋" w:cs="仿宋" w:hint="eastAsia"/>
          <w:color w:val="auto"/>
        </w:rPr>
        <w:t>绿地应当统筹规划、集中布局，保证空间的开敞性，满足服务半径要求；</w:t>
      </w:r>
    </w:p>
    <w:p w:rsidR="00925AC4" w:rsidRDefault="00285E1E">
      <w:pPr>
        <w:numPr>
          <w:ilvl w:val="0"/>
          <w:numId w:val="15"/>
        </w:numPr>
        <w:ind w:firstLine="560"/>
        <w:rPr>
          <w:rFonts w:ascii="仿宋" w:eastAsia="仿宋" w:hAnsi="仿宋" w:cs="仿宋"/>
          <w:color w:val="auto"/>
        </w:rPr>
      </w:pPr>
      <w:r>
        <w:rPr>
          <w:rFonts w:ascii="仿宋" w:eastAsia="仿宋" w:hAnsi="仿宋" w:cs="仿宋" w:hint="eastAsia"/>
          <w:color w:val="auto"/>
        </w:rPr>
        <w:t>广场</w:t>
      </w:r>
      <w:r>
        <w:rPr>
          <w:rFonts w:ascii="仿宋" w:eastAsia="仿宋" w:hAnsi="仿宋" w:cs="仿宋" w:hint="eastAsia"/>
          <w:color w:val="auto"/>
        </w:rPr>
        <w:t>和</w:t>
      </w:r>
      <w:r>
        <w:rPr>
          <w:rFonts w:ascii="仿宋" w:eastAsia="仿宋" w:hAnsi="仿宋" w:cs="仿宋" w:hint="eastAsia"/>
          <w:color w:val="auto"/>
        </w:rPr>
        <w:t>绿地沿城市道路部分的场地标高应当与道路自然衔接；</w:t>
      </w:r>
    </w:p>
    <w:p w:rsidR="00925AC4" w:rsidRDefault="00285E1E">
      <w:pPr>
        <w:numPr>
          <w:ilvl w:val="0"/>
          <w:numId w:val="15"/>
        </w:numPr>
        <w:ind w:firstLine="560"/>
        <w:rPr>
          <w:rFonts w:ascii="仿宋" w:eastAsia="仿宋" w:hAnsi="仿宋" w:cs="仿宋"/>
          <w:color w:val="auto"/>
        </w:rPr>
      </w:pPr>
      <w:r>
        <w:rPr>
          <w:rFonts w:ascii="仿宋" w:eastAsia="仿宋" w:hAnsi="仿宋" w:cs="仿宋" w:hint="eastAsia"/>
          <w:color w:val="auto"/>
        </w:rPr>
        <w:t>在公园绿地内进行建设的应当满足以下控制要求，并作景观化处理：</w:t>
      </w:r>
    </w:p>
    <w:p w:rsidR="00925AC4" w:rsidRDefault="00285E1E">
      <w:pPr>
        <w:numPr>
          <w:ilvl w:val="0"/>
          <w:numId w:val="16"/>
        </w:numPr>
        <w:ind w:firstLine="560"/>
        <w:rPr>
          <w:rFonts w:ascii="仿宋" w:eastAsia="仿宋" w:hAnsi="仿宋" w:cs="仿宋"/>
          <w:color w:val="auto"/>
        </w:rPr>
      </w:pPr>
      <w:r>
        <w:rPr>
          <w:rFonts w:ascii="仿宋" w:eastAsia="仿宋" w:hAnsi="仿宋" w:cs="仿宋" w:hint="eastAsia"/>
          <w:color w:val="auto"/>
        </w:rPr>
        <w:t>公园绿地配套建筑的设计应当符合《公园设计规范》</w:t>
      </w:r>
      <w:r>
        <w:rPr>
          <w:rFonts w:ascii="仿宋" w:eastAsia="仿宋" w:hAnsi="仿宋" w:cs="仿宋" w:hint="eastAsia"/>
          <w:color w:val="auto"/>
        </w:rPr>
        <w:t>；</w:t>
      </w:r>
    </w:p>
    <w:p w:rsidR="00925AC4" w:rsidRDefault="00285E1E">
      <w:pPr>
        <w:numPr>
          <w:ilvl w:val="0"/>
          <w:numId w:val="16"/>
        </w:numPr>
        <w:ind w:firstLine="560"/>
        <w:rPr>
          <w:rFonts w:ascii="仿宋" w:eastAsia="仿宋" w:hAnsi="仿宋" w:cs="仿宋"/>
          <w:color w:val="auto"/>
        </w:rPr>
      </w:pPr>
      <w:r>
        <w:rPr>
          <w:rFonts w:ascii="仿宋" w:eastAsia="仿宋" w:hAnsi="仿宋" w:cs="仿宋" w:hint="eastAsia"/>
          <w:color w:val="auto"/>
        </w:rPr>
        <w:t>用地面积小于</w:t>
      </w:r>
      <w:r>
        <w:rPr>
          <w:rFonts w:ascii="仿宋" w:eastAsia="仿宋" w:hAnsi="仿宋" w:cs="仿宋" w:hint="eastAsia"/>
          <w:color w:val="auto"/>
        </w:rPr>
        <w:t>2</w:t>
      </w:r>
      <w:r>
        <w:rPr>
          <w:rFonts w:ascii="仿宋" w:eastAsia="仿宋" w:hAnsi="仿宋" w:cs="仿宋" w:hint="eastAsia"/>
          <w:color w:val="auto"/>
        </w:rPr>
        <w:t>万平方米的公园绿</w:t>
      </w:r>
      <w:r>
        <w:rPr>
          <w:rFonts w:ascii="仿宋" w:eastAsia="仿宋" w:hAnsi="仿宋" w:cs="仿宋" w:hint="eastAsia"/>
          <w:color w:val="auto"/>
        </w:rPr>
        <w:t>地内可配建面积不小于</w:t>
      </w:r>
      <w:r>
        <w:rPr>
          <w:rFonts w:ascii="仿宋" w:eastAsia="仿宋" w:hAnsi="仿宋" w:cs="仿宋" w:hint="eastAsia"/>
          <w:color w:val="auto"/>
        </w:rPr>
        <w:t>60</w:t>
      </w:r>
      <w:r>
        <w:rPr>
          <w:rFonts w:ascii="仿宋" w:eastAsia="仿宋" w:hAnsi="仿宋" w:cs="仿宋" w:hint="eastAsia"/>
          <w:color w:val="auto"/>
        </w:rPr>
        <w:t>平方米的公厕，但不宜配建管理设施；</w:t>
      </w:r>
    </w:p>
    <w:p w:rsidR="00925AC4" w:rsidRDefault="00285E1E">
      <w:pPr>
        <w:numPr>
          <w:ilvl w:val="0"/>
          <w:numId w:val="16"/>
        </w:numPr>
        <w:ind w:firstLine="560"/>
        <w:rPr>
          <w:rFonts w:ascii="仿宋" w:eastAsia="仿宋" w:hAnsi="仿宋" w:cs="仿宋"/>
          <w:color w:val="auto"/>
        </w:rPr>
      </w:pPr>
      <w:r>
        <w:rPr>
          <w:rFonts w:ascii="仿宋" w:eastAsia="仿宋" w:hAnsi="仿宋" w:cs="仿宋" w:hint="eastAsia"/>
          <w:color w:val="auto"/>
        </w:rPr>
        <w:t>用地面积在</w:t>
      </w:r>
      <w:r>
        <w:rPr>
          <w:rFonts w:ascii="仿宋" w:eastAsia="仿宋" w:hAnsi="仿宋" w:cs="仿宋" w:hint="eastAsia"/>
          <w:color w:val="auto"/>
        </w:rPr>
        <w:t>2</w:t>
      </w:r>
      <w:r>
        <w:rPr>
          <w:rFonts w:ascii="仿宋" w:eastAsia="仿宋" w:hAnsi="仿宋" w:cs="仿宋" w:hint="eastAsia"/>
          <w:color w:val="auto"/>
        </w:rPr>
        <w:t>万平方米及以上的公园绿地内配建总建筑密度不大于</w:t>
      </w:r>
      <w:r>
        <w:rPr>
          <w:rFonts w:ascii="仿宋" w:eastAsia="仿宋" w:hAnsi="仿宋" w:cs="仿宋" w:hint="eastAsia"/>
          <w:color w:val="auto"/>
        </w:rPr>
        <w:t>3%</w:t>
      </w:r>
      <w:r>
        <w:rPr>
          <w:rFonts w:ascii="仿宋" w:eastAsia="仿宋" w:hAnsi="仿宋" w:cs="仿宋" w:hint="eastAsia"/>
          <w:color w:val="auto"/>
        </w:rPr>
        <w:t>的游憩设施、配套服务设施，配套设施可为图书馆、博物馆、展览馆等政府持有的公共服务设施；</w:t>
      </w:r>
    </w:p>
    <w:p w:rsidR="00925AC4" w:rsidRDefault="00285E1E">
      <w:pPr>
        <w:numPr>
          <w:ilvl w:val="0"/>
          <w:numId w:val="16"/>
        </w:numPr>
        <w:ind w:firstLine="560"/>
        <w:rPr>
          <w:rFonts w:ascii="仿宋" w:eastAsia="仿宋" w:hAnsi="仿宋" w:cs="仿宋"/>
          <w:color w:val="auto"/>
        </w:rPr>
      </w:pPr>
      <w:r>
        <w:rPr>
          <w:rFonts w:ascii="仿宋" w:eastAsia="仿宋" w:hAnsi="仿宋" w:cs="仿宋" w:hint="eastAsia"/>
          <w:color w:val="auto"/>
        </w:rPr>
        <w:t>公园绿地配套建筑计算高度原则上不得大于</w:t>
      </w:r>
      <w:r>
        <w:rPr>
          <w:rFonts w:ascii="仿宋" w:eastAsia="仿宋" w:hAnsi="仿宋" w:cs="仿宋" w:hint="eastAsia"/>
          <w:color w:val="auto"/>
        </w:rPr>
        <w:t>7.2</w:t>
      </w:r>
      <w:r>
        <w:rPr>
          <w:rFonts w:ascii="仿宋" w:eastAsia="仿宋" w:hAnsi="仿宋" w:cs="仿宋" w:hint="eastAsia"/>
          <w:color w:val="auto"/>
        </w:rPr>
        <w:t>米；</w:t>
      </w:r>
    </w:p>
    <w:p w:rsidR="00925AC4" w:rsidRDefault="00285E1E">
      <w:pPr>
        <w:numPr>
          <w:ilvl w:val="0"/>
          <w:numId w:val="16"/>
        </w:numPr>
        <w:ind w:firstLine="560"/>
        <w:rPr>
          <w:rFonts w:ascii="仿宋" w:eastAsia="仿宋" w:hAnsi="仿宋" w:cs="仿宋"/>
          <w:color w:val="auto"/>
        </w:rPr>
      </w:pPr>
      <w:r>
        <w:rPr>
          <w:rFonts w:ascii="仿宋" w:eastAsia="仿宋" w:hAnsi="仿宋" w:cs="仿宋" w:hint="eastAsia"/>
          <w:color w:val="auto"/>
        </w:rPr>
        <w:t>公园绿地配套建筑不宜临城市道路布局，且宜采用覆土形式。</w:t>
      </w:r>
    </w:p>
    <w:p w:rsidR="00925AC4" w:rsidRDefault="00285E1E">
      <w:pPr>
        <w:numPr>
          <w:ilvl w:val="0"/>
          <w:numId w:val="15"/>
        </w:numPr>
        <w:ind w:firstLine="560"/>
        <w:rPr>
          <w:rFonts w:ascii="仿宋" w:eastAsia="仿宋" w:hAnsi="仿宋" w:cs="仿宋"/>
          <w:color w:val="auto"/>
        </w:rPr>
      </w:pPr>
      <w:r>
        <w:rPr>
          <w:rFonts w:ascii="仿宋" w:eastAsia="仿宋" w:hAnsi="仿宋" w:cs="仿宋" w:hint="eastAsia"/>
          <w:color w:val="auto"/>
        </w:rPr>
        <w:t>动物园、植物园、盆景园、体育运动等专类公园，因使用功能需要，其配套建筑占地面积及建筑高度可以经专题论证确定；</w:t>
      </w:r>
    </w:p>
    <w:p w:rsidR="00925AC4" w:rsidRDefault="00285E1E">
      <w:pPr>
        <w:numPr>
          <w:ilvl w:val="0"/>
          <w:numId w:val="15"/>
        </w:numPr>
        <w:ind w:firstLine="560"/>
        <w:rPr>
          <w:rFonts w:ascii="仿宋" w:eastAsia="仿宋" w:hAnsi="仿宋" w:cs="仿宋"/>
          <w:color w:val="auto"/>
        </w:rPr>
      </w:pPr>
      <w:r>
        <w:rPr>
          <w:rFonts w:ascii="仿宋" w:eastAsia="仿宋" w:hAnsi="仿宋" w:cs="仿宋" w:hint="eastAsia"/>
          <w:color w:val="auto"/>
        </w:rPr>
        <w:t>市政管线工程及其附属设施、小型公用设施经专题论证确需建设的，可以使用公园绿地；</w:t>
      </w:r>
    </w:p>
    <w:p w:rsidR="00925AC4" w:rsidRDefault="00285E1E">
      <w:pPr>
        <w:numPr>
          <w:ilvl w:val="0"/>
          <w:numId w:val="15"/>
        </w:numPr>
        <w:ind w:firstLine="560"/>
        <w:rPr>
          <w:rFonts w:ascii="仿宋" w:eastAsia="仿宋" w:hAnsi="仿宋" w:cs="仿宋"/>
          <w:color w:val="auto"/>
        </w:rPr>
      </w:pPr>
      <w:r>
        <w:rPr>
          <w:rFonts w:ascii="仿宋" w:eastAsia="仿宋" w:hAnsi="仿宋" w:cs="仿宋" w:hint="eastAsia"/>
          <w:color w:val="auto"/>
        </w:rPr>
        <w:t>沿街人</w:t>
      </w:r>
      <w:r>
        <w:rPr>
          <w:rFonts w:ascii="仿宋" w:eastAsia="仿宋" w:hAnsi="仿宋" w:cs="仿宋" w:hint="eastAsia"/>
          <w:color w:val="auto"/>
        </w:rPr>
        <w:t>行道绿化应当充分开敞，适度种植高大乔木，创造更多的树荫空间和休闲活动场地。道路交叉口或转角处不得集中设置阻碍行人通行和影响视线通透的花池、灌木等。同一道路主要行道树宜种植统一树种，以形成整体感。</w:t>
      </w:r>
    </w:p>
    <w:p w:rsidR="00925AC4" w:rsidRDefault="00285E1E">
      <w:pPr>
        <w:numPr>
          <w:ilvl w:val="0"/>
          <w:numId w:val="13"/>
        </w:numPr>
        <w:ind w:firstLineChars="0" w:firstLine="562"/>
        <w:rPr>
          <w:rFonts w:ascii="仿宋" w:eastAsia="仿宋" w:hAnsi="仿宋" w:cs="仿宋"/>
          <w:b/>
          <w:bCs/>
          <w:color w:val="auto"/>
        </w:rPr>
      </w:pPr>
      <w:r>
        <w:rPr>
          <w:rFonts w:ascii="仿宋" w:eastAsia="仿宋" w:hAnsi="仿宋" w:cs="仿宋" w:hint="eastAsia"/>
          <w:b/>
          <w:bCs/>
          <w:color w:val="auto"/>
        </w:rPr>
        <w:t>公共步行通道设置</w:t>
      </w:r>
    </w:p>
    <w:p w:rsidR="00925AC4" w:rsidRDefault="00285E1E">
      <w:pPr>
        <w:numPr>
          <w:ilvl w:val="0"/>
          <w:numId w:val="17"/>
        </w:numPr>
        <w:ind w:firstLine="560"/>
        <w:rPr>
          <w:rFonts w:ascii="仿宋" w:eastAsia="仿宋" w:hAnsi="仿宋" w:cs="仿宋"/>
          <w:color w:val="auto"/>
        </w:rPr>
      </w:pPr>
      <w:r>
        <w:rPr>
          <w:rFonts w:ascii="仿宋" w:eastAsia="仿宋" w:hAnsi="仿宋" w:cs="仿宋" w:hint="eastAsia"/>
          <w:color w:val="auto"/>
        </w:rPr>
        <w:t>新建、改建、扩建的居住项目用地一侧沿城市道路的长度超过</w:t>
      </w:r>
      <w:r>
        <w:rPr>
          <w:rFonts w:ascii="仿宋" w:eastAsia="仿宋" w:hAnsi="仿宋" w:cs="仿宋" w:hint="eastAsia"/>
          <w:color w:val="auto"/>
        </w:rPr>
        <w:t>400</w:t>
      </w:r>
      <w:r>
        <w:rPr>
          <w:rFonts w:ascii="仿宋" w:eastAsia="仿宋" w:hAnsi="仿宋" w:cs="仿宋" w:hint="eastAsia"/>
          <w:color w:val="auto"/>
        </w:rPr>
        <w:t>米时，应当按照以下规定设置城市公共步行通道：</w:t>
      </w:r>
    </w:p>
    <w:p w:rsidR="00925AC4" w:rsidRDefault="00285E1E">
      <w:pPr>
        <w:numPr>
          <w:ilvl w:val="0"/>
          <w:numId w:val="18"/>
        </w:numPr>
        <w:ind w:firstLine="560"/>
        <w:rPr>
          <w:rFonts w:ascii="仿宋" w:eastAsia="仿宋" w:hAnsi="仿宋" w:cs="仿宋"/>
          <w:color w:val="auto"/>
        </w:rPr>
      </w:pPr>
      <w:r>
        <w:rPr>
          <w:rFonts w:ascii="仿宋" w:eastAsia="仿宋" w:hAnsi="仿宋" w:cs="仿宋" w:hint="eastAsia"/>
          <w:color w:val="auto"/>
        </w:rPr>
        <w:lastRenderedPageBreak/>
        <w:t>与用地周边城市道路或者公园绿地、广场连通，连通后的公共步行通道</w:t>
      </w:r>
      <w:r>
        <w:rPr>
          <w:rFonts w:ascii="仿宋" w:eastAsia="仿宋" w:hAnsi="仿宋" w:cs="仿宋" w:hint="eastAsia"/>
          <w:color w:val="auto"/>
        </w:rPr>
        <w:t>(</w:t>
      </w:r>
      <w:r>
        <w:rPr>
          <w:rFonts w:ascii="仿宋" w:eastAsia="仿宋" w:hAnsi="仿宋" w:cs="仿宋" w:hint="eastAsia"/>
          <w:color w:val="auto"/>
        </w:rPr>
        <w:t>含城市道路</w:t>
      </w:r>
      <w:r>
        <w:rPr>
          <w:rFonts w:ascii="仿宋" w:eastAsia="仿宋" w:hAnsi="仿宋" w:cs="仿宋" w:hint="eastAsia"/>
          <w:color w:val="auto"/>
        </w:rPr>
        <w:t>)</w:t>
      </w:r>
      <w:r>
        <w:rPr>
          <w:rFonts w:ascii="仿宋" w:eastAsia="仿宋" w:hAnsi="仿宋" w:cs="仿宋" w:hint="eastAsia"/>
          <w:color w:val="auto"/>
        </w:rPr>
        <w:t>之间的距离应当小于或者等于</w:t>
      </w:r>
      <w:r>
        <w:rPr>
          <w:rFonts w:ascii="仿宋" w:eastAsia="仿宋" w:hAnsi="仿宋" w:cs="仿宋" w:hint="eastAsia"/>
          <w:color w:val="auto"/>
        </w:rPr>
        <w:t>400</w:t>
      </w:r>
      <w:r>
        <w:rPr>
          <w:rFonts w:ascii="仿宋" w:eastAsia="仿宋" w:hAnsi="仿宋" w:cs="仿宋" w:hint="eastAsia"/>
          <w:color w:val="auto"/>
        </w:rPr>
        <w:t>米；</w:t>
      </w:r>
    </w:p>
    <w:p w:rsidR="00925AC4" w:rsidRDefault="00285E1E">
      <w:pPr>
        <w:numPr>
          <w:ilvl w:val="0"/>
          <w:numId w:val="18"/>
        </w:numPr>
        <w:ind w:firstLine="560"/>
        <w:rPr>
          <w:rFonts w:ascii="仿宋" w:eastAsia="仿宋" w:hAnsi="仿宋" w:cs="仿宋"/>
          <w:color w:val="auto"/>
        </w:rPr>
      </w:pPr>
      <w:r>
        <w:rPr>
          <w:rFonts w:ascii="仿宋" w:eastAsia="仿宋" w:hAnsi="仿宋" w:cs="仿宋" w:hint="eastAsia"/>
          <w:color w:val="auto"/>
        </w:rPr>
        <w:t>宽度大于或者等于</w:t>
      </w:r>
      <w:r>
        <w:rPr>
          <w:rFonts w:ascii="仿宋" w:eastAsia="仿宋" w:hAnsi="仿宋" w:cs="仿宋" w:hint="eastAsia"/>
          <w:color w:val="auto"/>
        </w:rPr>
        <w:t>3</w:t>
      </w:r>
      <w:r>
        <w:rPr>
          <w:rFonts w:ascii="仿宋" w:eastAsia="仿宋" w:hAnsi="仿宋" w:cs="仿宋" w:hint="eastAsia"/>
          <w:color w:val="auto"/>
        </w:rPr>
        <w:t>米；</w:t>
      </w:r>
    </w:p>
    <w:p w:rsidR="00925AC4" w:rsidRDefault="00285E1E">
      <w:pPr>
        <w:numPr>
          <w:ilvl w:val="0"/>
          <w:numId w:val="18"/>
        </w:numPr>
        <w:ind w:firstLine="560"/>
        <w:rPr>
          <w:rFonts w:ascii="仿宋" w:eastAsia="仿宋" w:hAnsi="仿宋" w:cs="仿宋"/>
          <w:color w:val="auto"/>
        </w:rPr>
      </w:pPr>
      <w:r>
        <w:rPr>
          <w:rFonts w:ascii="仿宋" w:eastAsia="仿宋" w:hAnsi="仿宋" w:cs="仿宋" w:hint="eastAsia"/>
          <w:color w:val="auto"/>
        </w:rPr>
        <w:t>入口位置应当设置醒目的标识、标牌；</w:t>
      </w:r>
    </w:p>
    <w:p w:rsidR="00925AC4" w:rsidRDefault="00285E1E">
      <w:pPr>
        <w:numPr>
          <w:ilvl w:val="0"/>
          <w:numId w:val="18"/>
        </w:numPr>
        <w:ind w:firstLine="560"/>
        <w:rPr>
          <w:rFonts w:ascii="仿宋" w:eastAsia="仿宋" w:hAnsi="仿宋" w:cs="仿宋"/>
          <w:color w:val="auto"/>
        </w:rPr>
      </w:pPr>
      <w:r>
        <w:rPr>
          <w:rFonts w:ascii="仿宋" w:eastAsia="仿宋" w:hAnsi="仿宋" w:cs="仿宋" w:hint="eastAsia"/>
          <w:color w:val="auto"/>
        </w:rPr>
        <w:t>鼓励在滨水区域设置具有休闲、健身、观景功能的公共步行通道。</w:t>
      </w:r>
    </w:p>
    <w:p w:rsidR="00925AC4" w:rsidRDefault="00285E1E">
      <w:pPr>
        <w:numPr>
          <w:ilvl w:val="0"/>
          <w:numId w:val="17"/>
        </w:numPr>
        <w:ind w:firstLine="560"/>
        <w:rPr>
          <w:rFonts w:ascii="仿宋" w:eastAsia="仿宋" w:hAnsi="仿宋" w:cs="仿宋"/>
          <w:color w:val="auto"/>
        </w:rPr>
      </w:pPr>
      <w:r>
        <w:rPr>
          <w:rFonts w:ascii="仿宋" w:eastAsia="仿宋" w:hAnsi="仿宋" w:cs="仿宋" w:hint="eastAsia"/>
          <w:color w:val="auto"/>
        </w:rPr>
        <w:t>各类城市建设用地，其地块内绿地、小广场、架空层</w:t>
      </w:r>
      <w:bookmarkStart w:id="32" w:name="_bookmark7"/>
      <w:bookmarkStart w:id="33" w:name="_bookmark6"/>
      <w:bookmarkEnd w:id="32"/>
      <w:bookmarkEnd w:id="33"/>
      <w:r>
        <w:rPr>
          <w:rFonts w:ascii="仿宋" w:eastAsia="仿宋" w:hAnsi="仿宋" w:cs="仿宋" w:hint="eastAsia"/>
          <w:color w:val="auto"/>
        </w:rPr>
        <w:t>等各类场地为内部公共空间，严禁个人占用。</w:t>
      </w:r>
    </w:p>
    <w:p w:rsidR="00925AC4" w:rsidRDefault="00285E1E">
      <w:pPr>
        <w:numPr>
          <w:ilvl w:val="0"/>
          <w:numId w:val="13"/>
        </w:numPr>
        <w:ind w:firstLineChars="0" w:firstLine="560"/>
        <w:rPr>
          <w:rFonts w:ascii="仿宋" w:eastAsia="仿宋" w:hAnsi="仿宋" w:cs="仿宋"/>
          <w:color w:val="auto"/>
        </w:rPr>
      </w:pPr>
      <w:r>
        <w:rPr>
          <w:rFonts w:ascii="仿宋" w:eastAsia="仿宋" w:hAnsi="仿宋" w:cs="仿宋" w:hint="eastAsia"/>
          <w:color w:val="auto"/>
        </w:rPr>
        <w:t>建筑层数大于</w:t>
      </w:r>
      <w:r>
        <w:rPr>
          <w:rFonts w:ascii="仿宋" w:eastAsia="仿宋" w:hAnsi="仿宋" w:cs="仿宋" w:hint="eastAsia"/>
          <w:color w:val="auto"/>
        </w:rPr>
        <w:t>4</w:t>
      </w:r>
      <w:r>
        <w:rPr>
          <w:rFonts w:ascii="仿宋" w:eastAsia="仿宋" w:hAnsi="仿宋" w:cs="仿宋" w:hint="eastAsia"/>
          <w:color w:val="auto"/>
        </w:rPr>
        <w:t>层的住宅建筑</w:t>
      </w:r>
      <w:r>
        <w:rPr>
          <w:rFonts w:ascii="仿宋" w:eastAsia="仿宋" w:hAnsi="仿宋" w:cs="仿宋" w:hint="eastAsia"/>
          <w:color w:val="auto"/>
        </w:rPr>
        <w:t>宜</w:t>
      </w:r>
      <w:r>
        <w:rPr>
          <w:rFonts w:ascii="仿宋" w:eastAsia="仿宋" w:hAnsi="仿宋" w:cs="仿宋" w:hint="eastAsia"/>
          <w:color w:val="auto"/>
        </w:rPr>
        <w:t>设置架空空间，其架空面积不计容积率：</w:t>
      </w:r>
      <w:r>
        <w:rPr>
          <w:rFonts w:ascii="仿宋" w:eastAsia="仿宋" w:hAnsi="仿宋" w:cs="仿宋" w:hint="eastAsia"/>
        </w:rPr>
        <w:commentReference w:id="34"/>
      </w:r>
    </w:p>
    <w:p w:rsidR="00925AC4" w:rsidRDefault="00285E1E">
      <w:pPr>
        <w:numPr>
          <w:ilvl w:val="0"/>
          <w:numId w:val="19"/>
        </w:numPr>
        <w:ind w:firstLine="560"/>
        <w:rPr>
          <w:rFonts w:ascii="仿宋" w:eastAsia="仿宋" w:hAnsi="仿宋" w:cs="仿宋"/>
          <w:color w:val="auto"/>
        </w:rPr>
      </w:pPr>
      <w:r>
        <w:rPr>
          <w:rFonts w:ascii="仿宋" w:eastAsia="仿宋" w:hAnsi="仿宋" w:cs="仿宋" w:hint="eastAsia"/>
          <w:color w:val="auto"/>
        </w:rPr>
        <w:t>在入口层设置；</w:t>
      </w:r>
    </w:p>
    <w:p w:rsidR="00925AC4" w:rsidRDefault="00285E1E">
      <w:pPr>
        <w:numPr>
          <w:ilvl w:val="0"/>
          <w:numId w:val="19"/>
        </w:numPr>
        <w:ind w:firstLine="560"/>
        <w:rPr>
          <w:rFonts w:ascii="仿宋" w:eastAsia="仿宋" w:hAnsi="仿宋" w:cs="仿宋"/>
          <w:color w:val="auto"/>
        </w:rPr>
      </w:pPr>
      <w:r>
        <w:rPr>
          <w:rFonts w:ascii="仿宋" w:eastAsia="仿宋" w:hAnsi="仿宋" w:cs="仿宋" w:hint="eastAsia"/>
          <w:color w:val="auto"/>
        </w:rPr>
        <w:t>仅用于公共休闲健身空间、绿化、快递柜非经营性用途；</w:t>
      </w:r>
    </w:p>
    <w:p w:rsidR="00925AC4" w:rsidRDefault="00285E1E">
      <w:pPr>
        <w:numPr>
          <w:ilvl w:val="0"/>
          <w:numId w:val="19"/>
        </w:numPr>
        <w:ind w:firstLine="560"/>
        <w:rPr>
          <w:rFonts w:ascii="仿宋" w:eastAsia="仿宋" w:hAnsi="仿宋" w:cs="仿宋"/>
          <w:color w:val="auto"/>
        </w:rPr>
      </w:pPr>
      <w:r>
        <w:rPr>
          <w:rFonts w:ascii="仿宋" w:eastAsia="仿宋" w:hAnsi="仿宋" w:cs="仿宋" w:hint="eastAsia"/>
          <w:color w:val="auto"/>
        </w:rPr>
        <w:t>架空空间应当以柱、剪力墙落地，与室外环境整体设计，场地平整，视线通透，空间开敞，路径便捷可达</w:t>
      </w:r>
    </w:p>
    <w:p w:rsidR="00925AC4" w:rsidRDefault="00285E1E">
      <w:pPr>
        <w:numPr>
          <w:ilvl w:val="0"/>
          <w:numId w:val="19"/>
        </w:numPr>
        <w:ind w:firstLine="560"/>
        <w:rPr>
          <w:rFonts w:ascii="仿宋" w:eastAsia="仿宋" w:hAnsi="仿宋" w:cs="仿宋"/>
          <w:color w:val="auto"/>
        </w:rPr>
      </w:pPr>
      <w:r>
        <w:rPr>
          <w:rFonts w:ascii="仿宋" w:eastAsia="仿宋" w:hAnsi="仿宋" w:cs="仿宋" w:hint="eastAsia"/>
          <w:color w:val="auto"/>
        </w:rPr>
        <w:t>架空空间层高不得小于</w:t>
      </w:r>
      <w:r>
        <w:rPr>
          <w:rFonts w:ascii="仿宋" w:eastAsia="仿宋" w:hAnsi="仿宋" w:cs="仿宋" w:hint="eastAsia"/>
          <w:color w:val="auto"/>
        </w:rPr>
        <w:t>4.8</w:t>
      </w:r>
      <w:r>
        <w:rPr>
          <w:rFonts w:ascii="仿宋" w:eastAsia="仿宋" w:hAnsi="仿宋" w:cs="仿宋" w:hint="eastAsia"/>
          <w:color w:val="auto"/>
        </w:rPr>
        <w:t>米且不大于</w:t>
      </w:r>
      <w:r>
        <w:rPr>
          <w:rFonts w:ascii="仿宋" w:eastAsia="仿宋" w:hAnsi="仿宋" w:cs="仿宋" w:hint="eastAsia"/>
          <w:color w:val="auto"/>
        </w:rPr>
        <w:t>5.6</w:t>
      </w:r>
      <w:r>
        <w:rPr>
          <w:rFonts w:ascii="仿宋" w:eastAsia="仿宋" w:hAnsi="仿宋" w:cs="仿宋" w:hint="eastAsia"/>
          <w:color w:val="auto"/>
        </w:rPr>
        <w:t>米。</w:t>
      </w:r>
    </w:p>
    <w:p w:rsidR="00925AC4" w:rsidRDefault="00285E1E">
      <w:pPr>
        <w:numPr>
          <w:ilvl w:val="0"/>
          <w:numId w:val="13"/>
        </w:numPr>
        <w:ind w:firstLineChars="0" w:firstLine="560"/>
        <w:rPr>
          <w:rFonts w:ascii="仿宋" w:eastAsia="仿宋" w:hAnsi="仿宋" w:cs="仿宋"/>
          <w:color w:val="auto"/>
        </w:rPr>
      </w:pPr>
      <w:r>
        <w:rPr>
          <w:rFonts w:ascii="仿宋" w:eastAsia="仿宋" w:hAnsi="仿宋" w:cs="仿宋" w:hint="eastAsia"/>
          <w:color w:val="auto"/>
        </w:rPr>
        <w:t>连接居住建筑公共架空空间的底层公共走廊，其架空面积不计入容积率；</w:t>
      </w:r>
    </w:p>
    <w:p w:rsidR="00925AC4" w:rsidRDefault="00285E1E">
      <w:pPr>
        <w:numPr>
          <w:ilvl w:val="0"/>
          <w:numId w:val="13"/>
        </w:numPr>
        <w:ind w:firstLineChars="0" w:firstLine="560"/>
        <w:rPr>
          <w:rFonts w:ascii="仿宋" w:eastAsia="仿宋" w:hAnsi="仿宋" w:cs="仿宋"/>
          <w:color w:val="auto"/>
        </w:rPr>
      </w:pPr>
      <w:r>
        <w:rPr>
          <w:rFonts w:ascii="仿宋" w:eastAsia="仿宋" w:hAnsi="仿宋" w:cs="仿宋" w:hint="eastAsia"/>
          <w:color w:val="auto"/>
        </w:rPr>
        <w:t>公共建筑以及非住</w:t>
      </w:r>
      <w:r>
        <w:rPr>
          <w:rFonts w:ascii="仿宋" w:eastAsia="仿宋" w:hAnsi="仿宋" w:cs="仿宋" w:hint="eastAsia"/>
          <w:color w:val="auto"/>
        </w:rPr>
        <w:t>宅类的居住建筑底部架空空间，符合以下要求的，其架空面积不计入容积率：</w:t>
      </w:r>
    </w:p>
    <w:p w:rsidR="00925AC4" w:rsidRDefault="00285E1E">
      <w:pPr>
        <w:numPr>
          <w:ilvl w:val="0"/>
          <w:numId w:val="20"/>
        </w:numPr>
        <w:ind w:firstLine="560"/>
        <w:rPr>
          <w:rFonts w:ascii="仿宋" w:eastAsia="仿宋" w:hAnsi="仿宋" w:cs="仿宋"/>
          <w:color w:val="auto"/>
        </w:rPr>
      </w:pPr>
      <w:r>
        <w:rPr>
          <w:rFonts w:ascii="仿宋" w:eastAsia="仿宋" w:hAnsi="仿宋" w:cs="仿宋" w:hint="eastAsia"/>
          <w:color w:val="auto"/>
        </w:rPr>
        <w:t>架空空间与城市道路标高自然衔接，且满足全天候对外开放；</w:t>
      </w:r>
    </w:p>
    <w:p w:rsidR="00925AC4" w:rsidRDefault="00285E1E">
      <w:pPr>
        <w:numPr>
          <w:ilvl w:val="0"/>
          <w:numId w:val="20"/>
        </w:numPr>
        <w:ind w:firstLine="560"/>
        <w:rPr>
          <w:rFonts w:ascii="仿宋" w:eastAsia="仿宋" w:hAnsi="仿宋" w:cs="仿宋"/>
          <w:color w:val="auto"/>
        </w:rPr>
      </w:pPr>
      <w:r>
        <w:rPr>
          <w:rFonts w:ascii="仿宋" w:eastAsia="仿宋" w:hAnsi="仿宋" w:cs="仿宋" w:hint="eastAsia"/>
          <w:color w:val="auto"/>
        </w:rPr>
        <w:t>仅用于公共休闲活动、绿化等非经营性用途，并与室外环境整体设计，场地平整，视线通透，空间开敞，路径便捷可达</w:t>
      </w:r>
      <w:r>
        <w:rPr>
          <w:rFonts w:ascii="仿宋" w:eastAsia="仿宋" w:hAnsi="仿宋" w:cs="仿宋" w:hint="eastAsia"/>
          <w:color w:val="auto"/>
        </w:rPr>
        <w:t>；</w:t>
      </w:r>
    </w:p>
    <w:p w:rsidR="00925AC4" w:rsidRDefault="00285E1E">
      <w:pPr>
        <w:numPr>
          <w:ilvl w:val="0"/>
          <w:numId w:val="20"/>
        </w:numPr>
        <w:ind w:firstLine="560"/>
        <w:rPr>
          <w:rFonts w:ascii="仿宋" w:eastAsia="仿宋" w:hAnsi="仿宋" w:cs="仿宋"/>
          <w:color w:val="auto"/>
        </w:rPr>
      </w:pPr>
      <w:r>
        <w:rPr>
          <w:rFonts w:ascii="仿宋" w:eastAsia="仿宋" w:hAnsi="仿宋" w:cs="仿宋" w:hint="eastAsia"/>
          <w:color w:val="auto"/>
        </w:rPr>
        <w:t>公共建筑架空空间层高大于或者等于</w:t>
      </w:r>
      <w:r>
        <w:rPr>
          <w:rFonts w:ascii="仿宋" w:eastAsia="仿宋" w:hAnsi="仿宋" w:cs="仿宋" w:hint="eastAsia"/>
          <w:color w:val="auto"/>
        </w:rPr>
        <w:t xml:space="preserve">6 </w:t>
      </w:r>
      <w:r>
        <w:rPr>
          <w:rFonts w:ascii="仿宋" w:eastAsia="仿宋" w:hAnsi="仿宋" w:cs="仿宋" w:hint="eastAsia"/>
          <w:color w:val="auto"/>
        </w:rPr>
        <w:t>米，非住宅类居住建筑架空空间层高大于或者等于</w:t>
      </w:r>
      <w:r>
        <w:rPr>
          <w:rFonts w:ascii="仿宋" w:eastAsia="仿宋" w:hAnsi="仿宋" w:cs="仿宋" w:hint="eastAsia"/>
          <w:color w:val="auto"/>
        </w:rPr>
        <w:t>4.8</w:t>
      </w:r>
      <w:r>
        <w:rPr>
          <w:rFonts w:ascii="仿宋" w:eastAsia="仿宋" w:hAnsi="仿宋" w:cs="仿宋" w:hint="eastAsia"/>
          <w:color w:val="auto"/>
        </w:rPr>
        <w:t>米</w:t>
      </w:r>
      <w:r>
        <w:rPr>
          <w:rFonts w:ascii="仿宋" w:eastAsia="仿宋" w:hAnsi="仿宋" w:cs="仿宋" w:hint="eastAsia"/>
          <w:color w:val="auto"/>
        </w:rPr>
        <w:t>。</w:t>
      </w:r>
    </w:p>
    <w:p w:rsidR="00925AC4" w:rsidRDefault="00285E1E">
      <w:pPr>
        <w:pStyle w:val="1"/>
        <w:rPr>
          <w:rFonts w:ascii="仿宋" w:eastAsia="仿宋" w:hAnsi="仿宋" w:cs="仿宋"/>
          <w:color w:val="auto"/>
          <w:sz w:val="32"/>
          <w:szCs w:val="32"/>
        </w:rPr>
      </w:pPr>
      <w:r>
        <w:rPr>
          <w:rFonts w:ascii="仿宋" w:eastAsia="仿宋" w:hAnsi="仿宋" w:cs="仿宋" w:hint="eastAsia"/>
          <w:color w:val="0000FF"/>
        </w:rPr>
        <w:br w:type="page"/>
      </w:r>
      <w:bookmarkStart w:id="35" w:name="_Toc26105"/>
      <w:r>
        <w:rPr>
          <w:rFonts w:ascii="仿宋" w:eastAsia="仿宋" w:hAnsi="仿宋" w:cs="仿宋" w:hint="eastAsia"/>
          <w:color w:val="auto"/>
          <w:sz w:val="32"/>
          <w:szCs w:val="32"/>
        </w:rPr>
        <w:lastRenderedPageBreak/>
        <w:t>第三章</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建筑工程规划管理</w:t>
      </w:r>
      <w:bookmarkEnd w:id="35"/>
    </w:p>
    <w:p w:rsidR="00925AC4" w:rsidRDefault="00285E1E">
      <w:pPr>
        <w:numPr>
          <w:ilvl w:val="0"/>
          <w:numId w:val="21"/>
        </w:numPr>
        <w:ind w:firstLine="560"/>
        <w:rPr>
          <w:rFonts w:ascii="仿宋" w:eastAsia="仿宋" w:hAnsi="仿宋" w:cs="仿宋"/>
          <w:color w:val="auto"/>
        </w:rPr>
      </w:pPr>
      <w:r>
        <w:rPr>
          <w:rFonts w:ascii="仿宋" w:eastAsia="仿宋" w:hAnsi="仿宋" w:cs="仿宋" w:hint="eastAsia"/>
          <w:color w:val="auto"/>
        </w:rPr>
        <w:t>同一建筑在同时满足建筑间距和建筑退界等多重控制要求的情况下，按最大的距离控制。</w:t>
      </w:r>
    </w:p>
    <w:p w:rsidR="00925AC4" w:rsidRDefault="00285E1E">
      <w:pPr>
        <w:pStyle w:val="2"/>
        <w:numPr>
          <w:ilvl w:val="0"/>
          <w:numId w:val="22"/>
        </w:numPr>
        <w:spacing w:line="240" w:lineRule="auto"/>
        <w:ind w:firstLine="602"/>
        <w:rPr>
          <w:rFonts w:ascii="仿宋" w:eastAsia="仿宋" w:hAnsi="仿宋" w:cs="仿宋"/>
          <w:color w:val="0000FF"/>
          <w:sz w:val="30"/>
          <w:szCs w:val="30"/>
        </w:rPr>
      </w:pPr>
      <w:bookmarkStart w:id="36" w:name="_Toc30350"/>
      <w:r>
        <w:rPr>
          <w:rFonts w:ascii="仿宋" w:eastAsia="仿宋" w:hAnsi="仿宋" w:cs="仿宋" w:hint="eastAsia"/>
          <w:color w:val="auto"/>
          <w:sz w:val="30"/>
          <w:szCs w:val="30"/>
        </w:rPr>
        <w:t>建筑间距</w:t>
      </w:r>
      <w:bookmarkEnd w:id="36"/>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建筑间距除满足通风、采光、消防、卫生、环保、防灾、交通、工程管线埋设、建筑物保护、文物保护、空间环境及有特殊要求的规范等前提下应同时满足第</w:t>
      </w:r>
      <w:r>
        <w:rPr>
          <w:rFonts w:ascii="仿宋" w:eastAsia="仿宋" w:hAnsi="仿宋" w:cs="仿宋" w:hint="eastAsia"/>
          <w:color w:val="auto"/>
        </w:rPr>
        <w:t>3.1.2</w:t>
      </w:r>
      <w:r>
        <w:rPr>
          <w:rFonts w:ascii="仿宋" w:eastAsia="仿宋" w:hAnsi="仿宋" w:cs="仿宋" w:hint="eastAsia"/>
          <w:color w:val="auto"/>
        </w:rPr>
        <w:t>～</w:t>
      </w:r>
      <w:r>
        <w:rPr>
          <w:rFonts w:ascii="仿宋" w:eastAsia="仿宋" w:hAnsi="仿宋" w:cs="仿宋" w:hint="eastAsia"/>
          <w:color w:val="auto"/>
        </w:rPr>
        <w:t>3.1.8</w:t>
      </w:r>
      <w:r>
        <w:rPr>
          <w:rFonts w:ascii="仿宋" w:eastAsia="仿宋" w:hAnsi="仿宋" w:cs="仿宋" w:hint="eastAsia"/>
          <w:color w:val="auto"/>
        </w:rPr>
        <w:t>条的规定。</w:t>
      </w:r>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住宅建筑的间距应满足以下规定：</w:t>
      </w:r>
    </w:p>
    <w:p w:rsidR="00925AC4" w:rsidRDefault="00285E1E">
      <w:pPr>
        <w:numPr>
          <w:ilvl w:val="0"/>
          <w:numId w:val="24"/>
        </w:numPr>
        <w:ind w:firstLine="560"/>
        <w:rPr>
          <w:rFonts w:ascii="仿宋" w:eastAsia="仿宋" w:hAnsi="仿宋" w:cs="仿宋"/>
          <w:color w:val="auto"/>
        </w:rPr>
      </w:pPr>
      <w:r>
        <w:rPr>
          <w:rFonts w:ascii="仿宋" w:eastAsia="仿宋" w:hAnsi="仿宋" w:cs="仿宋" w:hint="eastAsia"/>
          <w:color w:val="auto"/>
        </w:rPr>
        <w:t>住宅建筑平行相对布置时的最小间距</w:t>
      </w:r>
      <w:r>
        <w:rPr>
          <w:rFonts w:ascii="仿宋" w:eastAsia="仿宋" w:hAnsi="仿宋" w:cs="仿宋" w:hint="eastAsia"/>
          <w:color w:val="auto"/>
        </w:rPr>
        <w:t>L(</w:t>
      </w:r>
      <w:r>
        <w:rPr>
          <w:rFonts w:ascii="仿宋" w:eastAsia="仿宋" w:hAnsi="仿宋" w:cs="仿宋" w:hint="eastAsia"/>
          <w:color w:val="auto"/>
        </w:rPr>
        <w:t>详见图</w:t>
      </w:r>
      <w:hyperlink r:id="rId15" w:history="1">
        <w:r>
          <w:rPr>
            <w:rFonts w:ascii="仿宋" w:eastAsia="仿宋" w:hAnsi="仿宋" w:cs="仿宋" w:hint="eastAsia"/>
            <w:color w:val="auto"/>
          </w:rPr>
          <w:t>3.1.2.1</w:t>
        </w:r>
      </w:hyperlink>
      <w:r>
        <w:rPr>
          <w:rFonts w:ascii="仿宋" w:eastAsia="仿宋" w:hAnsi="仿宋" w:cs="仿宋" w:hint="eastAsia"/>
          <w:color w:val="auto"/>
        </w:rPr>
        <w:t>~</w:t>
      </w:r>
      <w:r>
        <w:rPr>
          <w:rFonts w:ascii="仿宋" w:eastAsia="仿宋" w:hAnsi="仿宋" w:cs="仿宋" w:hint="eastAsia"/>
          <w:color w:val="auto"/>
        </w:rPr>
        <w:t>图</w:t>
      </w:r>
      <w:hyperlink r:id="rId16" w:history="1">
        <w:r>
          <w:rPr>
            <w:rFonts w:ascii="仿宋" w:eastAsia="仿宋" w:hAnsi="仿宋" w:cs="仿宋" w:hint="eastAsia"/>
            <w:color w:val="auto"/>
          </w:rPr>
          <w:t>3.1.2.3</w:t>
        </w:r>
      </w:hyperlink>
      <w:r>
        <w:rPr>
          <w:rFonts w:ascii="仿宋" w:eastAsia="仿宋" w:hAnsi="仿宋" w:cs="仿宋" w:hint="eastAsia"/>
          <w:color w:val="auto"/>
        </w:rPr>
        <w:t>)</w:t>
      </w:r>
      <w:r>
        <w:rPr>
          <w:rFonts w:ascii="仿宋" w:eastAsia="仿宋" w:hAnsi="仿宋" w:cs="仿宋" w:hint="eastAsia"/>
          <w:color w:val="auto"/>
        </w:rPr>
        <w:t>按表</w:t>
      </w:r>
      <w:hyperlink r:id="rId17" w:history="1">
        <w:r>
          <w:rPr>
            <w:rFonts w:ascii="仿宋" w:eastAsia="仿宋" w:hAnsi="仿宋" w:cs="仿宋" w:hint="eastAsia"/>
            <w:color w:val="auto"/>
          </w:rPr>
          <w:t>3.1.2.1</w:t>
        </w:r>
      </w:hyperlink>
      <w:r>
        <w:rPr>
          <w:rFonts w:ascii="仿宋" w:eastAsia="仿宋" w:hAnsi="仿宋" w:cs="仿宋" w:hint="eastAsia"/>
          <w:color w:val="auto"/>
        </w:rPr>
        <w:t>控制：</w:t>
      </w:r>
    </w:p>
    <w:p w:rsidR="00925AC4" w:rsidRDefault="00285E1E">
      <w:pPr>
        <w:ind w:firstLineChars="0" w:firstLine="0"/>
        <w:jc w:val="center"/>
        <w:rPr>
          <w:rFonts w:ascii="仿宋" w:eastAsia="仿宋" w:hAnsi="仿宋" w:cs="仿宋"/>
          <w:color w:val="auto"/>
          <w:sz w:val="24"/>
          <w:szCs w:val="24"/>
        </w:rPr>
      </w:pPr>
      <w:r>
        <w:rPr>
          <w:rFonts w:ascii="仿宋" w:eastAsia="仿宋" w:hAnsi="仿宋" w:cs="仿宋" w:hint="eastAsia"/>
          <w:color w:val="auto"/>
          <w:sz w:val="24"/>
          <w:szCs w:val="24"/>
        </w:rPr>
        <w:t>表</w:t>
      </w:r>
      <w:hyperlink r:id="rId18" w:history="1">
        <w:r>
          <w:rPr>
            <w:rFonts w:ascii="仿宋" w:eastAsia="仿宋" w:hAnsi="仿宋" w:cs="仿宋" w:hint="eastAsia"/>
            <w:color w:val="auto"/>
            <w:sz w:val="24"/>
            <w:szCs w:val="24"/>
          </w:rPr>
          <w:t>3.1.2.1</w:t>
        </w:r>
      </w:hyperlink>
      <w:r>
        <w:rPr>
          <w:rFonts w:ascii="仿宋" w:eastAsia="仿宋" w:hAnsi="仿宋" w:cs="仿宋" w:hint="eastAsia"/>
          <w:color w:val="auto"/>
          <w:sz w:val="24"/>
          <w:szCs w:val="24"/>
        </w:rPr>
        <w:t xml:space="preserve"> </w:t>
      </w:r>
      <w:r>
        <w:rPr>
          <w:rFonts w:ascii="仿宋" w:eastAsia="仿宋" w:hAnsi="仿宋" w:cs="仿宋" w:hint="eastAsia"/>
          <w:color w:val="auto"/>
          <w:sz w:val="24"/>
          <w:szCs w:val="24"/>
        </w:rPr>
        <w:t>平行相对布置时的最小间距</w:t>
      </w:r>
      <w:r>
        <w:rPr>
          <w:rFonts w:ascii="仿宋" w:eastAsia="仿宋" w:hAnsi="仿宋" w:cs="仿宋" w:hint="eastAsia"/>
          <w:color w:val="auto"/>
          <w:sz w:val="24"/>
          <w:szCs w:val="24"/>
        </w:rPr>
        <w:t>L</w:t>
      </w:r>
    </w:p>
    <w:tbl>
      <w:tblPr>
        <w:tblStyle w:val="TableNormal"/>
        <w:tblW w:w="92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1308"/>
        <w:gridCol w:w="2278"/>
        <w:gridCol w:w="799"/>
        <w:gridCol w:w="2995"/>
        <w:gridCol w:w="1245"/>
      </w:tblGrid>
      <w:tr w:rsidR="00925AC4">
        <w:trPr>
          <w:trHeight w:val="454"/>
        </w:trPr>
        <w:tc>
          <w:tcPr>
            <w:tcW w:w="1972"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朝向</w:t>
            </w:r>
          </w:p>
        </w:tc>
        <w:tc>
          <w:tcPr>
            <w:tcW w:w="3077"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低、多层建筑</w:t>
            </w:r>
          </w:p>
        </w:tc>
        <w:tc>
          <w:tcPr>
            <w:tcW w:w="4240"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高层建筑</w:t>
            </w:r>
          </w:p>
        </w:tc>
      </w:tr>
      <w:tr w:rsidR="00925AC4">
        <w:trPr>
          <w:trHeight w:val="454"/>
        </w:trPr>
        <w:tc>
          <w:tcPr>
            <w:tcW w:w="1972"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最小间距朝向</w:t>
            </w:r>
          </w:p>
        </w:tc>
        <w:tc>
          <w:tcPr>
            <w:tcW w:w="22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长边</w:t>
            </w:r>
          </w:p>
        </w:tc>
        <w:tc>
          <w:tcPr>
            <w:tcW w:w="7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山墙</w:t>
            </w:r>
          </w:p>
        </w:tc>
        <w:tc>
          <w:tcPr>
            <w:tcW w:w="29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主采光面</w:t>
            </w:r>
          </w:p>
        </w:tc>
        <w:tc>
          <w:tcPr>
            <w:tcW w:w="124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非主采光面</w:t>
            </w:r>
          </w:p>
        </w:tc>
      </w:tr>
      <w:tr w:rsidR="00925AC4">
        <w:trPr>
          <w:trHeight w:val="454"/>
        </w:trPr>
        <w:tc>
          <w:tcPr>
            <w:tcW w:w="664" w:type="dxa"/>
            <w:vMerge w:val="restart"/>
            <w:tcBorders>
              <w:bottom w:val="nil"/>
            </w:tcBorders>
            <w:textDirection w:val="tbLrV"/>
            <w:vAlign w:val="center"/>
          </w:tcPr>
          <w:p w:rsidR="00925AC4" w:rsidRDefault="00285E1E">
            <w:pPr>
              <w:pStyle w:val="ab"/>
              <w:ind w:left="113" w:right="113"/>
              <w:jc w:val="center"/>
              <w:rPr>
                <w:rFonts w:ascii="仿宋" w:eastAsia="仿宋" w:hAnsi="仿宋" w:cs="仿宋" w:hint="default"/>
                <w:color w:val="auto"/>
              </w:rPr>
            </w:pPr>
            <w:r>
              <w:rPr>
                <w:rFonts w:ascii="仿宋" w:eastAsia="仿宋" w:hAnsi="仿宋" w:cs="仿宋"/>
                <w:color w:val="auto"/>
              </w:rPr>
              <w:t>多</w:t>
            </w:r>
            <w:r>
              <w:rPr>
                <w:rFonts w:ascii="仿宋" w:eastAsia="仿宋" w:hAnsi="仿宋" w:cs="仿宋"/>
                <w:color w:val="auto"/>
              </w:rPr>
              <w:t>层建筑</w:t>
            </w:r>
          </w:p>
        </w:tc>
        <w:tc>
          <w:tcPr>
            <w:tcW w:w="13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长边</w:t>
            </w:r>
          </w:p>
        </w:tc>
        <w:tc>
          <w:tcPr>
            <w:tcW w:w="2278" w:type="dxa"/>
            <w:vAlign w:val="center"/>
          </w:tcPr>
          <w:p w:rsidR="00925AC4" w:rsidRDefault="00285E1E">
            <w:pPr>
              <w:pStyle w:val="ab"/>
              <w:jc w:val="center"/>
              <w:rPr>
                <w:rFonts w:ascii="仿宋" w:eastAsia="仿宋" w:hAnsi="仿宋" w:cs="仿宋" w:hint="default"/>
                <w:color w:val="auto"/>
              </w:rPr>
            </w:pPr>
            <w:commentRangeStart w:id="37"/>
            <w:r>
              <w:rPr>
                <w:rFonts w:ascii="仿宋" w:eastAsia="仿宋" w:hAnsi="仿宋" w:cs="仿宋"/>
                <w:color w:val="auto"/>
              </w:rPr>
              <w:t>半间距为</w:t>
            </w:r>
            <w:r>
              <w:rPr>
                <w:rFonts w:ascii="仿宋" w:eastAsia="仿宋" w:hAnsi="仿宋" w:cs="仿宋"/>
                <w:color w:val="auto"/>
              </w:rPr>
              <w:t>0.5H,</w:t>
            </w:r>
            <w:r>
              <w:rPr>
                <w:rFonts w:ascii="仿宋" w:eastAsia="仿宋" w:hAnsi="仿宋" w:cs="仿宋"/>
                <w:color w:val="auto"/>
              </w:rPr>
              <w:t>间距为半间距之和，且不小于</w:t>
            </w:r>
            <w:r>
              <w:rPr>
                <w:rFonts w:ascii="仿宋" w:eastAsia="仿宋" w:hAnsi="仿宋" w:cs="仿宋"/>
                <w:color w:val="auto"/>
              </w:rPr>
              <w:t>8m</w:t>
            </w:r>
            <w:r>
              <w:rPr>
                <w:rFonts w:ascii="仿宋" w:eastAsia="仿宋" w:hAnsi="仿宋" w:cs="仿宋"/>
                <w:color w:val="auto"/>
              </w:rPr>
              <w:t>。</w:t>
            </w:r>
            <w:commentRangeEnd w:id="37"/>
            <w:r>
              <w:rPr>
                <w:rFonts w:ascii="仿宋" w:eastAsia="仿宋" w:hAnsi="仿宋" w:cs="仿宋"/>
              </w:rPr>
              <w:commentReference w:id="37"/>
            </w:r>
          </w:p>
        </w:tc>
        <w:tc>
          <w:tcPr>
            <w:tcW w:w="7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8m</w:t>
            </w:r>
          </w:p>
        </w:tc>
        <w:tc>
          <w:tcPr>
            <w:tcW w:w="29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分别计算半间距，间距为半间距之和，且不小于</w:t>
            </w:r>
            <w:r>
              <w:rPr>
                <w:rFonts w:ascii="仿宋" w:eastAsia="仿宋" w:hAnsi="仿宋" w:cs="仿宋"/>
                <w:color w:val="auto"/>
              </w:rPr>
              <w:t>13m</w:t>
            </w:r>
            <w:r>
              <w:rPr>
                <w:rFonts w:ascii="仿宋" w:eastAsia="仿宋" w:hAnsi="仿宋" w:cs="仿宋"/>
                <w:color w:val="auto"/>
              </w:rPr>
              <w:t>。</w:t>
            </w:r>
          </w:p>
        </w:tc>
        <w:tc>
          <w:tcPr>
            <w:tcW w:w="124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16m</w:t>
            </w:r>
          </w:p>
        </w:tc>
      </w:tr>
      <w:tr w:rsidR="00925AC4">
        <w:trPr>
          <w:trHeight w:val="451"/>
        </w:trPr>
        <w:tc>
          <w:tcPr>
            <w:tcW w:w="664" w:type="dxa"/>
            <w:vMerge/>
            <w:tcBorders>
              <w:top w:val="nil"/>
            </w:tcBorders>
            <w:textDirection w:val="tbLrV"/>
            <w:vAlign w:val="center"/>
          </w:tcPr>
          <w:p w:rsidR="00925AC4" w:rsidRDefault="00925AC4">
            <w:pPr>
              <w:pStyle w:val="ab"/>
              <w:ind w:left="113" w:right="113"/>
              <w:jc w:val="center"/>
              <w:rPr>
                <w:rFonts w:ascii="仿宋" w:eastAsia="仿宋" w:hAnsi="仿宋" w:cs="仿宋" w:hint="default"/>
                <w:color w:val="auto"/>
              </w:rPr>
            </w:pPr>
          </w:p>
        </w:tc>
        <w:tc>
          <w:tcPr>
            <w:tcW w:w="13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山墙</w:t>
            </w:r>
          </w:p>
        </w:tc>
        <w:tc>
          <w:tcPr>
            <w:tcW w:w="22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7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6m</w:t>
            </w:r>
          </w:p>
        </w:tc>
        <w:tc>
          <w:tcPr>
            <w:tcW w:w="29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c>
          <w:tcPr>
            <w:tcW w:w="124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9m</w:t>
            </w:r>
          </w:p>
        </w:tc>
      </w:tr>
      <w:tr w:rsidR="00925AC4">
        <w:trPr>
          <w:trHeight w:val="454"/>
        </w:trPr>
        <w:tc>
          <w:tcPr>
            <w:tcW w:w="664" w:type="dxa"/>
            <w:vMerge w:val="restart"/>
            <w:tcBorders>
              <w:bottom w:val="nil"/>
            </w:tcBorders>
            <w:textDirection w:val="tbLrV"/>
            <w:vAlign w:val="center"/>
          </w:tcPr>
          <w:p w:rsidR="00925AC4" w:rsidRDefault="00285E1E">
            <w:pPr>
              <w:pStyle w:val="ab"/>
              <w:ind w:left="113" w:right="113"/>
              <w:jc w:val="center"/>
              <w:rPr>
                <w:rFonts w:ascii="仿宋" w:eastAsia="仿宋" w:hAnsi="仿宋" w:cs="仿宋" w:hint="default"/>
                <w:color w:val="auto"/>
              </w:rPr>
            </w:pPr>
            <w:r>
              <w:rPr>
                <w:rFonts w:ascii="仿宋" w:eastAsia="仿宋" w:hAnsi="仿宋" w:cs="仿宋"/>
                <w:color w:val="auto"/>
              </w:rPr>
              <w:t>高</w:t>
            </w:r>
            <w:r>
              <w:rPr>
                <w:rFonts w:ascii="仿宋" w:eastAsia="仿宋" w:hAnsi="仿宋" w:cs="仿宋"/>
                <w:color w:val="auto"/>
              </w:rPr>
              <w:t>层建筑</w:t>
            </w:r>
          </w:p>
        </w:tc>
        <w:tc>
          <w:tcPr>
            <w:tcW w:w="13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主采光面</w:t>
            </w:r>
          </w:p>
        </w:tc>
        <w:tc>
          <w:tcPr>
            <w:tcW w:w="22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7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29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半间距：以</w:t>
            </w:r>
            <w:r>
              <w:rPr>
                <w:rFonts w:ascii="仿宋" w:eastAsia="仿宋" w:hAnsi="仿宋" w:cs="仿宋"/>
                <w:color w:val="auto"/>
              </w:rPr>
              <w:t>13.5m</w:t>
            </w:r>
            <w:r>
              <w:rPr>
                <w:rFonts w:ascii="仿宋" w:eastAsia="仿宋" w:hAnsi="仿宋" w:cs="仿宋"/>
                <w:color w:val="auto"/>
              </w:rPr>
              <w:t>为基数，建筑的</w:t>
            </w:r>
            <w:r>
              <w:rPr>
                <w:rFonts w:ascii="仿宋" w:eastAsia="仿宋" w:hAnsi="仿宋" w:cs="仿宋"/>
                <w:color w:val="auto"/>
              </w:rPr>
              <w:t>27m</w:t>
            </w:r>
            <w:r>
              <w:rPr>
                <w:rFonts w:ascii="仿宋" w:eastAsia="仿宋" w:hAnsi="仿宋" w:cs="仿宋"/>
                <w:color w:val="auto"/>
              </w:rPr>
              <w:t>以上部分每增加</w:t>
            </w:r>
            <w:r>
              <w:rPr>
                <w:rFonts w:ascii="仿宋" w:eastAsia="仿宋" w:hAnsi="仿宋" w:cs="仿宋"/>
                <w:color w:val="auto"/>
              </w:rPr>
              <w:t>3m,</w:t>
            </w:r>
            <w:r>
              <w:rPr>
                <w:rFonts w:ascii="仿宋" w:eastAsia="仿宋" w:hAnsi="仿宋" w:cs="仿宋"/>
                <w:color w:val="auto"/>
              </w:rPr>
              <w:t>距离增加</w:t>
            </w:r>
            <w:r>
              <w:rPr>
                <w:rFonts w:ascii="仿宋" w:eastAsia="仿宋" w:hAnsi="仿宋" w:cs="仿宋"/>
                <w:color w:val="auto"/>
              </w:rPr>
              <w:t>0.15m</w:t>
            </w:r>
            <w:r>
              <w:rPr>
                <w:rFonts w:ascii="仿宋" w:eastAsia="仿宋" w:hAnsi="仿宋" w:cs="仿宋"/>
                <w:color w:val="auto"/>
              </w:rPr>
              <w:t>。间距为半间距之和。</w:t>
            </w:r>
          </w:p>
        </w:tc>
        <w:tc>
          <w:tcPr>
            <w:tcW w:w="124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16m</w:t>
            </w:r>
          </w:p>
        </w:tc>
      </w:tr>
      <w:tr w:rsidR="00925AC4">
        <w:trPr>
          <w:trHeight w:val="454"/>
        </w:trPr>
        <w:tc>
          <w:tcPr>
            <w:tcW w:w="664"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3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非主采光面</w:t>
            </w:r>
          </w:p>
        </w:tc>
        <w:tc>
          <w:tcPr>
            <w:tcW w:w="22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7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29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24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14m</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p>
    <w:p w:rsidR="00925AC4" w:rsidRDefault="00285E1E" w:rsidP="008E7712">
      <w:pPr>
        <w:pStyle w:val="ac"/>
        <w:numPr>
          <w:ilvl w:val="0"/>
          <w:numId w:val="25"/>
        </w:numPr>
        <w:ind w:firstLine="480"/>
        <w:rPr>
          <w:rFonts w:ascii="仿宋" w:eastAsia="仿宋" w:hAnsi="仿宋" w:cs="仿宋"/>
          <w:color w:val="auto"/>
        </w:rPr>
      </w:pPr>
      <w:r>
        <w:rPr>
          <w:rFonts w:ascii="仿宋" w:eastAsia="仿宋" w:hAnsi="仿宋" w:cs="仿宋" w:hint="eastAsia"/>
          <w:color w:val="auto"/>
        </w:rPr>
        <w:t>旧城区住宅建筑主采光面平行相对布置时，按本表的</w:t>
      </w:r>
      <w:commentRangeStart w:id="38"/>
      <w:r>
        <w:rPr>
          <w:rFonts w:ascii="仿宋" w:eastAsia="仿宋" w:hAnsi="仿宋" w:cs="仿宋" w:hint="eastAsia"/>
          <w:color w:val="auto"/>
        </w:rPr>
        <w:t>0.8</w:t>
      </w:r>
      <w:commentRangeEnd w:id="38"/>
      <w:r>
        <w:rPr>
          <w:rFonts w:ascii="仿宋" w:eastAsia="仿宋" w:hAnsi="仿宋" w:cs="仿宋" w:hint="eastAsia"/>
        </w:rPr>
        <w:commentReference w:id="38"/>
      </w:r>
      <w:r>
        <w:rPr>
          <w:rFonts w:ascii="仿宋" w:eastAsia="仿宋" w:hAnsi="仿宋" w:cs="仿宋" w:hint="eastAsia"/>
          <w:color w:val="auto"/>
        </w:rPr>
        <w:t>倍控制；其他情况按本表控制。</w:t>
      </w:r>
    </w:p>
    <w:p w:rsidR="00925AC4" w:rsidRDefault="00285E1E" w:rsidP="008E7712">
      <w:pPr>
        <w:pStyle w:val="ac"/>
        <w:numPr>
          <w:ilvl w:val="0"/>
          <w:numId w:val="25"/>
        </w:numPr>
        <w:ind w:firstLine="480"/>
        <w:rPr>
          <w:rFonts w:ascii="仿宋" w:eastAsia="仿宋" w:hAnsi="仿宋" w:cs="仿宋"/>
          <w:color w:val="auto"/>
        </w:rPr>
      </w:pPr>
      <w:r>
        <w:rPr>
          <w:rFonts w:ascii="仿宋" w:eastAsia="仿宋" w:hAnsi="仿宋" w:cs="仿宋" w:hint="eastAsia"/>
          <w:color w:val="auto"/>
        </w:rPr>
        <w:t>H</w:t>
      </w:r>
      <w:r>
        <w:rPr>
          <w:rFonts w:ascii="仿宋" w:eastAsia="仿宋" w:hAnsi="仿宋" w:cs="仿宋" w:hint="eastAsia"/>
          <w:color w:val="auto"/>
        </w:rPr>
        <w:t>为建筑高度</w:t>
      </w:r>
      <w:r>
        <w:rPr>
          <w:rFonts w:ascii="仿宋" w:eastAsia="仿宋" w:hAnsi="仿宋" w:cs="仿宋" w:hint="eastAsia"/>
          <w:color w:val="auto"/>
        </w:rPr>
        <w:t>(</w:t>
      </w:r>
      <w:r>
        <w:rPr>
          <w:rFonts w:ascii="仿宋" w:eastAsia="仿宋" w:hAnsi="仿宋" w:cs="仿宋" w:hint="eastAsia"/>
          <w:color w:val="auto"/>
        </w:rPr>
        <w:t>下同</w:t>
      </w:r>
      <w:r>
        <w:rPr>
          <w:rFonts w:ascii="仿宋" w:eastAsia="仿宋" w:hAnsi="仿宋" w:cs="仿宋" w:hint="eastAsia"/>
          <w:color w:val="auto"/>
        </w:rPr>
        <w:t>);</w:t>
      </w:r>
    </w:p>
    <w:p w:rsidR="00925AC4" w:rsidRDefault="00285E1E" w:rsidP="008E7712">
      <w:pPr>
        <w:pStyle w:val="ac"/>
        <w:numPr>
          <w:ilvl w:val="0"/>
          <w:numId w:val="25"/>
        </w:numPr>
        <w:ind w:firstLine="480"/>
        <w:rPr>
          <w:rFonts w:ascii="仿宋" w:eastAsia="仿宋" w:hAnsi="仿宋" w:cs="仿宋"/>
          <w:color w:val="auto"/>
        </w:rPr>
      </w:pPr>
      <w:r>
        <w:rPr>
          <w:rFonts w:ascii="仿宋" w:eastAsia="仿宋" w:hAnsi="仿宋" w:cs="仿宋" w:hint="eastAsia"/>
          <w:color w:val="auto"/>
        </w:rPr>
        <w:t>当多、低层建筑山墙宽度</w:t>
      </w:r>
      <w:r>
        <w:rPr>
          <w:rFonts w:ascii="仿宋" w:eastAsia="仿宋" w:hAnsi="仿宋" w:cs="仿宋" w:hint="eastAsia"/>
          <w:color w:val="auto"/>
        </w:rPr>
        <w:t>&gt;18</w:t>
      </w:r>
      <w:r>
        <w:rPr>
          <w:rFonts w:ascii="仿宋" w:eastAsia="仿宋" w:hAnsi="仿宋" w:cs="仿宋" w:hint="eastAsia"/>
          <w:color w:val="auto"/>
        </w:rPr>
        <w:t>米时，按长边控制建筑间距</w:t>
      </w:r>
      <w:r>
        <w:rPr>
          <w:rFonts w:ascii="仿宋" w:eastAsia="仿宋" w:hAnsi="仿宋" w:cs="仿宋" w:hint="eastAsia"/>
          <w:color w:val="auto"/>
        </w:rPr>
        <w:t>(</w:t>
      </w:r>
      <w:r>
        <w:rPr>
          <w:rFonts w:ascii="仿宋" w:eastAsia="仿宋" w:hAnsi="仿宋" w:cs="仿宋" w:hint="eastAsia"/>
          <w:color w:val="auto"/>
        </w:rPr>
        <w:t>下同</w:t>
      </w:r>
      <w:r>
        <w:rPr>
          <w:rFonts w:ascii="仿宋" w:eastAsia="仿宋" w:hAnsi="仿宋" w:cs="仿宋" w:hint="eastAsia"/>
          <w:color w:val="auto"/>
        </w:rPr>
        <w:t>);</w:t>
      </w:r>
    </w:p>
    <w:p w:rsidR="00925AC4" w:rsidRDefault="00285E1E" w:rsidP="008E7712">
      <w:pPr>
        <w:pStyle w:val="ac"/>
        <w:numPr>
          <w:ilvl w:val="0"/>
          <w:numId w:val="25"/>
        </w:numPr>
        <w:ind w:firstLine="480"/>
        <w:rPr>
          <w:rFonts w:ascii="仿宋" w:eastAsia="仿宋" w:hAnsi="仿宋" w:cs="仿宋"/>
          <w:color w:val="auto"/>
        </w:rPr>
      </w:pPr>
      <w:r>
        <w:rPr>
          <w:rFonts w:ascii="仿宋" w:eastAsia="仿宋" w:hAnsi="仿宋" w:cs="仿宋" w:hint="eastAsia"/>
          <w:color w:val="auto"/>
        </w:rPr>
        <w:t>当高层建筑非主采光面宽度</w:t>
      </w:r>
      <w:r>
        <w:rPr>
          <w:rFonts w:ascii="仿宋" w:eastAsia="仿宋" w:hAnsi="仿宋" w:cs="仿宋" w:hint="eastAsia"/>
          <w:color w:val="auto"/>
        </w:rPr>
        <w:t>&gt;20</w:t>
      </w:r>
      <w:r>
        <w:rPr>
          <w:rFonts w:ascii="仿宋" w:eastAsia="仿宋" w:hAnsi="仿宋" w:cs="仿宋" w:hint="eastAsia"/>
          <w:color w:val="auto"/>
        </w:rPr>
        <w:t>米时，按主采光面控制间距</w:t>
      </w:r>
      <w:r>
        <w:rPr>
          <w:rFonts w:ascii="仿宋" w:eastAsia="仿宋" w:hAnsi="仿宋" w:cs="仿宋" w:hint="eastAsia"/>
          <w:color w:val="auto"/>
        </w:rPr>
        <w:t>(</w:t>
      </w:r>
      <w:r>
        <w:rPr>
          <w:rFonts w:ascii="仿宋" w:eastAsia="仿宋" w:hAnsi="仿宋" w:cs="仿宋" w:hint="eastAsia"/>
          <w:color w:val="auto"/>
        </w:rPr>
        <w:t>下同</w:t>
      </w:r>
      <w:r>
        <w:rPr>
          <w:rFonts w:ascii="仿宋" w:eastAsia="仿宋" w:hAnsi="仿宋" w:cs="仿宋" w:hint="eastAsia"/>
          <w:color w:val="auto"/>
        </w:rPr>
        <w:t>)</w:t>
      </w:r>
      <w:r>
        <w:rPr>
          <w:rFonts w:ascii="仿宋" w:eastAsia="仿宋" w:hAnsi="仿宋" w:cs="仿宋" w:hint="eastAsia"/>
          <w:color w:val="auto"/>
        </w:rPr>
        <w:t>。</w:t>
      </w:r>
    </w:p>
    <w:p w:rsidR="00925AC4" w:rsidRDefault="00925AC4" w:rsidP="008E7712">
      <w:pPr>
        <w:ind w:leftChars="200" w:left="560" w:firstLineChars="0" w:firstLine="0"/>
        <w:rPr>
          <w:rFonts w:ascii="仿宋" w:eastAsia="仿宋" w:hAnsi="仿宋" w:cs="仿宋"/>
          <w:color w:val="0000FF"/>
        </w:rPr>
      </w:pPr>
    </w:p>
    <w:p w:rsidR="00925AC4" w:rsidRDefault="00285E1E" w:rsidP="008E7712">
      <w:pPr>
        <w:ind w:leftChars="200" w:left="560" w:firstLineChars="0" w:firstLine="0"/>
        <w:rPr>
          <w:rFonts w:ascii="仿宋" w:eastAsia="仿宋" w:hAnsi="仿宋" w:cs="仿宋"/>
          <w:color w:val="0000FF"/>
        </w:rPr>
      </w:pPr>
      <w:r>
        <w:rPr>
          <w:rFonts w:ascii="仿宋" w:eastAsia="仿宋" w:hAnsi="仿宋" w:cs="仿宋" w:hint="eastAsia"/>
          <w:noProof/>
          <w:color w:val="0000FF"/>
          <w:szCs w:val="20"/>
        </w:rPr>
        <w:drawing>
          <wp:anchor distT="0" distB="0" distL="114300" distR="114300" simplePos="0" relativeHeight="251661312" behindDoc="0" locked="0" layoutInCell="1" allowOverlap="1">
            <wp:simplePos x="0" y="0"/>
            <wp:positionH relativeFrom="column">
              <wp:posOffset>3495675</wp:posOffset>
            </wp:positionH>
            <wp:positionV relativeFrom="paragraph">
              <wp:posOffset>132080</wp:posOffset>
            </wp:positionV>
            <wp:extent cx="1770380" cy="1948815"/>
            <wp:effectExtent l="0" t="0" r="1270" b="13335"/>
            <wp:wrapNone/>
            <wp:docPr id="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pic:cNvPicPr>
                      <a:picLocks noChangeAspect="1"/>
                    </pic:cNvPicPr>
                  </pic:nvPicPr>
                  <pic:blipFill>
                    <a:blip r:embed="rId19" cstate="print"/>
                    <a:stretch>
                      <a:fillRect/>
                    </a:stretch>
                  </pic:blipFill>
                  <pic:spPr>
                    <a:xfrm>
                      <a:off x="0" y="0"/>
                      <a:ext cx="1770380" cy="1948815"/>
                    </a:xfrm>
                    <a:prstGeom prst="rect">
                      <a:avLst/>
                    </a:prstGeom>
                    <a:noFill/>
                    <a:ln>
                      <a:noFill/>
                    </a:ln>
                  </pic:spPr>
                </pic:pic>
              </a:graphicData>
            </a:graphic>
          </wp:anchor>
        </w:drawing>
      </w:r>
      <w:r>
        <w:rPr>
          <w:rFonts w:ascii="仿宋" w:eastAsia="仿宋" w:hAnsi="仿宋" w:cs="仿宋" w:hint="eastAsia"/>
          <w:noProof/>
          <w:color w:val="0000FF"/>
          <w:szCs w:val="20"/>
        </w:rPr>
        <w:drawing>
          <wp:anchor distT="0" distB="0" distL="114300" distR="114300" simplePos="0" relativeHeight="251660288" behindDoc="0" locked="0" layoutInCell="1" allowOverlap="1">
            <wp:simplePos x="0" y="0"/>
            <wp:positionH relativeFrom="column">
              <wp:posOffset>361315</wp:posOffset>
            </wp:positionH>
            <wp:positionV relativeFrom="paragraph">
              <wp:posOffset>133985</wp:posOffset>
            </wp:positionV>
            <wp:extent cx="2107565" cy="1799590"/>
            <wp:effectExtent l="0" t="0" r="6985" b="10160"/>
            <wp:wrapNone/>
            <wp:docPr id="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pic:cNvPicPr>
                      <a:picLocks noChangeAspect="1"/>
                    </pic:cNvPicPr>
                  </pic:nvPicPr>
                  <pic:blipFill>
                    <a:blip r:embed="rId20" cstate="print"/>
                    <a:stretch>
                      <a:fillRect/>
                    </a:stretch>
                  </pic:blipFill>
                  <pic:spPr>
                    <a:xfrm>
                      <a:off x="0" y="0"/>
                      <a:ext cx="2107565" cy="1799590"/>
                    </a:xfrm>
                    <a:prstGeom prst="rect">
                      <a:avLst/>
                    </a:prstGeom>
                    <a:noFill/>
                    <a:ln>
                      <a:noFill/>
                    </a:ln>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pPr>
        <w:ind w:firstLineChars="0" w:firstLine="0"/>
        <w:rPr>
          <w:rFonts w:ascii="仿宋" w:eastAsia="仿宋" w:hAnsi="仿宋" w:cs="仿宋"/>
          <w:color w:val="0000FF"/>
        </w:rPr>
      </w:pPr>
      <w:r>
        <w:rPr>
          <w:rFonts w:ascii="仿宋" w:eastAsia="仿宋" w:hAnsi="仿宋" w:cs="仿宋" w:hint="eastAsia"/>
          <w:color w:val="0000FF"/>
        </w:rPr>
        <w:t xml:space="preserve">                                               </w:t>
      </w:r>
    </w:p>
    <w:p w:rsidR="00925AC4" w:rsidRDefault="00925AC4" w:rsidP="008E7712">
      <w:pPr>
        <w:ind w:firstLine="560"/>
        <w:jc w:val="center"/>
        <w:rPr>
          <w:rFonts w:ascii="仿宋" w:eastAsia="仿宋" w:hAnsi="仿宋" w:cs="仿宋"/>
          <w:color w:val="0000FF"/>
        </w:rPr>
      </w:pP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图</w:t>
      </w:r>
      <w:hyperlink r:id="rId21" w:history="1">
        <w:r>
          <w:rPr>
            <w:rFonts w:ascii="仿宋" w:eastAsia="仿宋" w:hAnsi="仿宋" w:cs="仿宋" w:hint="eastAsia"/>
            <w:color w:val="auto"/>
            <w:sz w:val="24"/>
            <w:szCs w:val="24"/>
          </w:rPr>
          <w:t>3.1.2.1</w:t>
        </w:r>
      </w:hyperlink>
      <w:r>
        <w:rPr>
          <w:rFonts w:ascii="仿宋" w:eastAsia="仿宋" w:hAnsi="仿宋" w:cs="仿宋" w:hint="eastAsia"/>
          <w:color w:val="auto"/>
          <w:sz w:val="24"/>
          <w:szCs w:val="24"/>
        </w:rPr>
        <w:t>主采光面</w:t>
      </w:r>
      <w:r>
        <w:rPr>
          <w:rFonts w:ascii="仿宋" w:eastAsia="仿宋" w:hAnsi="仿宋" w:cs="仿宋" w:hint="eastAsia"/>
          <w:color w:val="auto"/>
          <w:sz w:val="24"/>
          <w:szCs w:val="24"/>
        </w:rPr>
        <w:t>(</w:t>
      </w:r>
      <w:r>
        <w:rPr>
          <w:rFonts w:ascii="仿宋" w:eastAsia="仿宋" w:hAnsi="仿宋" w:cs="仿宋" w:hint="eastAsia"/>
          <w:color w:val="auto"/>
          <w:sz w:val="24"/>
          <w:szCs w:val="24"/>
        </w:rPr>
        <w:t>长边</w:t>
      </w:r>
      <w:r>
        <w:rPr>
          <w:rFonts w:ascii="仿宋" w:eastAsia="仿宋" w:hAnsi="仿宋" w:cs="仿宋" w:hint="eastAsia"/>
          <w:color w:val="auto"/>
          <w:sz w:val="24"/>
          <w:szCs w:val="24"/>
        </w:rPr>
        <w:t>)</w:t>
      </w:r>
      <w:r>
        <w:rPr>
          <w:rFonts w:ascii="仿宋" w:eastAsia="仿宋" w:hAnsi="仿宋" w:cs="仿宋" w:hint="eastAsia"/>
          <w:color w:val="auto"/>
          <w:sz w:val="24"/>
          <w:szCs w:val="24"/>
        </w:rPr>
        <w:t>平行相对布置间距</w:t>
      </w:r>
      <w:r>
        <w:rPr>
          <w:rFonts w:ascii="仿宋" w:eastAsia="仿宋" w:hAnsi="仿宋" w:cs="仿宋" w:hint="eastAsia"/>
          <w:color w:val="auto"/>
          <w:sz w:val="24"/>
          <w:szCs w:val="24"/>
        </w:rPr>
        <w:t>(</w:t>
      </w:r>
      <w:r>
        <w:rPr>
          <w:rFonts w:ascii="仿宋" w:eastAsia="仿宋" w:hAnsi="仿宋" w:cs="仿宋" w:hint="eastAsia"/>
          <w:color w:val="auto"/>
          <w:sz w:val="24"/>
          <w:szCs w:val="24"/>
        </w:rPr>
        <w:t>平地</w:t>
      </w:r>
      <w:r>
        <w:rPr>
          <w:rFonts w:ascii="仿宋" w:eastAsia="仿宋" w:hAnsi="仿宋" w:cs="仿宋" w:hint="eastAsia"/>
          <w:color w:val="auto"/>
          <w:sz w:val="24"/>
          <w:szCs w:val="24"/>
        </w:rPr>
        <w:t>)</w:t>
      </w:r>
    </w:p>
    <w:p w:rsidR="00925AC4" w:rsidRDefault="00925AC4" w:rsidP="008E7712">
      <w:pPr>
        <w:ind w:firstLine="560"/>
        <w:rPr>
          <w:rFonts w:ascii="仿宋" w:eastAsia="仿宋" w:hAnsi="仿宋" w:cs="仿宋"/>
          <w:color w:val="auto"/>
        </w:rPr>
      </w:pPr>
      <w:r w:rsidRPr="00925AC4">
        <w:rPr>
          <w:rFonts w:ascii="仿宋" w:eastAsia="仿宋" w:hAnsi="仿宋" w:cs="仿宋"/>
          <w:color w:val="auto"/>
        </w:rPr>
        <w:pict>
          <v:shapetype id="_x0000_t202" coordsize="21600,21600" o:spt="202" path="m,l,21600r21600,l21600,xe">
            <v:stroke joinstyle="miter"/>
            <v:path gradientshapeok="t" o:connecttype="rect"/>
          </v:shapetype>
          <v:shape id="TextBox 4" o:spid="_x0000_s1026" type="#_x0000_t202" style="position:absolute;left:0;text-align:left;margin-left:214.85pt;margin-top:239.4pt;width:22.4pt;height:15.4pt;rotation:-90;z-index:251659264;mso-position-horizontal-relative:page;mso-position-vertical-relative:page" o:gfxdata="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EhfgbaAAAACwEAAA8AAAAAAAAAAQAgAAAAIgAAAGRycy9k&#10;b3ducmV2LnhtbFBLAQIUABQAAAAIAIdO4kCrIHU/OQIAAHkEAAAOAAAAAAAAAAEAIAAAACkBAABk&#10;cnMvZTJvRG9jLnhtbFBLBQYAAAAABgAGAFkBAADUBQAAAAA=&#10;" o:allowincell="f" filled="f" stroked="f" strokeweight="0">
            <v:textbox inset="0,0,0,0">
              <w:txbxContent>
                <w:p w:rsidR="00925AC4" w:rsidRDefault="00285E1E" w:rsidP="008E7712">
                  <w:pPr>
                    <w:spacing w:before="59" w:line="222" w:lineRule="auto"/>
                    <w:ind w:left="20" w:firstLine="398"/>
                    <w:rPr>
                      <w:sz w:val="19"/>
                      <w:szCs w:val="19"/>
                    </w:rPr>
                  </w:pPr>
                  <w:r>
                    <w:rPr>
                      <w:spacing w:val="9"/>
                      <w:sz w:val="19"/>
                      <w:szCs w:val="19"/>
                    </w:rPr>
                    <w:t>x(</w:t>
                  </w:r>
                  <w:r>
                    <w:rPr>
                      <w:spacing w:val="9"/>
                      <w:sz w:val="19"/>
                      <w:szCs w:val="19"/>
                    </w:rPr>
                    <w:t>以</w:t>
                  </w:r>
                </w:p>
              </w:txbxContent>
            </v:textbox>
            <w10:wrap anchorx="page" anchory="page"/>
          </v:shape>
        </w:pict>
      </w:r>
      <w:r w:rsidR="00285E1E">
        <w:rPr>
          <w:rFonts w:ascii="仿宋" w:eastAsia="仿宋" w:hAnsi="仿宋" w:cs="仿宋" w:hint="eastAsia"/>
          <w:color w:val="auto"/>
        </w:rPr>
        <w:t>建筑</w:t>
      </w:r>
      <w:r w:rsidR="00285E1E">
        <w:rPr>
          <w:rFonts w:ascii="仿宋" w:eastAsia="仿宋" w:hAnsi="仿宋" w:cs="仿宋" w:hint="eastAsia"/>
          <w:color w:val="auto"/>
        </w:rPr>
        <w:t>A(</w:t>
      </w:r>
      <w:r w:rsidR="00285E1E">
        <w:rPr>
          <w:rFonts w:ascii="仿宋" w:eastAsia="仿宋" w:hAnsi="仿宋" w:cs="仿宋" w:hint="eastAsia"/>
          <w:color w:val="auto"/>
        </w:rPr>
        <w:t>多层</w:t>
      </w:r>
      <w:r w:rsidR="00285E1E">
        <w:rPr>
          <w:rFonts w:ascii="仿宋" w:eastAsia="仿宋" w:hAnsi="仿宋" w:cs="仿宋" w:hint="eastAsia"/>
          <w:color w:val="auto"/>
        </w:rPr>
        <w:t>),</w:t>
      </w:r>
      <w:r w:rsidR="00285E1E">
        <w:rPr>
          <w:rFonts w:ascii="仿宋" w:eastAsia="仿宋" w:hAnsi="仿宋" w:cs="仿宋" w:hint="eastAsia"/>
          <w:color w:val="auto"/>
        </w:rPr>
        <w:t>半间距：</w:t>
      </w:r>
      <w:r w:rsidR="00285E1E">
        <w:rPr>
          <w:rFonts w:ascii="仿宋" w:eastAsia="仿宋" w:hAnsi="仿宋" w:cs="仿宋" w:hint="eastAsia"/>
          <w:color w:val="auto"/>
        </w:rPr>
        <w:t>L1=H1/2</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建筑</w:t>
      </w:r>
      <w:r>
        <w:rPr>
          <w:rFonts w:ascii="仿宋" w:eastAsia="仿宋" w:hAnsi="仿宋" w:cs="仿宋" w:hint="eastAsia"/>
          <w:color w:val="auto"/>
        </w:rPr>
        <w:t>B(</w:t>
      </w:r>
      <w:r>
        <w:rPr>
          <w:rFonts w:ascii="仿宋" w:eastAsia="仿宋" w:hAnsi="仿宋" w:cs="仿宋" w:hint="eastAsia"/>
          <w:color w:val="auto"/>
        </w:rPr>
        <w:t>高层</w:t>
      </w:r>
      <w:r>
        <w:rPr>
          <w:rFonts w:ascii="仿宋" w:eastAsia="仿宋" w:hAnsi="仿宋" w:cs="仿宋" w:hint="eastAsia"/>
          <w:color w:val="auto"/>
        </w:rPr>
        <w:t>),</w:t>
      </w:r>
      <w:r>
        <w:rPr>
          <w:rFonts w:ascii="仿宋" w:eastAsia="仿宋" w:hAnsi="仿宋" w:cs="仿宋" w:hint="eastAsia"/>
          <w:color w:val="auto"/>
        </w:rPr>
        <w:t>半间距：</w:t>
      </w:r>
      <w:r>
        <w:rPr>
          <w:rFonts w:ascii="仿宋" w:eastAsia="仿宋" w:hAnsi="仿宋" w:cs="仿宋" w:hint="eastAsia"/>
          <w:color w:val="auto"/>
        </w:rPr>
        <w:t>L2=13.5+(H2-27)/3</w:t>
      </w:r>
      <w:r>
        <w:rPr>
          <w:rFonts w:ascii="仿宋" w:eastAsia="仿宋" w:hAnsi="仿宋" w:cs="仿宋" w:hint="eastAsia"/>
          <w:color w:val="auto"/>
        </w:rPr>
        <w:t>×</w:t>
      </w:r>
      <w:r>
        <w:rPr>
          <w:rFonts w:ascii="仿宋" w:eastAsia="仿宋" w:hAnsi="仿宋" w:cs="仿宋" w:hint="eastAsia"/>
          <w:color w:val="auto"/>
        </w:rPr>
        <w:t>0.15</w:t>
      </w:r>
    </w:p>
    <w:p w:rsidR="00925AC4" w:rsidRDefault="00285E1E" w:rsidP="008E7712">
      <w:pPr>
        <w:ind w:firstLine="560"/>
        <w:rPr>
          <w:rFonts w:ascii="仿宋" w:eastAsia="仿宋" w:hAnsi="仿宋" w:cs="仿宋"/>
          <w:color w:val="auto"/>
        </w:rPr>
      </w:pPr>
      <w:r>
        <w:rPr>
          <w:rFonts w:ascii="仿宋" w:eastAsia="仿宋" w:hAnsi="仿宋" w:cs="仿宋" w:hint="eastAsia"/>
          <w:noProof/>
          <w:color w:val="auto"/>
        </w:rPr>
        <w:drawing>
          <wp:anchor distT="0" distB="0" distL="114300" distR="114300" simplePos="0" relativeHeight="251662336" behindDoc="0" locked="0" layoutInCell="1" allowOverlap="1">
            <wp:simplePos x="0" y="0"/>
            <wp:positionH relativeFrom="column">
              <wp:posOffset>255905</wp:posOffset>
            </wp:positionH>
            <wp:positionV relativeFrom="paragraph">
              <wp:posOffset>302260</wp:posOffset>
            </wp:positionV>
            <wp:extent cx="1729740" cy="2330450"/>
            <wp:effectExtent l="0" t="0" r="3810" b="12700"/>
            <wp:wrapNone/>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22" cstate="print"/>
                    <a:stretch>
                      <a:fillRect/>
                    </a:stretch>
                  </pic:blipFill>
                  <pic:spPr>
                    <a:xfrm>
                      <a:off x="0" y="0"/>
                      <a:ext cx="1729740" cy="2330450"/>
                    </a:xfrm>
                    <a:prstGeom prst="rect">
                      <a:avLst/>
                    </a:prstGeom>
                    <a:noFill/>
                    <a:ln>
                      <a:noFill/>
                    </a:ln>
                  </pic:spPr>
                </pic:pic>
              </a:graphicData>
            </a:graphic>
          </wp:anchor>
        </w:drawing>
      </w:r>
      <w:r>
        <w:rPr>
          <w:rFonts w:ascii="仿宋" w:eastAsia="仿宋" w:hAnsi="仿宋" w:cs="仿宋" w:hint="eastAsia"/>
          <w:color w:val="auto"/>
        </w:rPr>
        <w:t>两栋建筑间距为</w:t>
      </w:r>
      <w:r>
        <w:rPr>
          <w:rFonts w:ascii="仿宋" w:eastAsia="仿宋" w:hAnsi="仿宋" w:cs="仿宋" w:hint="eastAsia"/>
          <w:color w:val="auto"/>
        </w:rPr>
        <w:t>L=L1+L2</w:t>
      </w:r>
    </w:p>
    <w:p w:rsidR="00925AC4" w:rsidRDefault="00925AC4" w:rsidP="008E7712">
      <w:pPr>
        <w:ind w:firstLine="560"/>
        <w:rPr>
          <w:rFonts w:ascii="仿宋" w:eastAsia="仿宋" w:hAnsi="仿宋" w:cs="仿宋"/>
          <w:color w:val="0000FF"/>
        </w:rPr>
      </w:pPr>
    </w:p>
    <w:p w:rsidR="00925AC4" w:rsidRDefault="00285E1E" w:rsidP="008E7712">
      <w:pPr>
        <w:ind w:firstLine="560"/>
        <w:rPr>
          <w:rFonts w:ascii="仿宋" w:eastAsia="仿宋" w:hAnsi="仿宋" w:cs="仿宋"/>
          <w:color w:val="0000FF"/>
        </w:rPr>
      </w:pPr>
      <w:r>
        <w:rPr>
          <w:rFonts w:ascii="仿宋" w:eastAsia="仿宋" w:hAnsi="仿宋" w:cs="仿宋" w:hint="eastAsia"/>
          <w:noProof/>
          <w:color w:val="0000FF"/>
        </w:rPr>
        <w:drawing>
          <wp:anchor distT="0" distB="0" distL="114300" distR="114300" simplePos="0" relativeHeight="251663360" behindDoc="0" locked="0" layoutInCell="1" allowOverlap="1">
            <wp:simplePos x="0" y="0"/>
            <wp:positionH relativeFrom="column">
              <wp:posOffset>1981200</wp:posOffset>
            </wp:positionH>
            <wp:positionV relativeFrom="paragraph">
              <wp:posOffset>283210</wp:posOffset>
            </wp:positionV>
            <wp:extent cx="3407410" cy="846455"/>
            <wp:effectExtent l="0" t="0" r="2540" b="10795"/>
            <wp:wrapNone/>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pic:cNvPicPr>
                  </pic:nvPicPr>
                  <pic:blipFill>
                    <a:blip r:embed="rId23" cstate="print"/>
                    <a:stretch>
                      <a:fillRect/>
                    </a:stretch>
                  </pic:blipFill>
                  <pic:spPr>
                    <a:xfrm>
                      <a:off x="0" y="0"/>
                      <a:ext cx="3407410" cy="846455"/>
                    </a:xfrm>
                    <a:prstGeom prst="rect">
                      <a:avLst/>
                    </a:prstGeom>
                    <a:noFill/>
                    <a:ln>
                      <a:noFill/>
                    </a:ln>
                  </pic:spPr>
                </pic:pic>
              </a:graphicData>
            </a:graphic>
          </wp:anchor>
        </w:drawing>
      </w:r>
    </w:p>
    <w:p w:rsidR="00925AC4" w:rsidRDefault="00285E1E" w:rsidP="008E7712">
      <w:pPr>
        <w:ind w:firstLine="440"/>
        <w:rPr>
          <w:rFonts w:ascii="仿宋" w:eastAsia="仿宋" w:hAnsi="仿宋" w:cs="仿宋"/>
          <w:color w:val="0000FF"/>
          <w:sz w:val="22"/>
          <w:szCs w:val="16"/>
        </w:rPr>
      </w:pPr>
      <w:r>
        <w:rPr>
          <w:rFonts w:ascii="仿宋" w:eastAsia="仿宋" w:hAnsi="仿宋" w:cs="仿宋" w:hint="eastAsia"/>
          <w:color w:val="0000FF"/>
          <w:sz w:val="22"/>
          <w:szCs w:val="16"/>
        </w:rPr>
        <w:t xml:space="preserve"> </w:t>
      </w:r>
    </w:p>
    <w:p w:rsidR="00925AC4" w:rsidRDefault="00925AC4" w:rsidP="008E7712">
      <w:pPr>
        <w:ind w:firstLine="440"/>
        <w:rPr>
          <w:rFonts w:ascii="仿宋" w:eastAsia="仿宋" w:hAnsi="仿宋" w:cs="仿宋"/>
          <w:color w:val="0000FF"/>
          <w:sz w:val="22"/>
          <w:szCs w:val="16"/>
        </w:rPr>
      </w:pPr>
    </w:p>
    <w:p w:rsidR="00925AC4" w:rsidRDefault="00925AC4" w:rsidP="008E7712">
      <w:pPr>
        <w:ind w:firstLine="440"/>
        <w:rPr>
          <w:rFonts w:ascii="仿宋" w:eastAsia="仿宋" w:hAnsi="仿宋" w:cs="仿宋"/>
          <w:color w:val="0000FF"/>
          <w:sz w:val="22"/>
          <w:szCs w:val="16"/>
        </w:rPr>
      </w:pPr>
    </w:p>
    <w:p w:rsidR="00925AC4" w:rsidRDefault="00925AC4" w:rsidP="008E7712">
      <w:pPr>
        <w:ind w:firstLine="440"/>
        <w:rPr>
          <w:rFonts w:ascii="仿宋" w:eastAsia="仿宋" w:hAnsi="仿宋" w:cs="仿宋"/>
          <w:color w:val="0000FF"/>
          <w:sz w:val="22"/>
          <w:szCs w:val="16"/>
        </w:rPr>
      </w:pPr>
    </w:p>
    <w:p w:rsidR="00925AC4" w:rsidRDefault="00925AC4" w:rsidP="008E7712">
      <w:pPr>
        <w:ind w:firstLine="440"/>
        <w:rPr>
          <w:rFonts w:ascii="仿宋" w:eastAsia="仿宋" w:hAnsi="仿宋" w:cs="仿宋"/>
          <w:color w:val="0000FF"/>
          <w:sz w:val="22"/>
          <w:szCs w:val="16"/>
        </w:rPr>
      </w:pPr>
    </w:p>
    <w:p w:rsidR="00925AC4" w:rsidRDefault="00925AC4" w:rsidP="008E7712">
      <w:pPr>
        <w:ind w:firstLine="440"/>
        <w:rPr>
          <w:rFonts w:ascii="仿宋" w:eastAsia="仿宋" w:hAnsi="仿宋" w:cs="仿宋"/>
          <w:color w:val="0000FF"/>
          <w:sz w:val="22"/>
          <w:szCs w:val="16"/>
        </w:rPr>
      </w:pPr>
    </w:p>
    <w:p w:rsidR="00925AC4" w:rsidRDefault="00285E1E">
      <w:pPr>
        <w:ind w:firstLineChars="0" w:firstLine="0"/>
        <w:jc w:val="center"/>
        <w:rPr>
          <w:rFonts w:ascii="仿宋" w:eastAsia="仿宋" w:hAnsi="仿宋" w:cs="仿宋"/>
          <w:color w:val="0000FF"/>
          <w:sz w:val="22"/>
          <w:szCs w:val="16"/>
        </w:rPr>
      </w:pPr>
      <w:r>
        <w:rPr>
          <w:rFonts w:ascii="仿宋" w:eastAsia="仿宋" w:hAnsi="仿宋" w:cs="仿宋" w:hint="eastAsia"/>
          <w:color w:val="auto"/>
          <w:sz w:val="22"/>
          <w:szCs w:val="16"/>
        </w:rPr>
        <w:t>图</w:t>
      </w:r>
      <w:hyperlink r:id="rId24" w:history="1">
        <w:r>
          <w:rPr>
            <w:rFonts w:ascii="仿宋" w:eastAsia="仿宋" w:hAnsi="仿宋" w:cs="仿宋" w:hint="eastAsia"/>
            <w:color w:val="auto"/>
            <w:sz w:val="22"/>
            <w:szCs w:val="16"/>
          </w:rPr>
          <w:t>3.1.2.2</w:t>
        </w:r>
      </w:hyperlink>
      <w:r>
        <w:rPr>
          <w:rFonts w:ascii="仿宋" w:eastAsia="仿宋" w:hAnsi="仿宋" w:cs="仿宋" w:hint="eastAsia"/>
          <w:color w:val="auto"/>
          <w:sz w:val="22"/>
          <w:szCs w:val="16"/>
        </w:rPr>
        <w:t>主采光面与非主采光面相对布置间距</w:t>
      </w:r>
      <w:r>
        <w:rPr>
          <w:rFonts w:ascii="仿宋" w:eastAsia="仿宋" w:hAnsi="仿宋" w:cs="仿宋" w:hint="eastAsia"/>
          <w:color w:val="auto"/>
          <w:sz w:val="22"/>
          <w:szCs w:val="16"/>
        </w:rPr>
        <w:t xml:space="preserve">  </w:t>
      </w:r>
      <w:r>
        <w:rPr>
          <w:rFonts w:ascii="仿宋" w:eastAsia="仿宋" w:hAnsi="仿宋" w:cs="仿宋" w:hint="eastAsia"/>
          <w:color w:val="auto"/>
          <w:sz w:val="22"/>
          <w:szCs w:val="16"/>
        </w:rPr>
        <w:t>图</w:t>
      </w:r>
      <w:r>
        <w:rPr>
          <w:rFonts w:ascii="仿宋" w:eastAsia="仿宋" w:hAnsi="仿宋" w:cs="仿宋" w:hint="eastAsia"/>
          <w:color w:val="auto"/>
          <w:sz w:val="22"/>
          <w:szCs w:val="16"/>
        </w:rPr>
        <w:t>3.1.2.3</w:t>
      </w:r>
      <w:r>
        <w:rPr>
          <w:rFonts w:ascii="仿宋" w:eastAsia="仿宋" w:hAnsi="仿宋" w:cs="仿宋" w:hint="eastAsia"/>
          <w:color w:val="auto"/>
          <w:sz w:val="22"/>
          <w:szCs w:val="16"/>
        </w:rPr>
        <w:t>两个非主采光面相对布置间距</w:t>
      </w:r>
    </w:p>
    <w:p w:rsidR="00925AC4" w:rsidRDefault="00925AC4">
      <w:pPr>
        <w:ind w:firstLineChars="0" w:firstLine="0"/>
        <w:jc w:val="center"/>
        <w:rPr>
          <w:rFonts w:ascii="仿宋" w:eastAsia="仿宋" w:hAnsi="仿宋" w:cs="仿宋"/>
          <w:color w:val="0000FF"/>
          <w:sz w:val="22"/>
          <w:szCs w:val="16"/>
        </w:rPr>
      </w:pPr>
    </w:p>
    <w:p w:rsidR="00925AC4" w:rsidRDefault="00285E1E">
      <w:pPr>
        <w:numPr>
          <w:ilvl w:val="0"/>
          <w:numId w:val="24"/>
        </w:numPr>
        <w:ind w:firstLine="560"/>
        <w:rPr>
          <w:rFonts w:ascii="仿宋" w:eastAsia="仿宋" w:hAnsi="仿宋" w:cs="仿宋"/>
          <w:color w:val="auto"/>
        </w:rPr>
      </w:pPr>
      <w:r>
        <w:rPr>
          <w:rFonts w:ascii="仿宋" w:eastAsia="仿宋" w:hAnsi="仿宋" w:cs="仿宋" w:hint="eastAsia"/>
          <w:color w:val="auto"/>
        </w:rPr>
        <w:t>相邻住宅建筑，高层主采光面、多低层长边相对成角度布置时的最小间距</w:t>
      </w:r>
      <w:r>
        <w:rPr>
          <w:rFonts w:ascii="仿宋" w:eastAsia="仿宋" w:hAnsi="仿宋" w:cs="仿宋" w:hint="eastAsia"/>
          <w:color w:val="auto"/>
        </w:rPr>
        <w:t>L(</w:t>
      </w:r>
      <w:r>
        <w:rPr>
          <w:rFonts w:ascii="仿宋" w:eastAsia="仿宋" w:hAnsi="仿宋" w:cs="仿宋" w:hint="eastAsia"/>
          <w:color w:val="auto"/>
        </w:rPr>
        <w:t>详见图</w:t>
      </w:r>
      <w:hyperlink r:id="rId25" w:history="1">
        <w:r>
          <w:rPr>
            <w:rFonts w:ascii="仿宋" w:eastAsia="仿宋" w:hAnsi="仿宋" w:cs="仿宋" w:hint="eastAsia"/>
            <w:color w:val="auto"/>
          </w:rPr>
          <w:t>3.1.2.4</w:t>
        </w:r>
      </w:hyperlink>
      <w:r>
        <w:rPr>
          <w:rFonts w:ascii="仿宋" w:eastAsia="仿宋" w:hAnsi="仿宋" w:cs="仿宋" w:hint="eastAsia"/>
          <w:color w:val="auto"/>
        </w:rPr>
        <w:t>)</w:t>
      </w:r>
      <w:r>
        <w:rPr>
          <w:rFonts w:ascii="仿宋" w:eastAsia="仿宋" w:hAnsi="仿宋" w:cs="仿宋" w:hint="eastAsia"/>
          <w:color w:val="auto"/>
        </w:rPr>
        <w:t>按表</w:t>
      </w:r>
      <w:hyperlink r:id="rId26" w:history="1">
        <w:r>
          <w:rPr>
            <w:rFonts w:ascii="仿宋" w:eastAsia="仿宋" w:hAnsi="仿宋" w:cs="仿宋" w:hint="eastAsia"/>
            <w:color w:val="auto"/>
          </w:rPr>
          <w:t>3.1.2.2</w:t>
        </w:r>
      </w:hyperlink>
      <w:r>
        <w:rPr>
          <w:rFonts w:ascii="仿宋" w:eastAsia="仿宋" w:hAnsi="仿宋" w:cs="仿宋" w:hint="eastAsia"/>
          <w:color w:val="auto"/>
        </w:rPr>
        <w:t>控制：</w:t>
      </w: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表</w:t>
      </w:r>
      <w:hyperlink r:id="rId27" w:history="1">
        <w:r>
          <w:rPr>
            <w:rFonts w:ascii="仿宋" w:eastAsia="仿宋" w:hAnsi="仿宋" w:cs="仿宋" w:hint="eastAsia"/>
            <w:color w:val="auto"/>
            <w:sz w:val="24"/>
            <w:szCs w:val="24"/>
          </w:rPr>
          <w:t>3.1.2.2</w:t>
        </w:r>
      </w:hyperlink>
      <w:r>
        <w:rPr>
          <w:rFonts w:ascii="仿宋" w:eastAsia="仿宋" w:hAnsi="仿宋" w:cs="仿宋" w:hint="eastAsia"/>
          <w:color w:val="auto"/>
          <w:sz w:val="24"/>
          <w:szCs w:val="24"/>
        </w:rPr>
        <w:t>成角度布置时的最小间距</w:t>
      </w:r>
      <w:r>
        <w:rPr>
          <w:rFonts w:ascii="仿宋" w:eastAsia="仿宋" w:hAnsi="仿宋" w:cs="仿宋" w:hint="eastAsia"/>
          <w:color w:val="auto"/>
          <w:sz w:val="24"/>
          <w:szCs w:val="24"/>
        </w:rPr>
        <w:t>(L)</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72"/>
        <w:gridCol w:w="6598"/>
      </w:tblGrid>
      <w:tr w:rsidR="00925AC4">
        <w:trPr>
          <w:trHeight w:val="454"/>
        </w:trPr>
        <w:tc>
          <w:tcPr>
            <w:tcW w:w="227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建筑间夹角</w:t>
            </w:r>
          </w:p>
        </w:tc>
        <w:tc>
          <w:tcPr>
            <w:tcW w:w="659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最小间距</w:t>
            </w:r>
          </w:p>
        </w:tc>
      </w:tr>
      <w:tr w:rsidR="00925AC4">
        <w:trPr>
          <w:trHeight w:val="454"/>
        </w:trPr>
        <w:tc>
          <w:tcPr>
            <w:tcW w:w="227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r>
              <w:rPr>
                <w:rFonts w:ascii="仿宋" w:eastAsia="仿宋" w:hAnsi="仿宋" w:cs="仿宋"/>
                <w:color w:val="auto"/>
              </w:rPr>
              <w:t>≤</w:t>
            </w:r>
            <w:r>
              <w:rPr>
                <w:rFonts w:ascii="仿宋" w:eastAsia="仿宋" w:hAnsi="仿宋" w:cs="仿宋"/>
                <w:color w:val="auto"/>
              </w:rPr>
              <w:t>30</w:t>
            </w:r>
            <w:r>
              <w:rPr>
                <w:rFonts w:ascii="仿宋" w:eastAsia="仿宋" w:hAnsi="仿宋" w:cs="仿宋"/>
                <w:color w:val="auto"/>
              </w:rPr>
              <w:t>°</w:t>
            </w:r>
          </w:p>
        </w:tc>
        <w:tc>
          <w:tcPr>
            <w:tcW w:w="659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按主采光面</w:t>
            </w:r>
            <w:r>
              <w:rPr>
                <w:rFonts w:ascii="仿宋" w:eastAsia="仿宋" w:hAnsi="仿宋" w:cs="仿宋"/>
                <w:color w:val="auto"/>
              </w:rPr>
              <w:t>(</w:t>
            </w:r>
            <w:r>
              <w:rPr>
                <w:rFonts w:ascii="仿宋" w:eastAsia="仿宋" w:hAnsi="仿宋" w:cs="仿宋"/>
                <w:color w:val="auto"/>
              </w:rPr>
              <w:t>长边</w:t>
            </w:r>
            <w:r>
              <w:rPr>
                <w:rFonts w:ascii="仿宋" w:eastAsia="仿宋" w:hAnsi="仿宋" w:cs="仿宋"/>
                <w:color w:val="auto"/>
              </w:rPr>
              <w:t>)</w:t>
            </w:r>
            <w:r>
              <w:rPr>
                <w:rFonts w:ascii="仿宋" w:eastAsia="仿宋" w:hAnsi="仿宋" w:cs="仿宋"/>
                <w:color w:val="auto"/>
              </w:rPr>
              <w:t>平行相对布置的规定控制</w:t>
            </w:r>
          </w:p>
        </w:tc>
      </w:tr>
      <w:tr w:rsidR="00925AC4">
        <w:trPr>
          <w:trHeight w:val="454"/>
        </w:trPr>
        <w:tc>
          <w:tcPr>
            <w:tcW w:w="227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30</w:t>
            </w:r>
            <w:r>
              <w:rPr>
                <w:rFonts w:ascii="仿宋" w:eastAsia="仿宋" w:hAnsi="仿宋" w:cs="仿宋"/>
                <w:color w:val="auto"/>
              </w:rPr>
              <w:t>°</w:t>
            </w:r>
            <w:r>
              <w:rPr>
                <w:rFonts w:ascii="仿宋" w:eastAsia="仿宋" w:hAnsi="仿宋" w:cs="仿宋"/>
                <w:color w:val="auto"/>
              </w:rPr>
              <w:t>&lt;a</w:t>
            </w:r>
            <w:r>
              <w:rPr>
                <w:rFonts w:ascii="仿宋" w:eastAsia="仿宋" w:hAnsi="仿宋" w:cs="仿宋"/>
                <w:color w:val="auto"/>
              </w:rPr>
              <w:t>≤</w:t>
            </w:r>
            <w:r>
              <w:rPr>
                <w:rFonts w:ascii="仿宋" w:eastAsia="仿宋" w:hAnsi="仿宋" w:cs="仿宋"/>
                <w:color w:val="auto"/>
              </w:rPr>
              <w:t>60</w:t>
            </w:r>
            <w:r>
              <w:rPr>
                <w:rFonts w:ascii="仿宋" w:eastAsia="仿宋" w:hAnsi="仿宋" w:cs="仿宋"/>
                <w:color w:val="auto"/>
              </w:rPr>
              <w:t>°</w:t>
            </w:r>
          </w:p>
        </w:tc>
        <w:tc>
          <w:tcPr>
            <w:tcW w:w="659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按主采光面</w:t>
            </w:r>
            <w:r>
              <w:rPr>
                <w:rFonts w:ascii="仿宋" w:eastAsia="仿宋" w:hAnsi="仿宋" w:cs="仿宋"/>
                <w:color w:val="auto"/>
              </w:rPr>
              <w:t>(</w:t>
            </w:r>
            <w:r>
              <w:rPr>
                <w:rFonts w:ascii="仿宋" w:eastAsia="仿宋" w:hAnsi="仿宋" w:cs="仿宋"/>
                <w:color w:val="auto"/>
              </w:rPr>
              <w:t>长边</w:t>
            </w:r>
            <w:r>
              <w:rPr>
                <w:rFonts w:ascii="仿宋" w:eastAsia="仿宋" w:hAnsi="仿宋" w:cs="仿宋"/>
                <w:color w:val="auto"/>
              </w:rPr>
              <w:t>)</w:t>
            </w:r>
            <w:r>
              <w:rPr>
                <w:rFonts w:ascii="仿宋" w:eastAsia="仿宋" w:hAnsi="仿宋" w:cs="仿宋"/>
                <w:color w:val="auto"/>
              </w:rPr>
              <w:t>平行相对布置规定间距的</w:t>
            </w:r>
            <w:r>
              <w:rPr>
                <w:rFonts w:ascii="仿宋" w:eastAsia="仿宋" w:hAnsi="仿宋" w:cs="仿宋"/>
                <w:color w:val="auto"/>
              </w:rPr>
              <w:t>0.5</w:t>
            </w:r>
            <w:r>
              <w:rPr>
                <w:rFonts w:ascii="仿宋" w:eastAsia="仿宋" w:hAnsi="仿宋" w:cs="仿宋"/>
                <w:color w:val="auto"/>
              </w:rPr>
              <w:t>倍控制，且不小于非主采光面</w:t>
            </w:r>
            <w:r>
              <w:rPr>
                <w:rFonts w:ascii="仿宋" w:eastAsia="仿宋" w:hAnsi="仿宋" w:cs="仿宋"/>
                <w:color w:val="auto"/>
              </w:rPr>
              <w:t>(</w:t>
            </w:r>
            <w:r>
              <w:rPr>
                <w:rFonts w:ascii="仿宋" w:eastAsia="仿宋" w:hAnsi="仿宋" w:cs="仿宋"/>
                <w:color w:val="auto"/>
              </w:rPr>
              <w:t>山墙</w:t>
            </w:r>
            <w:r>
              <w:rPr>
                <w:rFonts w:ascii="仿宋" w:eastAsia="仿宋" w:hAnsi="仿宋" w:cs="仿宋"/>
                <w:color w:val="auto"/>
              </w:rPr>
              <w:t>)</w:t>
            </w:r>
            <w:r>
              <w:rPr>
                <w:rFonts w:ascii="仿宋" w:eastAsia="仿宋" w:hAnsi="仿宋" w:cs="仿宋"/>
                <w:color w:val="auto"/>
              </w:rPr>
              <w:t>间距</w:t>
            </w:r>
          </w:p>
        </w:tc>
      </w:tr>
      <w:tr w:rsidR="00925AC4">
        <w:trPr>
          <w:trHeight w:val="454"/>
        </w:trPr>
        <w:tc>
          <w:tcPr>
            <w:tcW w:w="227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60</w:t>
            </w:r>
            <w:r>
              <w:rPr>
                <w:rFonts w:ascii="仿宋" w:eastAsia="仿宋" w:hAnsi="仿宋" w:cs="仿宋"/>
                <w:color w:val="auto"/>
              </w:rPr>
              <w:t>°</w:t>
            </w:r>
            <w:r>
              <w:rPr>
                <w:rFonts w:ascii="仿宋" w:eastAsia="仿宋" w:hAnsi="仿宋" w:cs="仿宋"/>
                <w:color w:val="auto"/>
              </w:rPr>
              <w:t>&lt;a</w:t>
            </w:r>
            <w:r>
              <w:rPr>
                <w:rFonts w:ascii="仿宋" w:eastAsia="仿宋" w:hAnsi="仿宋" w:cs="仿宋"/>
                <w:color w:val="auto"/>
              </w:rPr>
              <w:t>≤</w:t>
            </w:r>
            <w:r>
              <w:rPr>
                <w:rFonts w:ascii="仿宋" w:eastAsia="仿宋" w:hAnsi="仿宋" w:cs="仿宋"/>
                <w:color w:val="auto"/>
              </w:rPr>
              <w:t>90</w:t>
            </w:r>
            <w:r>
              <w:rPr>
                <w:rFonts w:ascii="仿宋" w:eastAsia="仿宋" w:hAnsi="仿宋" w:cs="仿宋"/>
                <w:color w:val="auto"/>
              </w:rPr>
              <w:t>°</w:t>
            </w:r>
          </w:p>
        </w:tc>
        <w:tc>
          <w:tcPr>
            <w:tcW w:w="659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按非主采光面</w:t>
            </w:r>
            <w:r>
              <w:rPr>
                <w:rFonts w:ascii="仿宋" w:eastAsia="仿宋" w:hAnsi="仿宋" w:cs="仿宋"/>
                <w:color w:val="auto"/>
              </w:rPr>
              <w:t>(</w:t>
            </w:r>
            <w:r>
              <w:rPr>
                <w:rFonts w:ascii="仿宋" w:eastAsia="仿宋" w:hAnsi="仿宋" w:cs="仿宋"/>
                <w:color w:val="auto"/>
              </w:rPr>
              <w:t>山墙</w:t>
            </w:r>
            <w:r>
              <w:rPr>
                <w:rFonts w:ascii="仿宋" w:eastAsia="仿宋" w:hAnsi="仿宋" w:cs="仿宋"/>
                <w:color w:val="auto"/>
              </w:rPr>
              <w:t>)</w:t>
            </w:r>
            <w:r>
              <w:rPr>
                <w:rFonts w:ascii="仿宋" w:eastAsia="仿宋" w:hAnsi="仿宋" w:cs="仿宋"/>
                <w:color w:val="auto"/>
              </w:rPr>
              <w:t>相对布置的规定控制</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r>
        <w:rPr>
          <w:rFonts w:ascii="仿宋" w:eastAsia="仿宋" w:hAnsi="仿宋" w:cs="仿宋" w:hint="eastAsia"/>
          <w:color w:val="auto"/>
        </w:rPr>
        <w:t>a</w:t>
      </w:r>
      <w:r>
        <w:rPr>
          <w:rFonts w:ascii="仿宋" w:eastAsia="仿宋" w:hAnsi="仿宋" w:cs="仿宋" w:hint="eastAsia"/>
          <w:color w:val="auto"/>
        </w:rPr>
        <w:t>指两栋住宅建筑间主采光面</w:t>
      </w:r>
      <w:r>
        <w:rPr>
          <w:rFonts w:ascii="仿宋" w:eastAsia="仿宋" w:hAnsi="仿宋" w:cs="仿宋" w:hint="eastAsia"/>
          <w:color w:val="auto"/>
        </w:rPr>
        <w:t>(</w:t>
      </w:r>
      <w:r>
        <w:rPr>
          <w:rFonts w:ascii="仿宋" w:eastAsia="仿宋" w:hAnsi="仿宋" w:cs="仿宋" w:hint="eastAsia"/>
          <w:color w:val="auto"/>
        </w:rPr>
        <w:t>长边</w:t>
      </w:r>
      <w:r>
        <w:rPr>
          <w:rFonts w:ascii="仿宋" w:eastAsia="仿宋" w:hAnsi="仿宋" w:cs="仿宋" w:hint="eastAsia"/>
          <w:color w:val="auto"/>
        </w:rPr>
        <w:t>)</w:t>
      </w:r>
      <w:r>
        <w:rPr>
          <w:rFonts w:ascii="仿宋" w:eastAsia="仿宋" w:hAnsi="仿宋" w:cs="仿宋" w:hint="eastAsia"/>
          <w:color w:val="auto"/>
        </w:rPr>
        <w:t>的锐角夹角</w:t>
      </w:r>
      <w:r>
        <w:rPr>
          <w:rFonts w:ascii="仿宋" w:eastAsia="仿宋" w:hAnsi="仿宋" w:cs="仿宋" w:hint="eastAsia"/>
          <w:color w:val="auto"/>
        </w:rPr>
        <w:t>(</w:t>
      </w:r>
      <w:r>
        <w:rPr>
          <w:rFonts w:ascii="仿宋" w:eastAsia="仿宋" w:hAnsi="仿宋" w:cs="仿宋" w:hint="eastAsia"/>
          <w:color w:val="auto"/>
        </w:rPr>
        <w:t>下同</w:t>
      </w:r>
      <w:r>
        <w:rPr>
          <w:rFonts w:ascii="仿宋" w:eastAsia="仿宋" w:hAnsi="仿宋" w:cs="仿宋" w:hint="eastAsia"/>
          <w:color w:val="auto"/>
        </w:rPr>
        <w:t>)</w:t>
      </w:r>
    </w:p>
    <w:p w:rsidR="00925AC4" w:rsidRDefault="00925AC4" w:rsidP="008E7712">
      <w:pPr>
        <w:pStyle w:val="ac"/>
        <w:ind w:firstLine="480"/>
        <w:rPr>
          <w:rFonts w:ascii="仿宋" w:eastAsia="仿宋" w:hAnsi="仿宋" w:cs="仿宋"/>
          <w:color w:val="auto"/>
        </w:rPr>
      </w:pPr>
    </w:p>
    <w:p w:rsidR="00925AC4" w:rsidRDefault="00285E1E">
      <w:pPr>
        <w:numPr>
          <w:ilvl w:val="0"/>
          <w:numId w:val="24"/>
        </w:numPr>
        <w:ind w:firstLine="560"/>
        <w:rPr>
          <w:rFonts w:ascii="仿宋" w:eastAsia="仿宋" w:hAnsi="仿宋" w:cs="仿宋"/>
          <w:color w:val="auto"/>
        </w:rPr>
      </w:pPr>
      <w:r>
        <w:rPr>
          <w:rFonts w:ascii="仿宋" w:eastAsia="仿宋" w:hAnsi="仿宋" w:cs="仿宋" w:hint="eastAsia"/>
          <w:color w:val="auto"/>
        </w:rPr>
        <w:lastRenderedPageBreak/>
        <w:t>相邻住宅建筑错位布置时的最小间距</w:t>
      </w:r>
      <w:r>
        <w:rPr>
          <w:rFonts w:ascii="仿宋" w:eastAsia="仿宋" w:hAnsi="仿宋" w:cs="仿宋" w:hint="eastAsia"/>
          <w:color w:val="auto"/>
        </w:rPr>
        <w:t>L(</w:t>
      </w:r>
      <w:r>
        <w:rPr>
          <w:rFonts w:ascii="仿宋" w:eastAsia="仿宋" w:hAnsi="仿宋" w:cs="仿宋" w:hint="eastAsia"/>
          <w:color w:val="auto"/>
        </w:rPr>
        <w:t>详见图</w:t>
      </w:r>
      <w:hyperlink r:id="rId28" w:history="1">
        <w:r>
          <w:rPr>
            <w:rFonts w:ascii="仿宋" w:eastAsia="仿宋" w:hAnsi="仿宋" w:cs="仿宋" w:hint="eastAsia"/>
            <w:color w:val="auto"/>
          </w:rPr>
          <w:t>3.1.2.5</w:t>
        </w:r>
      </w:hyperlink>
      <w:r>
        <w:rPr>
          <w:rFonts w:ascii="仿宋" w:eastAsia="仿宋" w:hAnsi="仿宋" w:cs="仿宋" w:hint="eastAsia"/>
          <w:color w:val="auto"/>
        </w:rPr>
        <w:t>)</w:t>
      </w:r>
      <w:r>
        <w:rPr>
          <w:rFonts w:ascii="仿宋" w:eastAsia="仿宋" w:hAnsi="仿宋" w:cs="仿宋" w:hint="eastAsia"/>
          <w:color w:val="auto"/>
        </w:rPr>
        <w:t>按表</w:t>
      </w:r>
      <w:hyperlink r:id="rId29" w:history="1">
        <w:r>
          <w:rPr>
            <w:rFonts w:ascii="仿宋" w:eastAsia="仿宋" w:hAnsi="仿宋" w:cs="仿宋" w:hint="eastAsia"/>
            <w:color w:val="auto"/>
          </w:rPr>
          <w:t>3.1.2.3</w:t>
        </w:r>
      </w:hyperlink>
      <w:r>
        <w:rPr>
          <w:rFonts w:ascii="仿宋" w:eastAsia="仿宋" w:hAnsi="仿宋" w:cs="仿宋" w:hint="eastAsia"/>
          <w:color w:val="auto"/>
        </w:rPr>
        <w:t>控制：</w:t>
      </w: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表</w:t>
      </w:r>
      <w:hyperlink r:id="rId30" w:history="1">
        <w:r>
          <w:rPr>
            <w:rFonts w:ascii="仿宋" w:eastAsia="仿宋" w:hAnsi="仿宋" w:cs="仿宋" w:hint="eastAsia"/>
            <w:color w:val="auto"/>
            <w:sz w:val="24"/>
            <w:szCs w:val="24"/>
          </w:rPr>
          <w:t>3.1.2.3</w:t>
        </w:r>
      </w:hyperlink>
      <w:r>
        <w:rPr>
          <w:rFonts w:ascii="仿宋" w:eastAsia="仿宋" w:hAnsi="仿宋" w:cs="仿宋" w:hint="eastAsia"/>
          <w:color w:val="auto"/>
          <w:sz w:val="24"/>
          <w:szCs w:val="24"/>
        </w:rPr>
        <w:t>错位布置时的最小间距</w:t>
      </w:r>
      <w:r>
        <w:rPr>
          <w:rFonts w:ascii="仿宋" w:eastAsia="仿宋" w:hAnsi="仿宋" w:cs="仿宋" w:hint="eastAsia"/>
          <w:color w:val="auto"/>
          <w:sz w:val="24"/>
          <w:szCs w:val="24"/>
        </w:rPr>
        <w:t>(L)</w:t>
      </w:r>
    </w:p>
    <w:tbl>
      <w:tblPr>
        <w:tblStyle w:val="TableNormal"/>
        <w:tblW w:w="8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1788"/>
        <w:gridCol w:w="1798"/>
        <w:gridCol w:w="1993"/>
      </w:tblGrid>
      <w:tr w:rsidR="00925AC4">
        <w:trPr>
          <w:trHeight w:val="454"/>
        </w:trPr>
        <w:tc>
          <w:tcPr>
            <w:tcW w:w="326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建筑层高类别</w:t>
            </w:r>
          </w:p>
        </w:tc>
        <w:tc>
          <w:tcPr>
            <w:tcW w:w="1788"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高层与高层</w:t>
            </w:r>
          </w:p>
        </w:tc>
        <w:tc>
          <w:tcPr>
            <w:tcW w:w="1798"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高层与多低层</w:t>
            </w:r>
          </w:p>
        </w:tc>
        <w:tc>
          <w:tcPr>
            <w:tcW w:w="199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多层与多低层</w:t>
            </w:r>
          </w:p>
        </w:tc>
      </w:tr>
      <w:tr w:rsidR="00925AC4">
        <w:trPr>
          <w:trHeight w:val="454"/>
        </w:trPr>
        <w:tc>
          <w:tcPr>
            <w:tcW w:w="326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最小间距建筑间夹角</w:t>
            </w:r>
          </w:p>
        </w:tc>
        <w:tc>
          <w:tcPr>
            <w:tcW w:w="1788"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798"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993" w:type="dxa"/>
            <w:vMerge/>
            <w:tcBorders>
              <w:top w:val="nil"/>
            </w:tcBorders>
            <w:vAlign w:val="center"/>
          </w:tcPr>
          <w:p w:rsidR="00925AC4" w:rsidRDefault="00925AC4">
            <w:pPr>
              <w:pStyle w:val="ab"/>
              <w:jc w:val="center"/>
              <w:rPr>
                <w:rFonts w:ascii="仿宋" w:eastAsia="仿宋" w:hAnsi="仿宋" w:cs="仿宋" w:hint="default"/>
                <w:color w:val="auto"/>
              </w:rPr>
            </w:pPr>
          </w:p>
        </w:tc>
      </w:tr>
      <w:tr w:rsidR="00925AC4">
        <w:trPr>
          <w:trHeight w:val="454"/>
        </w:trPr>
        <w:tc>
          <w:tcPr>
            <w:tcW w:w="326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a&lt;60</w:t>
            </w:r>
            <w:r>
              <w:rPr>
                <w:rFonts w:ascii="仿宋" w:eastAsia="仿宋" w:hAnsi="仿宋" w:cs="仿宋"/>
                <w:color w:val="auto"/>
              </w:rPr>
              <w:t>°</w:t>
            </w:r>
          </w:p>
        </w:tc>
        <w:tc>
          <w:tcPr>
            <w:tcW w:w="17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16m</w:t>
            </w:r>
          </w:p>
        </w:tc>
        <w:tc>
          <w:tcPr>
            <w:tcW w:w="179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9m</w:t>
            </w:r>
          </w:p>
        </w:tc>
        <w:tc>
          <w:tcPr>
            <w:tcW w:w="199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6m</w:t>
            </w:r>
          </w:p>
        </w:tc>
      </w:tr>
      <w:tr w:rsidR="00925AC4">
        <w:trPr>
          <w:trHeight w:val="454"/>
        </w:trPr>
        <w:tc>
          <w:tcPr>
            <w:tcW w:w="326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60</w:t>
            </w:r>
            <w:r>
              <w:rPr>
                <w:rFonts w:ascii="仿宋" w:eastAsia="仿宋" w:hAnsi="仿宋" w:cs="仿宋"/>
                <w:color w:val="auto"/>
              </w:rPr>
              <w:t>°</w:t>
            </w:r>
            <w:r>
              <w:rPr>
                <w:rFonts w:ascii="仿宋" w:eastAsia="仿宋" w:hAnsi="仿宋" w:cs="仿宋"/>
                <w:color w:val="auto"/>
              </w:rPr>
              <w:t>&lt;</w:t>
            </w:r>
            <w:r>
              <w:rPr>
                <w:rFonts w:ascii="仿宋" w:eastAsia="仿宋" w:hAnsi="仿宋" w:cs="仿宋"/>
                <w:color w:val="auto"/>
              </w:rPr>
              <w:t>a</w:t>
            </w:r>
            <w:r>
              <w:rPr>
                <w:rFonts w:ascii="仿宋" w:eastAsia="仿宋" w:hAnsi="仿宋" w:cs="仿宋"/>
                <w:color w:val="auto"/>
              </w:rPr>
              <w:t>≤</w:t>
            </w:r>
            <w:r>
              <w:rPr>
                <w:rFonts w:ascii="仿宋" w:eastAsia="仿宋" w:hAnsi="仿宋" w:cs="仿宋"/>
                <w:color w:val="auto"/>
              </w:rPr>
              <w:t>90</w:t>
            </w:r>
          </w:p>
        </w:tc>
        <w:tc>
          <w:tcPr>
            <w:tcW w:w="17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16m</w:t>
            </w:r>
          </w:p>
        </w:tc>
        <w:tc>
          <w:tcPr>
            <w:tcW w:w="179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16m</w:t>
            </w:r>
          </w:p>
        </w:tc>
        <w:tc>
          <w:tcPr>
            <w:tcW w:w="199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8m</w:t>
            </w:r>
          </w:p>
        </w:tc>
      </w:tr>
    </w:tbl>
    <w:p w:rsidR="00925AC4" w:rsidRDefault="00285E1E" w:rsidP="008E7712">
      <w:pPr>
        <w:ind w:firstLine="560"/>
        <w:rPr>
          <w:rFonts w:ascii="仿宋" w:eastAsia="仿宋" w:hAnsi="仿宋" w:cs="仿宋"/>
          <w:color w:val="auto"/>
        </w:rPr>
      </w:pPr>
      <w:r>
        <w:rPr>
          <w:rFonts w:ascii="仿宋" w:eastAsia="仿宋" w:hAnsi="仿宋" w:cs="仿宋" w:hint="eastAsia"/>
          <w:noProof/>
          <w:color w:val="auto"/>
        </w:rPr>
        <w:drawing>
          <wp:anchor distT="0" distB="0" distL="114300" distR="114300" simplePos="0" relativeHeight="251665408" behindDoc="0" locked="0" layoutInCell="1" allowOverlap="1">
            <wp:simplePos x="0" y="0"/>
            <wp:positionH relativeFrom="column">
              <wp:posOffset>3062605</wp:posOffset>
            </wp:positionH>
            <wp:positionV relativeFrom="paragraph">
              <wp:posOffset>266700</wp:posOffset>
            </wp:positionV>
            <wp:extent cx="2495550" cy="1781810"/>
            <wp:effectExtent l="0" t="0" r="0" b="8890"/>
            <wp:wrapNone/>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pic:cNvPicPr>
                  </pic:nvPicPr>
                  <pic:blipFill>
                    <a:blip r:embed="rId31" cstate="print"/>
                    <a:stretch>
                      <a:fillRect/>
                    </a:stretch>
                  </pic:blipFill>
                  <pic:spPr>
                    <a:xfrm>
                      <a:off x="0" y="0"/>
                      <a:ext cx="2495550" cy="1781810"/>
                    </a:xfrm>
                    <a:prstGeom prst="rect">
                      <a:avLst/>
                    </a:prstGeom>
                    <a:noFill/>
                    <a:ln>
                      <a:noFill/>
                    </a:ln>
                  </pic:spPr>
                </pic:pic>
              </a:graphicData>
            </a:graphic>
          </wp:anchor>
        </w:drawing>
      </w:r>
      <w:r>
        <w:rPr>
          <w:rFonts w:ascii="仿宋" w:eastAsia="仿宋" w:hAnsi="仿宋" w:cs="仿宋" w:hint="eastAsia"/>
          <w:noProof/>
          <w:color w:val="auto"/>
        </w:rPr>
        <w:drawing>
          <wp:anchor distT="0" distB="0" distL="114300" distR="114300" simplePos="0" relativeHeight="251664384" behindDoc="0" locked="0" layoutInCell="1" allowOverlap="1">
            <wp:simplePos x="0" y="0"/>
            <wp:positionH relativeFrom="column">
              <wp:posOffset>266065</wp:posOffset>
            </wp:positionH>
            <wp:positionV relativeFrom="paragraph">
              <wp:posOffset>135890</wp:posOffset>
            </wp:positionV>
            <wp:extent cx="1794510" cy="1918970"/>
            <wp:effectExtent l="0" t="0" r="15240" b="5080"/>
            <wp:wrapNone/>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pic:cNvPicPr>
                  </pic:nvPicPr>
                  <pic:blipFill>
                    <a:blip r:embed="rId32" cstate="print"/>
                    <a:stretch>
                      <a:fillRect/>
                    </a:stretch>
                  </pic:blipFill>
                  <pic:spPr>
                    <a:xfrm>
                      <a:off x="0" y="0"/>
                      <a:ext cx="1794510" cy="1918970"/>
                    </a:xfrm>
                    <a:prstGeom prst="rect">
                      <a:avLst/>
                    </a:prstGeom>
                    <a:noFill/>
                    <a:ln>
                      <a:noFill/>
                    </a:ln>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pPr>
        <w:ind w:firstLineChars="0" w:firstLine="0"/>
        <w:rPr>
          <w:rFonts w:ascii="仿宋" w:eastAsia="仿宋" w:hAnsi="仿宋" w:cs="仿宋"/>
          <w:color w:val="auto"/>
        </w:rPr>
      </w:pPr>
      <w:r>
        <w:rPr>
          <w:rFonts w:ascii="仿宋" w:eastAsia="仿宋" w:hAnsi="仿宋" w:cs="仿宋" w:hint="eastAsia"/>
          <w:color w:val="auto"/>
          <w:sz w:val="22"/>
          <w:szCs w:val="16"/>
        </w:rPr>
        <w:t>图</w:t>
      </w:r>
      <w:hyperlink r:id="rId33" w:history="1">
        <w:r>
          <w:rPr>
            <w:rFonts w:ascii="仿宋" w:eastAsia="仿宋" w:hAnsi="仿宋" w:cs="仿宋" w:hint="eastAsia"/>
            <w:color w:val="auto"/>
            <w:sz w:val="22"/>
            <w:szCs w:val="16"/>
          </w:rPr>
          <w:t>3.1.2.4</w:t>
        </w:r>
      </w:hyperlink>
      <w:r>
        <w:rPr>
          <w:rFonts w:ascii="仿宋" w:eastAsia="仿宋" w:hAnsi="仿宋" w:cs="仿宋" w:hint="eastAsia"/>
          <w:color w:val="auto"/>
          <w:sz w:val="22"/>
          <w:szCs w:val="16"/>
        </w:rPr>
        <w:t>:</w:t>
      </w:r>
      <w:r>
        <w:rPr>
          <w:rFonts w:ascii="仿宋" w:eastAsia="仿宋" w:hAnsi="仿宋" w:cs="仿宋" w:hint="eastAsia"/>
          <w:color w:val="auto"/>
          <w:sz w:val="22"/>
          <w:szCs w:val="16"/>
        </w:rPr>
        <w:t>主采光面</w:t>
      </w:r>
      <w:r>
        <w:rPr>
          <w:rFonts w:ascii="仿宋" w:eastAsia="仿宋" w:hAnsi="仿宋" w:cs="仿宋" w:hint="eastAsia"/>
          <w:color w:val="auto"/>
          <w:sz w:val="22"/>
          <w:szCs w:val="16"/>
        </w:rPr>
        <w:t>(</w:t>
      </w:r>
      <w:r>
        <w:rPr>
          <w:rFonts w:ascii="仿宋" w:eastAsia="仿宋" w:hAnsi="仿宋" w:cs="仿宋" w:hint="eastAsia"/>
          <w:color w:val="auto"/>
          <w:sz w:val="22"/>
          <w:szCs w:val="16"/>
        </w:rPr>
        <w:t>长边</w:t>
      </w:r>
      <w:r>
        <w:rPr>
          <w:rFonts w:ascii="仿宋" w:eastAsia="仿宋" w:hAnsi="仿宋" w:cs="仿宋" w:hint="eastAsia"/>
          <w:color w:val="auto"/>
          <w:sz w:val="22"/>
          <w:szCs w:val="16"/>
        </w:rPr>
        <w:t>)</w:t>
      </w:r>
      <w:r>
        <w:rPr>
          <w:rFonts w:ascii="仿宋" w:eastAsia="仿宋" w:hAnsi="仿宋" w:cs="仿宋" w:hint="eastAsia"/>
          <w:color w:val="auto"/>
          <w:sz w:val="22"/>
          <w:szCs w:val="16"/>
        </w:rPr>
        <w:t>相对成角度布置间距</w:t>
      </w:r>
      <w:r>
        <w:rPr>
          <w:rFonts w:ascii="仿宋" w:eastAsia="仿宋" w:hAnsi="仿宋" w:cs="仿宋" w:hint="eastAsia"/>
          <w:color w:val="auto"/>
          <w:sz w:val="22"/>
          <w:szCs w:val="16"/>
        </w:rPr>
        <w:t xml:space="preserve">  </w:t>
      </w:r>
      <w:r>
        <w:rPr>
          <w:rFonts w:ascii="仿宋" w:eastAsia="仿宋" w:hAnsi="仿宋" w:cs="仿宋" w:hint="eastAsia"/>
          <w:color w:val="auto"/>
          <w:sz w:val="22"/>
          <w:szCs w:val="16"/>
        </w:rPr>
        <w:t>图</w:t>
      </w:r>
      <w:r>
        <w:rPr>
          <w:rFonts w:ascii="仿宋" w:eastAsia="仿宋" w:hAnsi="仿宋" w:cs="仿宋" w:hint="eastAsia"/>
          <w:color w:val="auto"/>
          <w:sz w:val="22"/>
          <w:szCs w:val="16"/>
        </w:rPr>
        <w:t>3.1.2.5:</w:t>
      </w:r>
      <w:r>
        <w:rPr>
          <w:rFonts w:ascii="仿宋" w:eastAsia="仿宋" w:hAnsi="仿宋" w:cs="仿宋" w:hint="eastAsia"/>
          <w:color w:val="auto"/>
          <w:sz w:val="22"/>
          <w:szCs w:val="16"/>
        </w:rPr>
        <w:t>建筑错位布置时的最近点间距</w:t>
      </w:r>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noProof/>
          <w:color w:val="auto"/>
        </w:rPr>
        <w:drawing>
          <wp:anchor distT="0" distB="0" distL="114300" distR="114300" simplePos="0" relativeHeight="251667456" behindDoc="0" locked="0" layoutInCell="1" allowOverlap="1">
            <wp:simplePos x="0" y="0"/>
            <wp:positionH relativeFrom="column">
              <wp:posOffset>3272155</wp:posOffset>
            </wp:positionH>
            <wp:positionV relativeFrom="paragraph">
              <wp:posOffset>1012825</wp:posOffset>
            </wp:positionV>
            <wp:extent cx="2109470" cy="2322195"/>
            <wp:effectExtent l="0" t="0" r="5080" b="1905"/>
            <wp:wrapNone/>
            <wp:docPr id="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5"/>
                    <pic:cNvPicPr>
                      <a:picLocks noChangeAspect="1"/>
                    </pic:cNvPicPr>
                  </pic:nvPicPr>
                  <pic:blipFill>
                    <a:blip r:embed="rId19" cstate="print"/>
                    <a:stretch>
                      <a:fillRect/>
                    </a:stretch>
                  </pic:blipFill>
                  <pic:spPr>
                    <a:xfrm>
                      <a:off x="0" y="0"/>
                      <a:ext cx="2109470" cy="2322195"/>
                    </a:xfrm>
                    <a:prstGeom prst="rect">
                      <a:avLst/>
                    </a:prstGeom>
                    <a:noFill/>
                    <a:ln>
                      <a:noFill/>
                    </a:ln>
                  </pic:spPr>
                </pic:pic>
              </a:graphicData>
            </a:graphic>
          </wp:anchor>
        </w:drawing>
      </w:r>
      <w:r>
        <w:rPr>
          <w:rFonts w:ascii="仿宋" w:eastAsia="仿宋" w:hAnsi="仿宋" w:cs="仿宋" w:hint="eastAsia"/>
          <w:color w:val="auto"/>
        </w:rPr>
        <w:t>相邻住宅建筑底层标高不一致时</w:t>
      </w:r>
      <w:r>
        <w:rPr>
          <w:rFonts w:ascii="仿宋" w:eastAsia="仿宋" w:hAnsi="仿宋" w:cs="仿宋" w:hint="eastAsia"/>
          <w:color w:val="auto"/>
        </w:rPr>
        <w:t>(</w:t>
      </w:r>
      <w:r>
        <w:rPr>
          <w:rFonts w:ascii="仿宋" w:eastAsia="仿宋" w:hAnsi="仿宋" w:cs="仿宋" w:hint="eastAsia"/>
          <w:color w:val="auto"/>
        </w:rPr>
        <w:t>相邻住宅建筑中其中一栋屋顶标高在另一幢底层标高以下的除外</w:t>
      </w:r>
      <w:r>
        <w:rPr>
          <w:rFonts w:ascii="仿宋" w:eastAsia="仿宋" w:hAnsi="仿宋" w:cs="仿宋" w:hint="eastAsia"/>
          <w:color w:val="auto"/>
        </w:rPr>
        <w:t>),</w:t>
      </w:r>
      <w:r>
        <w:rPr>
          <w:rFonts w:ascii="仿宋" w:eastAsia="仿宋" w:hAnsi="仿宋" w:cs="仿宋" w:hint="eastAsia"/>
          <w:color w:val="auto"/>
        </w:rPr>
        <w:t>两者之间的间距须考虑地形高差，其相对布置时的最小间距</w:t>
      </w:r>
      <w:r>
        <w:rPr>
          <w:rFonts w:ascii="仿宋" w:eastAsia="仿宋" w:hAnsi="仿宋" w:cs="仿宋" w:hint="eastAsia"/>
          <w:color w:val="auto"/>
        </w:rPr>
        <w:t>L</w:t>
      </w:r>
      <w:r>
        <w:rPr>
          <w:rFonts w:ascii="仿宋" w:eastAsia="仿宋" w:hAnsi="仿宋" w:cs="仿宋" w:hint="eastAsia"/>
          <w:color w:val="auto"/>
        </w:rPr>
        <w:t>按图</w:t>
      </w:r>
      <w:r>
        <w:rPr>
          <w:rFonts w:ascii="仿宋" w:eastAsia="仿宋" w:hAnsi="仿宋" w:cs="仿宋" w:hint="eastAsia"/>
          <w:color w:val="auto"/>
        </w:rPr>
        <w:t>3.1.2.6</w:t>
      </w:r>
      <w:r>
        <w:rPr>
          <w:rFonts w:ascii="仿宋" w:eastAsia="仿宋" w:hAnsi="仿宋" w:cs="仿宋" w:hint="eastAsia"/>
          <w:color w:val="auto"/>
        </w:rPr>
        <w:t>所示控制。</w:t>
      </w:r>
    </w:p>
    <w:p w:rsidR="00925AC4" w:rsidRDefault="00285E1E" w:rsidP="008E7712">
      <w:pPr>
        <w:ind w:firstLine="560"/>
        <w:rPr>
          <w:rFonts w:ascii="仿宋" w:eastAsia="仿宋" w:hAnsi="仿宋" w:cs="仿宋"/>
          <w:color w:val="0000FF"/>
        </w:rPr>
      </w:pPr>
      <w:r>
        <w:rPr>
          <w:rFonts w:ascii="仿宋" w:eastAsia="仿宋" w:hAnsi="仿宋" w:cs="仿宋" w:hint="eastAsia"/>
          <w:noProof/>
          <w:color w:val="0000FF"/>
        </w:rPr>
        <w:drawing>
          <wp:anchor distT="0" distB="0" distL="114300" distR="114300" simplePos="0" relativeHeight="251666432" behindDoc="0" locked="0" layoutInCell="1" allowOverlap="1">
            <wp:simplePos x="0" y="0"/>
            <wp:positionH relativeFrom="column">
              <wp:posOffset>350520</wp:posOffset>
            </wp:positionH>
            <wp:positionV relativeFrom="paragraph">
              <wp:posOffset>53975</wp:posOffset>
            </wp:positionV>
            <wp:extent cx="2470150" cy="2135505"/>
            <wp:effectExtent l="0" t="0" r="6350" b="17145"/>
            <wp:wrapNone/>
            <wp:docPr id="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pic:cNvPicPr>
                      <a:picLocks noChangeAspect="1"/>
                    </pic:cNvPicPr>
                  </pic:nvPicPr>
                  <pic:blipFill>
                    <a:blip r:embed="rId34" cstate="print"/>
                    <a:stretch>
                      <a:fillRect/>
                    </a:stretch>
                  </pic:blipFill>
                  <pic:spPr>
                    <a:xfrm>
                      <a:off x="0" y="0"/>
                      <a:ext cx="2470150" cy="2135505"/>
                    </a:xfrm>
                    <a:prstGeom prst="rect">
                      <a:avLst/>
                    </a:prstGeom>
                    <a:noFill/>
                    <a:ln>
                      <a:noFill/>
                    </a:ln>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图</w:t>
      </w:r>
      <w:hyperlink r:id="rId35" w:history="1">
        <w:r>
          <w:rPr>
            <w:rFonts w:ascii="仿宋" w:eastAsia="仿宋" w:hAnsi="仿宋" w:cs="仿宋" w:hint="eastAsia"/>
            <w:color w:val="auto"/>
            <w:sz w:val="24"/>
            <w:szCs w:val="24"/>
          </w:rPr>
          <w:t>3.1.2.6</w:t>
        </w:r>
      </w:hyperlink>
      <w:r>
        <w:rPr>
          <w:rFonts w:ascii="仿宋" w:eastAsia="仿宋" w:hAnsi="仿宋" w:cs="仿宋" w:hint="eastAsia"/>
          <w:color w:val="auto"/>
          <w:sz w:val="24"/>
          <w:szCs w:val="24"/>
        </w:rPr>
        <w:t>:</w:t>
      </w:r>
      <w:r>
        <w:rPr>
          <w:rFonts w:ascii="仿宋" w:eastAsia="仿宋" w:hAnsi="仿宋" w:cs="仿宋" w:hint="eastAsia"/>
          <w:color w:val="auto"/>
          <w:sz w:val="24"/>
          <w:szCs w:val="24"/>
        </w:rPr>
        <w:t>主采光面平行相对布置间距</w:t>
      </w:r>
      <w:r>
        <w:rPr>
          <w:rFonts w:ascii="仿宋" w:eastAsia="仿宋" w:hAnsi="仿宋" w:cs="仿宋" w:hint="eastAsia"/>
          <w:color w:val="auto"/>
          <w:sz w:val="24"/>
          <w:szCs w:val="24"/>
        </w:rPr>
        <w:t>(</w:t>
      </w:r>
      <w:r>
        <w:rPr>
          <w:rFonts w:ascii="仿宋" w:eastAsia="仿宋" w:hAnsi="仿宋" w:cs="仿宋" w:hint="eastAsia"/>
          <w:color w:val="auto"/>
          <w:sz w:val="24"/>
          <w:szCs w:val="24"/>
        </w:rPr>
        <w:t>坡地</w:t>
      </w:r>
      <w:r>
        <w:rPr>
          <w:rFonts w:ascii="仿宋" w:eastAsia="仿宋" w:hAnsi="仿宋" w:cs="仿宋" w:hint="eastAsia"/>
          <w:color w:val="auto"/>
          <w:sz w:val="24"/>
          <w:szCs w:val="24"/>
        </w:rPr>
        <w:t>)</w:t>
      </w:r>
    </w:p>
    <w:p w:rsidR="00925AC4" w:rsidRDefault="00285E1E" w:rsidP="008E7712">
      <w:pPr>
        <w:ind w:firstLine="560"/>
        <w:jc w:val="both"/>
        <w:rPr>
          <w:rFonts w:ascii="仿宋" w:eastAsia="仿宋" w:hAnsi="仿宋" w:cs="仿宋"/>
          <w:color w:val="auto"/>
        </w:rPr>
      </w:pPr>
      <w:r>
        <w:rPr>
          <w:rFonts w:ascii="仿宋" w:eastAsia="仿宋" w:hAnsi="仿宋" w:cs="仿宋" w:hint="eastAsia"/>
          <w:color w:val="auto"/>
        </w:rPr>
        <w:t>建筑</w:t>
      </w:r>
      <w:r>
        <w:rPr>
          <w:rFonts w:ascii="仿宋" w:eastAsia="仿宋" w:hAnsi="仿宋" w:cs="仿宋" w:hint="eastAsia"/>
          <w:color w:val="auto"/>
        </w:rPr>
        <w:t>A(</w:t>
      </w:r>
      <w:r>
        <w:rPr>
          <w:rFonts w:ascii="仿宋" w:eastAsia="仿宋" w:hAnsi="仿宋" w:cs="仿宋" w:hint="eastAsia"/>
          <w:color w:val="auto"/>
        </w:rPr>
        <w:t>多层</w:t>
      </w:r>
      <w:r>
        <w:rPr>
          <w:rFonts w:ascii="仿宋" w:eastAsia="仿宋" w:hAnsi="仿宋" w:cs="仿宋" w:hint="eastAsia"/>
          <w:color w:val="auto"/>
        </w:rPr>
        <w:t>),</w:t>
      </w:r>
      <w:r>
        <w:rPr>
          <w:rFonts w:ascii="仿宋" w:eastAsia="仿宋" w:hAnsi="仿宋" w:cs="仿宋" w:hint="eastAsia"/>
          <w:color w:val="auto"/>
        </w:rPr>
        <w:t>半间距：</w:t>
      </w:r>
      <w:r>
        <w:rPr>
          <w:rFonts w:ascii="仿宋" w:eastAsia="仿宋" w:hAnsi="仿宋" w:cs="仿宋" w:hint="eastAsia"/>
          <w:color w:val="auto"/>
        </w:rPr>
        <w:t>L1=(H1+H3)/2</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lastRenderedPageBreak/>
        <w:t>建筑</w:t>
      </w:r>
      <w:r>
        <w:rPr>
          <w:rFonts w:ascii="仿宋" w:eastAsia="仿宋" w:hAnsi="仿宋" w:cs="仿宋" w:hint="eastAsia"/>
          <w:color w:val="auto"/>
        </w:rPr>
        <w:t>B(</w:t>
      </w:r>
      <w:r>
        <w:rPr>
          <w:rFonts w:ascii="仿宋" w:eastAsia="仿宋" w:hAnsi="仿宋" w:cs="仿宋" w:hint="eastAsia"/>
          <w:color w:val="auto"/>
        </w:rPr>
        <w:t>高层</w:t>
      </w:r>
      <w:r>
        <w:rPr>
          <w:rFonts w:ascii="仿宋" w:eastAsia="仿宋" w:hAnsi="仿宋" w:cs="仿宋" w:hint="eastAsia"/>
          <w:color w:val="auto"/>
        </w:rPr>
        <w:t>),</w:t>
      </w:r>
      <w:r>
        <w:rPr>
          <w:rFonts w:ascii="仿宋" w:eastAsia="仿宋" w:hAnsi="仿宋" w:cs="仿宋" w:hint="eastAsia"/>
          <w:color w:val="auto"/>
        </w:rPr>
        <w:t>半间距：</w:t>
      </w:r>
      <w:r>
        <w:rPr>
          <w:rFonts w:ascii="仿宋" w:eastAsia="仿宋" w:hAnsi="仿宋" w:cs="仿宋" w:hint="eastAsia"/>
          <w:color w:val="auto"/>
        </w:rPr>
        <w:t>L2=13.5+(H2-H3-27)/3</w:t>
      </w:r>
      <w:r>
        <w:rPr>
          <w:rFonts w:ascii="仿宋" w:eastAsia="仿宋" w:hAnsi="仿宋" w:cs="仿宋" w:hint="eastAsia"/>
          <w:color w:val="auto"/>
        </w:rPr>
        <w:t>×</w:t>
      </w:r>
      <w:r>
        <w:rPr>
          <w:rFonts w:ascii="仿宋" w:eastAsia="仿宋" w:hAnsi="仿宋" w:cs="仿宋" w:hint="eastAsia"/>
          <w:color w:val="auto"/>
        </w:rPr>
        <w:t>0.15</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两栋建筑间距为</w:t>
      </w:r>
      <w:r>
        <w:rPr>
          <w:rFonts w:ascii="仿宋" w:eastAsia="仿宋" w:hAnsi="仿宋" w:cs="仿宋" w:hint="eastAsia"/>
          <w:color w:val="auto"/>
        </w:rPr>
        <w:t>L=L1+L2</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其余按</w:t>
      </w:r>
      <w:r>
        <w:rPr>
          <w:rFonts w:ascii="仿宋" w:eastAsia="仿宋" w:hAnsi="仿宋" w:cs="仿宋" w:hint="eastAsia"/>
          <w:color w:val="auto"/>
        </w:rPr>
        <w:t>3.1.2</w:t>
      </w:r>
      <w:r>
        <w:rPr>
          <w:rFonts w:ascii="仿宋" w:eastAsia="仿宋" w:hAnsi="仿宋" w:cs="仿宋" w:hint="eastAsia"/>
          <w:color w:val="auto"/>
        </w:rPr>
        <w:t>执行</w:t>
      </w:r>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临岩住宅建筑采光面与高度大于</w:t>
      </w:r>
      <w:r>
        <w:rPr>
          <w:rFonts w:ascii="仿宋" w:eastAsia="仿宋" w:hAnsi="仿宋" w:cs="仿宋" w:hint="eastAsia"/>
          <w:color w:val="auto"/>
        </w:rPr>
        <w:t>1</w:t>
      </w:r>
      <w:r>
        <w:rPr>
          <w:rFonts w:ascii="仿宋" w:eastAsia="仿宋" w:hAnsi="仿宋" w:cs="仿宋" w:hint="eastAsia"/>
          <w:color w:val="auto"/>
        </w:rPr>
        <w:t>米的堡坎相对时，其最底层窗台与堡坎之间的水平距离，不得小于堡坎高度的</w:t>
      </w:r>
      <w:r>
        <w:rPr>
          <w:rFonts w:ascii="仿宋" w:eastAsia="仿宋" w:hAnsi="仿宋" w:cs="仿宋" w:hint="eastAsia"/>
          <w:color w:val="auto"/>
        </w:rPr>
        <w:t>0.4</w:t>
      </w:r>
      <w:r>
        <w:rPr>
          <w:rFonts w:ascii="仿宋" w:eastAsia="仿宋" w:hAnsi="仿宋" w:cs="仿宋" w:hint="eastAsia"/>
          <w:color w:val="auto"/>
        </w:rPr>
        <w:t>倍，且不得小于</w:t>
      </w:r>
      <w:commentRangeStart w:id="39"/>
      <w:r>
        <w:rPr>
          <w:rFonts w:ascii="仿宋" w:eastAsia="仿宋" w:hAnsi="仿宋" w:cs="仿宋" w:hint="eastAsia"/>
          <w:color w:val="auto"/>
        </w:rPr>
        <w:t>3</w:t>
      </w:r>
      <w:r>
        <w:rPr>
          <w:rFonts w:ascii="仿宋" w:eastAsia="仿宋" w:hAnsi="仿宋" w:cs="仿宋" w:hint="eastAsia"/>
          <w:color w:val="auto"/>
        </w:rPr>
        <w:t>米</w:t>
      </w:r>
      <w:commentRangeEnd w:id="39"/>
      <w:r>
        <w:rPr>
          <w:rFonts w:ascii="仿宋" w:eastAsia="仿宋" w:hAnsi="仿宋" w:cs="仿宋" w:hint="eastAsia"/>
        </w:rPr>
        <w:commentReference w:id="39"/>
      </w:r>
      <w:r>
        <w:rPr>
          <w:rFonts w:ascii="仿宋" w:eastAsia="仿宋" w:hAnsi="仿宋" w:cs="仿宋" w:hint="eastAsia"/>
          <w:color w:val="auto"/>
        </w:rPr>
        <w:t>。与堡坎的间距计算值大于</w:t>
      </w:r>
      <w:r>
        <w:rPr>
          <w:rFonts w:ascii="仿宋" w:eastAsia="仿宋" w:hAnsi="仿宋" w:cs="仿宋" w:hint="eastAsia"/>
          <w:color w:val="auto"/>
        </w:rPr>
        <w:t>18</w:t>
      </w:r>
      <w:r>
        <w:rPr>
          <w:rFonts w:ascii="仿宋" w:eastAsia="仿宋" w:hAnsi="仿宋" w:cs="仿宋" w:hint="eastAsia"/>
          <w:color w:val="auto"/>
        </w:rPr>
        <w:t>米的，按照不小于</w:t>
      </w:r>
      <w:r>
        <w:rPr>
          <w:rFonts w:ascii="仿宋" w:eastAsia="仿宋" w:hAnsi="仿宋" w:cs="仿宋" w:hint="eastAsia"/>
          <w:color w:val="auto"/>
        </w:rPr>
        <w:t>18</w:t>
      </w:r>
      <w:r>
        <w:rPr>
          <w:rFonts w:ascii="仿宋" w:eastAsia="仿宋" w:hAnsi="仿宋" w:cs="仿宋" w:hint="eastAsia"/>
          <w:color w:val="auto"/>
        </w:rPr>
        <w:t>米控制。堡坎退台的，分阶计算。</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挡土墙的高度宜控制在</w:t>
      </w:r>
      <w:r>
        <w:rPr>
          <w:rFonts w:ascii="仿宋" w:eastAsia="仿宋" w:hAnsi="仿宋" w:cs="仿宋" w:hint="eastAsia"/>
          <w:color w:val="auto"/>
        </w:rPr>
        <w:t>3</w:t>
      </w:r>
      <w:r>
        <w:rPr>
          <w:rFonts w:ascii="仿宋" w:eastAsia="仿宋" w:hAnsi="仿宋" w:cs="仿宋" w:hint="eastAsia"/>
          <w:color w:val="auto"/>
        </w:rPr>
        <w:t>米以内，超过</w:t>
      </w:r>
      <w:r>
        <w:rPr>
          <w:rFonts w:ascii="仿宋" w:eastAsia="仿宋" w:hAnsi="仿宋" w:cs="仿宋" w:hint="eastAsia"/>
          <w:color w:val="auto"/>
        </w:rPr>
        <w:t>6</w:t>
      </w:r>
      <w:r>
        <w:rPr>
          <w:rFonts w:ascii="仿宋" w:eastAsia="仿宋" w:hAnsi="仿宋" w:cs="仿宋" w:hint="eastAsia"/>
          <w:color w:val="auto"/>
        </w:rPr>
        <w:t>米时应做退台处理</w:t>
      </w:r>
      <w:r>
        <w:rPr>
          <w:rFonts w:ascii="仿宋" w:eastAsia="仿宋" w:hAnsi="仿宋" w:cs="仿宋" w:hint="eastAsia"/>
          <w:color w:val="auto"/>
        </w:rPr>
        <w:t>。</w:t>
      </w:r>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非住宅建筑与住宅建筑之间的间距不能</w:t>
      </w:r>
      <w:r>
        <w:rPr>
          <w:rFonts w:ascii="仿宋" w:eastAsia="仿宋" w:hAnsi="仿宋" w:cs="仿宋" w:hint="eastAsia"/>
          <w:color w:val="auto"/>
        </w:rPr>
        <w:t>低于以下要求：</w:t>
      </w:r>
    </w:p>
    <w:p w:rsidR="00925AC4" w:rsidRDefault="00285E1E">
      <w:pPr>
        <w:numPr>
          <w:ilvl w:val="0"/>
          <w:numId w:val="26"/>
        </w:numPr>
        <w:ind w:firstLine="560"/>
        <w:rPr>
          <w:rFonts w:ascii="仿宋" w:eastAsia="仿宋" w:hAnsi="仿宋" w:cs="仿宋"/>
          <w:color w:val="auto"/>
        </w:rPr>
      </w:pPr>
      <w:r>
        <w:rPr>
          <w:rFonts w:ascii="仿宋" w:eastAsia="仿宋" w:hAnsi="仿宋" w:cs="仿宋" w:hint="eastAsia"/>
          <w:color w:val="auto"/>
        </w:rPr>
        <w:t>按住宅建筑相关间距要求控制；</w:t>
      </w:r>
    </w:p>
    <w:p w:rsidR="00925AC4" w:rsidRDefault="00285E1E">
      <w:pPr>
        <w:numPr>
          <w:ilvl w:val="0"/>
          <w:numId w:val="26"/>
        </w:numPr>
        <w:ind w:firstLine="560"/>
        <w:rPr>
          <w:rFonts w:ascii="仿宋" w:eastAsia="仿宋" w:hAnsi="仿宋" w:cs="仿宋"/>
          <w:color w:val="auto"/>
        </w:rPr>
      </w:pPr>
      <w:r>
        <w:rPr>
          <w:rFonts w:ascii="仿宋" w:eastAsia="仿宋" w:hAnsi="仿宋" w:cs="仿宋" w:hint="eastAsia"/>
          <w:color w:val="auto"/>
        </w:rPr>
        <w:t>有特殊要求的非住宅建筑在满足上述规定的同时还应满足相关专业技术规范、标准的要求。</w:t>
      </w:r>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非住宅建筑之间的间距控制应满足相关专业技术规范、标准的要求，并不得小于以下要求：</w:t>
      </w:r>
    </w:p>
    <w:p w:rsidR="00925AC4" w:rsidRDefault="00285E1E">
      <w:pPr>
        <w:numPr>
          <w:ilvl w:val="0"/>
          <w:numId w:val="27"/>
        </w:numPr>
        <w:ind w:firstLine="560"/>
        <w:rPr>
          <w:rFonts w:ascii="仿宋" w:eastAsia="仿宋" w:hAnsi="仿宋" w:cs="仿宋"/>
          <w:color w:val="auto"/>
        </w:rPr>
      </w:pPr>
      <w:r>
        <w:rPr>
          <w:rFonts w:ascii="仿宋" w:eastAsia="仿宋" w:hAnsi="仿宋" w:cs="仿宋" w:hint="eastAsia"/>
          <w:color w:val="auto"/>
        </w:rPr>
        <w:t>非住宅建筑平行相对布置时的最小间距</w:t>
      </w:r>
      <w:r>
        <w:rPr>
          <w:rFonts w:ascii="仿宋" w:eastAsia="仿宋" w:hAnsi="仿宋" w:cs="仿宋" w:hint="eastAsia"/>
          <w:color w:val="auto"/>
        </w:rPr>
        <w:t>L(</w:t>
      </w:r>
      <w:r>
        <w:rPr>
          <w:rFonts w:ascii="仿宋" w:eastAsia="仿宋" w:hAnsi="仿宋" w:cs="仿宋" w:hint="eastAsia"/>
          <w:color w:val="auto"/>
        </w:rPr>
        <w:t>详见图</w:t>
      </w:r>
      <w:hyperlink r:id="rId36" w:history="1">
        <w:r>
          <w:rPr>
            <w:rFonts w:ascii="仿宋" w:eastAsia="仿宋" w:hAnsi="仿宋" w:cs="仿宋" w:hint="eastAsia"/>
            <w:color w:val="auto"/>
          </w:rPr>
          <w:t>3.1.2.1</w:t>
        </w:r>
      </w:hyperlink>
      <w:r>
        <w:rPr>
          <w:rFonts w:ascii="仿宋" w:eastAsia="仿宋" w:hAnsi="仿宋" w:cs="仿宋" w:hint="eastAsia"/>
          <w:color w:val="auto"/>
        </w:rPr>
        <w:t>~</w:t>
      </w:r>
      <w:r>
        <w:rPr>
          <w:rFonts w:ascii="仿宋" w:eastAsia="仿宋" w:hAnsi="仿宋" w:cs="仿宋" w:hint="eastAsia"/>
          <w:color w:val="auto"/>
        </w:rPr>
        <w:t>图</w:t>
      </w:r>
      <w:hyperlink r:id="rId37" w:history="1">
        <w:r>
          <w:rPr>
            <w:rFonts w:ascii="仿宋" w:eastAsia="仿宋" w:hAnsi="仿宋" w:cs="仿宋" w:hint="eastAsia"/>
            <w:color w:val="auto"/>
          </w:rPr>
          <w:t>3.1.2.3</w:t>
        </w:r>
      </w:hyperlink>
      <w:r>
        <w:rPr>
          <w:rFonts w:ascii="仿宋" w:eastAsia="仿宋" w:hAnsi="仿宋" w:cs="仿宋" w:hint="eastAsia"/>
          <w:color w:val="auto"/>
        </w:rPr>
        <w:t>)</w:t>
      </w:r>
      <w:r>
        <w:rPr>
          <w:rFonts w:ascii="仿宋" w:eastAsia="仿宋" w:hAnsi="仿宋" w:cs="仿宋" w:hint="eastAsia"/>
          <w:color w:val="auto"/>
        </w:rPr>
        <w:t>按表</w:t>
      </w:r>
      <w:hyperlink r:id="rId38" w:history="1">
        <w:r>
          <w:rPr>
            <w:rFonts w:ascii="仿宋" w:eastAsia="仿宋" w:hAnsi="仿宋" w:cs="仿宋" w:hint="eastAsia"/>
            <w:color w:val="auto"/>
          </w:rPr>
          <w:t>3.1.6.1</w:t>
        </w:r>
      </w:hyperlink>
      <w:r>
        <w:rPr>
          <w:rFonts w:ascii="仿宋" w:eastAsia="仿宋" w:hAnsi="仿宋" w:cs="仿宋" w:hint="eastAsia"/>
          <w:color w:val="auto"/>
        </w:rPr>
        <w:t>控制：</w:t>
      </w: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表</w:t>
      </w:r>
      <w:hyperlink r:id="rId39" w:history="1">
        <w:r>
          <w:rPr>
            <w:rFonts w:ascii="仿宋" w:eastAsia="仿宋" w:hAnsi="仿宋" w:cs="仿宋" w:hint="eastAsia"/>
            <w:color w:val="auto"/>
            <w:sz w:val="24"/>
            <w:szCs w:val="24"/>
          </w:rPr>
          <w:t>3.1.6.1</w:t>
        </w:r>
      </w:hyperlink>
      <w:r>
        <w:rPr>
          <w:rFonts w:ascii="仿宋" w:eastAsia="仿宋" w:hAnsi="仿宋" w:cs="仿宋" w:hint="eastAsia"/>
          <w:color w:val="auto"/>
          <w:sz w:val="24"/>
          <w:szCs w:val="24"/>
        </w:rPr>
        <w:t>平行相对布置时的最小间距</w:t>
      </w:r>
      <w:r>
        <w:rPr>
          <w:rFonts w:ascii="仿宋" w:eastAsia="仿宋" w:hAnsi="仿宋" w:cs="仿宋" w:hint="eastAsia"/>
          <w:color w:val="auto"/>
          <w:sz w:val="24"/>
          <w:szCs w:val="24"/>
        </w:rPr>
        <w:t>L</w:t>
      </w:r>
    </w:p>
    <w:tbl>
      <w:tblPr>
        <w:tblStyle w:val="TableNormal"/>
        <w:tblW w:w="8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4"/>
        <w:gridCol w:w="1289"/>
        <w:gridCol w:w="1568"/>
        <w:gridCol w:w="1638"/>
        <w:gridCol w:w="1908"/>
        <w:gridCol w:w="1753"/>
      </w:tblGrid>
      <w:tr w:rsidR="00925AC4">
        <w:trPr>
          <w:trHeight w:val="454"/>
        </w:trPr>
        <w:tc>
          <w:tcPr>
            <w:tcW w:w="1973" w:type="dxa"/>
            <w:gridSpan w:val="2"/>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朝向</w:t>
            </w:r>
          </w:p>
          <w:p w:rsidR="00925AC4" w:rsidRDefault="00925AC4">
            <w:pPr>
              <w:pStyle w:val="ab"/>
              <w:jc w:val="both"/>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最小间距</w:t>
            </w:r>
          </w:p>
          <w:p w:rsidR="00925AC4" w:rsidRDefault="00285E1E">
            <w:pPr>
              <w:pStyle w:val="ab"/>
              <w:jc w:val="center"/>
              <w:rPr>
                <w:rFonts w:ascii="仿宋" w:eastAsia="仿宋" w:hAnsi="仿宋" w:cs="仿宋" w:hint="default"/>
                <w:color w:val="auto"/>
              </w:rPr>
            </w:pPr>
            <w:r>
              <w:rPr>
                <w:rFonts w:ascii="仿宋" w:eastAsia="仿宋" w:hAnsi="仿宋" w:cs="仿宋"/>
                <w:color w:val="auto"/>
              </w:rPr>
              <w:t>朝向</w:t>
            </w:r>
          </w:p>
        </w:tc>
        <w:tc>
          <w:tcPr>
            <w:tcW w:w="3206"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多层建筑</w:t>
            </w:r>
          </w:p>
        </w:tc>
        <w:tc>
          <w:tcPr>
            <w:tcW w:w="3661"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高层建筑</w:t>
            </w:r>
          </w:p>
        </w:tc>
      </w:tr>
      <w:tr w:rsidR="00925AC4">
        <w:trPr>
          <w:trHeight w:val="454"/>
        </w:trPr>
        <w:tc>
          <w:tcPr>
            <w:tcW w:w="1973" w:type="dxa"/>
            <w:gridSpan w:val="2"/>
            <w:vMerge/>
            <w:tcBorders>
              <w:top w:val="nil"/>
            </w:tcBorders>
            <w:vAlign w:val="center"/>
          </w:tcPr>
          <w:p w:rsidR="00925AC4" w:rsidRDefault="00925AC4">
            <w:pPr>
              <w:pStyle w:val="ab"/>
              <w:jc w:val="center"/>
              <w:rPr>
                <w:rFonts w:ascii="仿宋" w:eastAsia="仿宋" w:hAnsi="仿宋" w:cs="仿宋" w:hint="default"/>
                <w:color w:val="auto"/>
              </w:rPr>
            </w:pPr>
          </w:p>
        </w:tc>
        <w:tc>
          <w:tcPr>
            <w:tcW w:w="15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长边</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山墙</w:t>
            </w:r>
          </w:p>
        </w:tc>
        <w:tc>
          <w:tcPr>
            <w:tcW w:w="19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主采光面</w:t>
            </w:r>
          </w:p>
        </w:tc>
        <w:tc>
          <w:tcPr>
            <w:tcW w:w="175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非主采光面</w:t>
            </w:r>
          </w:p>
        </w:tc>
      </w:tr>
      <w:tr w:rsidR="00925AC4">
        <w:trPr>
          <w:trHeight w:val="454"/>
        </w:trPr>
        <w:tc>
          <w:tcPr>
            <w:tcW w:w="684"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多层建筑</w:t>
            </w:r>
          </w:p>
        </w:tc>
        <w:tc>
          <w:tcPr>
            <w:tcW w:w="12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长边</w:t>
            </w:r>
          </w:p>
        </w:tc>
        <w:tc>
          <w:tcPr>
            <w:tcW w:w="15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多层</w:t>
            </w:r>
            <w:r>
              <w:rPr>
                <w:rFonts w:ascii="仿宋" w:eastAsia="仿宋" w:hAnsi="仿宋" w:cs="仿宋"/>
                <w:color w:val="auto"/>
              </w:rPr>
              <w:t>0.5H,</w:t>
            </w:r>
            <w:r>
              <w:rPr>
                <w:rFonts w:ascii="仿宋" w:eastAsia="仿宋" w:hAnsi="仿宋" w:cs="仿宋"/>
                <w:color w:val="auto"/>
              </w:rPr>
              <w:t>且不小于</w:t>
            </w:r>
            <w:r>
              <w:rPr>
                <w:rFonts w:ascii="仿宋" w:eastAsia="仿宋" w:hAnsi="仿宋" w:cs="仿宋"/>
                <w:color w:val="auto"/>
              </w:rPr>
              <w:t>7m</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7m</w:t>
            </w:r>
          </w:p>
        </w:tc>
        <w:tc>
          <w:tcPr>
            <w:tcW w:w="19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c>
          <w:tcPr>
            <w:tcW w:w="175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r>
      <w:tr w:rsidR="00925AC4">
        <w:trPr>
          <w:trHeight w:val="454"/>
        </w:trPr>
        <w:tc>
          <w:tcPr>
            <w:tcW w:w="684"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2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山墙</w:t>
            </w:r>
          </w:p>
        </w:tc>
        <w:tc>
          <w:tcPr>
            <w:tcW w:w="15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6m</w:t>
            </w:r>
          </w:p>
        </w:tc>
        <w:tc>
          <w:tcPr>
            <w:tcW w:w="19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9m</w:t>
            </w:r>
          </w:p>
        </w:tc>
        <w:tc>
          <w:tcPr>
            <w:tcW w:w="175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9m</w:t>
            </w:r>
          </w:p>
        </w:tc>
      </w:tr>
      <w:tr w:rsidR="00925AC4">
        <w:trPr>
          <w:trHeight w:val="454"/>
        </w:trPr>
        <w:tc>
          <w:tcPr>
            <w:tcW w:w="684"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高层建筑</w:t>
            </w:r>
          </w:p>
        </w:tc>
        <w:tc>
          <w:tcPr>
            <w:tcW w:w="12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主采光面</w:t>
            </w:r>
          </w:p>
        </w:tc>
        <w:tc>
          <w:tcPr>
            <w:tcW w:w="15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9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20m</w:t>
            </w:r>
          </w:p>
        </w:tc>
        <w:tc>
          <w:tcPr>
            <w:tcW w:w="175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r>
      <w:tr w:rsidR="00925AC4">
        <w:trPr>
          <w:trHeight w:val="454"/>
        </w:trPr>
        <w:tc>
          <w:tcPr>
            <w:tcW w:w="684"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2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非主采光面</w:t>
            </w:r>
          </w:p>
        </w:tc>
        <w:tc>
          <w:tcPr>
            <w:tcW w:w="15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90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c>
          <w:tcPr>
            <w:tcW w:w="175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r>
    </w:tbl>
    <w:p w:rsidR="00925AC4" w:rsidRDefault="00285E1E">
      <w:pPr>
        <w:numPr>
          <w:ilvl w:val="0"/>
          <w:numId w:val="27"/>
        </w:numPr>
        <w:ind w:firstLine="560"/>
        <w:rPr>
          <w:rFonts w:ascii="仿宋" w:eastAsia="仿宋" w:hAnsi="仿宋" w:cs="仿宋"/>
          <w:color w:val="auto"/>
        </w:rPr>
      </w:pPr>
      <w:r>
        <w:rPr>
          <w:rFonts w:ascii="仿宋" w:eastAsia="仿宋" w:hAnsi="仿宋" w:cs="仿宋" w:hint="eastAsia"/>
          <w:color w:val="auto"/>
        </w:rPr>
        <w:t>相邻非住宅建筑，高层主采光面、多低层长边相对成角度布置时的最小间距</w:t>
      </w:r>
      <w:r>
        <w:rPr>
          <w:rFonts w:ascii="仿宋" w:eastAsia="仿宋" w:hAnsi="仿宋" w:cs="仿宋" w:hint="eastAsia"/>
          <w:color w:val="auto"/>
        </w:rPr>
        <w:t>L(</w:t>
      </w:r>
      <w:r>
        <w:rPr>
          <w:rFonts w:ascii="仿宋" w:eastAsia="仿宋" w:hAnsi="仿宋" w:cs="仿宋" w:hint="eastAsia"/>
          <w:color w:val="auto"/>
        </w:rPr>
        <w:t>详见图</w:t>
      </w:r>
      <w:hyperlink r:id="rId40" w:history="1">
        <w:r>
          <w:rPr>
            <w:rFonts w:ascii="仿宋" w:eastAsia="仿宋" w:hAnsi="仿宋" w:cs="仿宋" w:hint="eastAsia"/>
            <w:color w:val="auto"/>
          </w:rPr>
          <w:t>3.1.2.4</w:t>
        </w:r>
      </w:hyperlink>
      <w:r>
        <w:rPr>
          <w:rFonts w:ascii="仿宋" w:eastAsia="仿宋" w:hAnsi="仿宋" w:cs="仿宋" w:hint="eastAsia"/>
          <w:color w:val="auto"/>
        </w:rPr>
        <w:t>)</w:t>
      </w:r>
      <w:r>
        <w:rPr>
          <w:rFonts w:ascii="仿宋" w:eastAsia="仿宋" w:hAnsi="仿宋" w:cs="仿宋" w:hint="eastAsia"/>
          <w:color w:val="auto"/>
        </w:rPr>
        <w:t>按表</w:t>
      </w:r>
      <w:hyperlink r:id="rId41" w:history="1">
        <w:r>
          <w:rPr>
            <w:rFonts w:ascii="仿宋" w:eastAsia="仿宋" w:hAnsi="仿宋" w:cs="仿宋" w:hint="eastAsia"/>
            <w:color w:val="auto"/>
          </w:rPr>
          <w:t>3.1.6.2</w:t>
        </w:r>
      </w:hyperlink>
      <w:r>
        <w:rPr>
          <w:rFonts w:ascii="仿宋" w:eastAsia="仿宋" w:hAnsi="仿宋" w:cs="仿宋" w:hint="eastAsia"/>
          <w:color w:val="auto"/>
        </w:rPr>
        <w:t>控制：</w:t>
      </w: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lastRenderedPageBreak/>
        <w:t>表</w:t>
      </w:r>
      <w:hyperlink r:id="rId42" w:history="1">
        <w:r>
          <w:rPr>
            <w:rFonts w:ascii="仿宋" w:eastAsia="仿宋" w:hAnsi="仿宋" w:cs="仿宋" w:hint="eastAsia"/>
            <w:color w:val="auto"/>
            <w:sz w:val="24"/>
            <w:szCs w:val="24"/>
          </w:rPr>
          <w:t>3.1.6.2</w:t>
        </w:r>
      </w:hyperlink>
      <w:r>
        <w:rPr>
          <w:rFonts w:ascii="仿宋" w:eastAsia="仿宋" w:hAnsi="仿宋" w:cs="仿宋" w:hint="eastAsia"/>
          <w:color w:val="auto"/>
          <w:sz w:val="24"/>
          <w:szCs w:val="24"/>
        </w:rPr>
        <w:t>错位布置时的最小间距</w:t>
      </w:r>
      <w:r>
        <w:rPr>
          <w:rFonts w:ascii="仿宋" w:eastAsia="仿宋" w:hAnsi="仿宋" w:cs="仿宋" w:hint="eastAsia"/>
          <w:color w:val="auto"/>
          <w:sz w:val="24"/>
          <w:szCs w:val="24"/>
        </w:rPr>
        <w:t>(L)</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82"/>
        <w:gridCol w:w="6588"/>
      </w:tblGrid>
      <w:tr w:rsidR="00925AC4">
        <w:trPr>
          <w:trHeight w:val="454"/>
        </w:trPr>
        <w:tc>
          <w:tcPr>
            <w:tcW w:w="228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建筑间夹角</w:t>
            </w:r>
          </w:p>
        </w:tc>
        <w:tc>
          <w:tcPr>
            <w:tcW w:w="6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最小间距</w:t>
            </w:r>
          </w:p>
        </w:tc>
      </w:tr>
      <w:tr w:rsidR="00925AC4">
        <w:trPr>
          <w:trHeight w:val="454"/>
        </w:trPr>
        <w:tc>
          <w:tcPr>
            <w:tcW w:w="228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r>
              <w:rPr>
                <w:rFonts w:ascii="仿宋" w:eastAsia="仿宋" w:hAnsi="仿宋" w:cs="仿宋"/>
                <w:color w:val="auto"/>
              </w:rPr>
              <w:t>≤</w:t>
            </w:r>
            <w:r>
              <w:rPr>
                <w:rFonts w:ascii="仿宋" w:eastAsia="仿宋" w:hAnsi="仿宋" w:cs="仿宋"/>
                <w:color w:val="auto"/>
              </w:rPr>
              <w:t>30</w:t>
            </w:r>
            <w:r>
              <w:rPr>
                <w:rFonts w:ascii="仿宋" w:eastAsia="仿宋" w:hAnsi="仿宋" w:cs="仿宋"/>
                <w:color w:val="auto"/>
              </w:rPr>
              <w:t>°</w:t>
            </w:r>
          </w:p>
        </w:tc>
        <w:tc>
          <w:tcPr>
            <w:tcW w:w="6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按主采光面</w:t>
            </w:r>
            <w:r>
              <w:rPr>
                <w:rFonts w:ascii="仿宋" w:eastAsia="仿宋" w:hAnsi="仿宋" w:cs="仿宋"/>
                <w:color w:val="auto"/>
              </w:rPr>
              <w:t>(</w:t>
            </w:r>
            <w:r>
              <w:rPr>
                <w:rFonts w:ascii="仿宋" w:eastAsia="仿宋" w:hAnsi="仿宋" w:cs="仿宋"/>
                <w:color w:val="auto"/>
              </w:rPr>
              <w:t>长边</w:t>
            </w:r>
            <w:r>
              <w:rPr>
                <w:rFonts w:ascii="仿宋" w:eastAsia="仿宋" w:hAnsi="仿宋" w:cs="仿宋"/>
                <w:color w:val="auto"/>
              </w:rPr>
              <w:t>)</w:t>
            </w:r>
            <w:r>
              <w:rPr>
                <w:rFonts w:ascii="仿宋" w:eastAsia="仿宋" w:hAnsi="仿宋" w:cs="仿宋"/>
                <w:color w:val="auto"/>
              </w:rPr>
              <w:t>平行相对布置的规定控制</w:t>
            </w:r>
          </w:p>
        </w:tc>
      </w:tr>
      <w:tr w:rsidR="00925AC4">
        <w:trPr>
          <w:trHeight w:val="454"/>
        </w:trPr>
        <w:tc>
          <w:tcPr>
            <w:tcW w:w="228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30</w:t>
            </w:r>
            <w:r>
              <w:rPr>
                <w:rFonts w:ascii="仿宋" w:eastAsia="仿宋" w:hAnsi="仿宋" w:cs="仿宋"/>
                <w:color w:val="auto"/>
              </w:rPr>
              <w:t>°</w:t>
            </w:r>
            <w:r>
              <w:rPr>
                <w:rFonts w:ascii="仿宋" w:eastAsia="仿宋" w:hAnsi="仿宋" w:cs="仿宋"/>
                <w:color w:val="auto"/>
              </w:rPr>
              <w:t>&lt;a</w:t>
            </w:r>
            <w:r>
              <w:rPr>
                <w:rFonts w:ascii="仿宋" w:eastAsia="仿宋" w:hAnsi="仿宋" w:cs="仿宋"/>
                <w:color w:val="auto"/>
              </w:rPr>
              <w:t>≤</w:t>
            </w:r>
            <w:r>
              <w:rPr>
                <w:rFonts w:ascii="仿宋" w:eastAsia="仿宋" w:hAnsi="仿宋" w:cs="仿宋"/>
                <w:color w:val="auto"/>
              </w:rPr>
              <w:t>60</w:t>
            </w:r>
            <w:r>
              <w:rPr>
                <w:rFonts w:ascii="仿宋" w:eastAsia="仿宋" w:hAnsi="仿宋" w:cs="仿宋"/>
                <w:color w:val="auto"/>
              </w:rPr>
              <w:t>°</w:t>
            </w:r>
          </w:p>
        </w:tc>
        <w:tc>
          <w:tcPr>
            <w:tcW w:w="6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按主采光面</w:t>
            </w:r>
            <w:r>
              <w:rPr>
                <w:rFonts w:ascii="仿宋" w:eastAsia="仿宋" w:hAnsi="仿宋" w:cs="仿宋"/>
                <w:color w:val="auto"/>
              </w:rPr>
              <w:t>(</w:t>
            </w:r>
            <w:r>
              <w:rPr>
                <w:rFonts w:ascii="仿宋" w:eastAsia="仿宋" w:hAnsi="仿宋" w:cs="仿宋"/>
                <w:color w:val="auto"/>
              </w:rPr>
              <w:t>长边</w:t>
            </w:r>
            <w:r>
              <w:rPr>
                <w:rFonts w:ascii="仿宋" w:eastAsia="仿宋" w:hAnsi="仿宋" w:cs="仿宋"/>
                <w:color w:val="auto"/>
              </w:rPr>
              <w:t>)</w:t>
            </w:r>
            <w:r>
              <w:rPr>
                <w:rFonts w:ascii="仿宋" w:eastAsia="仿宋" w:hAnsi="仿宋" w:cs="仿宋"/>
                <w:color w:val="auto"/>
              </w:rPr>
              <w:t>平行相对布置规定间距的</w:t>
            </w:r>
            <w:r>
              <w:rPr>
                <w:rFonts w:ascii="仿宋" w:eastAsia="仿宋" w:hAnsi="仿宋" w:cs="仿宋"/>
                <w:color w:val="auto"/>
              </w:rPr>
              <w:t>0.5</w:t>
            </w:r>
            <w:r>
              <w:rPr>
                <w:rFonts w:ascii="仿宋" w:eastAsia="仿宋" w:hAnsi="仿宋" w:cs="仿宋"/>
                <w:color w:val="auto"/>
              </w:rPr>
              <w:t>倍控制，且不小于非主采光面平行相对布置规定的间距</w:t>
            </w:r>
          </w:p>
        </w:tc>
      </w:tr>
      <w:tr w:rsidR="00925AC4">
        <w:trPr>
          <w:trHeight w:val="454"/>
        </w:trPr>
        <w:tc>
          <w:tcPr>
            <w:tcW w:w="228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60</w:t>
            </w:r>
            <w:r>
              <w:rPr>
                <w:rFonts w:ascii="仿宋" w:eastAsia="仿宋" w:hAnsi="仿宋" w:cs="仿宋"/>
                <w:color w:val="auto"/>
              </w:rPr>
              <w:t>°</w:t>
            </w:r>
            <w:r>
              <w:rPr>
                <w:rFonts w:ascii="仿宋" w:eastAsia="仿宋" w:hAnsi="仿宋" w:cs="仿宋"/>
                <w:color w:val="auto"/>
              </w:rPr>
              <w:t>&lt;a&lt;90</w:t>
            </w:r>
            <w:r>
              <w:rPr>
                <w:rFonts w:ascii="仿宋" w:eastAsia="仿宋" w:hAnsi="仿宋" w:cs="仿宋"/>
                <w:color w:val="auto"/>
              </w:rPr>
              <w:t>°</w:t>
            </w:r>
          </w:p>
        </w:tc>
        <w:tc>
          <w:tcPr>
            <w:tcW w:w="658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按非主采光面</w:t>
            </w:r>
            <w:r>
              <w:rPr>
                <w:rFonts w:ascii="仿宋" w:eastAsia="仿宋" w:hAnsi="仿宋" w:cs="仿宋"/>
                <w:color w:val="auto"/>
              </w:rPr>
              <w:t>(</w:t>
            </w:r>
            <w:r>
              <w:rPr>
                <w:rFonts w:ascii="仿宋" w:eastAsia="仿宋" w:hAnsi="仿宋" w:cs="仿宋"/>
                <w:color w:val="auto"/>
              </w:rPr>
              <w:t>山墙</w:t>
            </w:r>
            <w:r>
              <w:rPr>
                <w:rFonts w:ascii="仿宋" w:eastAsia="仿宋" w:hAnsi="仿宋" w:cs="仿宋"/>
                <w:color w:val="auto"/>
              </w:rPr>
              <w:t>)</w:t>
            </w:r>
            <w:r>
              <w:rPr>
                <w:rFonts w:ascii="仿宋" w:eastAsia="仿宋" w:hAnsi="仿宋" w:cs="仿宋"/>
                <w:color w:val="auto"/>
              </w:rPr>
              <w:t>相对布置的规定控制</w:t>
            </w:r>
          </w:p>
        </w:tc>
      </w:tr>
    </w:tbl>
    <w:p w:rsidR="00925AC4" w:rsidRDefault="00285E1E">
      <w:pPr>
        <w:numPr>
          <w:ilvl w:val="0"/>
          <w:numId w:val="27"/>
        </w:numPr>
        <w:ind w:firstLine="560"/>
        <w:rPr>
          <w:rFonts w:ascii="仿宋" w:eastAsia="仿宋" w:hAnsi="仿宋" w:cs="仿宋"/>
          <w:color w:val="auto"/>
        </w:rPr>
      </w:pPr>
      <w:r>
        <w:rPr>
          <w:rFonts w:ascii="仿宋" w:eastAsia="仿宋" w:hAnsi="仿宋" w:cs="仿宋" w:hint="eastAsia"/>
          <w:color w:val="auto"/>
        </w:rPr>
        <w:t>相邻非住宅建筑错位布置时的最小间距</w:t>
      </w:r>
      <w:r>
        <w:rPr>
          <w:rFonts w:ascii="仿宋" w:eastAsia="仿宋" w:hAnsi="仿宋" w:cs="仿宋" w:hint="eastAsia"/>
          <w:color w:val="auto"/>
        </w:rPr>
        <w:t>L(</w:t>
      </w:r>
      <w:r>
        <w:rPr>
          <w:rFonts w:ascii="仿宋" w:eastAsia="仿宋" w:hAnsi="仿宋" w:cs="仿宋" w:hint="eastAsia"/>
          <w:color w:val="auto"/>
        </w:rPr>
        <w:t>详见图</w:t>
      </w:r>
      <w:hyperlink r:id="rId43" w:history="1">
        <w:r>
          <w:rPr>
            <w:rFonts w:ascii="仿宋" w:eastAsia="仿宋" w:hAnsi="仿宋" w:cs="仿宋" w:hint="eastAsia"/>
            <w:color w:val="auto"/>
          </w:rPr>
          <w:t>3.1.2.5</w:t>
        </w:r>
      </w:hyperlink>
      <w:r>
        <w:rPr>
          <w:rFonts w:ascii="仿宋" w:eastAsia="仿宋" w:hAnsi="仿宋" w:cs="仿宋" w:hint="eastAsia"/>
          <w:color w:val="auto"/>
        </w:rPr>
        <w:t>)</w:t>
      </w:r>
      <w:r>
        <w:rPr>
          <w:rFonts w:ascii="仿宋" w:eastAsia="仿宋" w:hAnsi="仿宋" w:cs="仿宋" w:hint="eastAsia"/>
          <w:color w:val="auto"/>
        </w:rPr>
        <w:t>按表</w:t>
      </w:r>
      <w:hyperlink r:id="rId44" w:history="1">
        <w:r>
          <w:rPr>
            <w:rFonts w:ascii="仿宋" w:eastAsia="仿宋" w:hAnsi="仿宋" w:cs="仿宋" w:hint="eastAsia"/>
            <w:color w:val="auto"/>
          </w:rPr>
          <w:t>3.1.6.3</w:t>
        </w:r>
      </w:hyperlink>
      <w:r>
        <w:rPr>
          <w:rFonts w:ascii="仿宋" w:eastAsia="仿宋" w:hAnsi="仿宋" w:cs="仿宋" w:hint="eastAsia"/>
          <w:color w:val="auto"/>
        </w:rPr>
        <w:t>控制：</w:t>
      </w: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表</w:t>
      </w:r>
      <w:hyperlink r:id="rId45" w:history="1">
        <w:r>
          <w:rPr>
            <w:rFonts w:ascii="仿宋" w:eastAsia="仿宋" w:hAnsi="仿宋" w:cs="仿宋" w:hint="eastAsia"/>
            <w:color w:val="auto"/>
            <w:sz w:val="24"/>
            <w:szCs w:val="24"/>
          </w:rPr>
          <w:t>3.1.6.3</w:t>
        </w:r>
      </w:hyperlink>
      <w:r>
        <w:rPr>
          <w:rFonts w:ascii="仿宋" w:eastAsia="仿宋" w:hAnsi="仿宋" w:cs="仿宋" w:hint="eastAsia"/>
          <w:color w:val="auto"/>
          <w:sz w:val="24"/>
          <w:szCs w:val="24"/>
        </w:rPr>
        <w:t>错位布置时的最小间距</w:t>
      </w:r>
      <w:r>
        <w:rPr>
          <w:rFonts w:ascii="仿宋" w:eastAsia="仿宋" w:hAnsi="仿宋" w:cs="仿宋" w:hint="eastAsia"/>
          <w:color w:val="auto"/>
          <w:sz w:val="24"/>
          <w:szCs w:val="24"/>
        </w:rPr>
        <w:t>(L)</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18"/>
        <w:gridCol w:w="1101"/>
        <w:gridCol w:w="1868"/>
        <w:gridCol w:w="1883"/>
      </w:tblGrid>
      <w:tr w:rsidR="00925AC4">
        <w:trPr>
          <w:trHeight w:val="809"/>
        </w:trPr>
        <w:tc>
          <w:tcPr>
            <w:tcW w:w="4018"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both"/>
              <w:rPr>
                <w:rFonts w:ascii="仿宋" w:eastAsia="仿宋" w:hAnsi="仿宋" w:cs="仿宋" w:hint="default"/>
                <w:color w:val="auto"/>
              </w:rPr>
            </w:pPr>
            <w:r>
              <w:rPr>
                <w:rFonts w:ascii="仿宋" w:eastAsia="仿宋" w:hAnsi="仿宋" w:cs="仿宋"/>
                <w:color w:val="auto"/>
              </w:rPr>
              <w:t>建筑间夹</w:t>
            </w:r>
          </w:p>
          <w:p w:rsidR="00925AC4" w:rsidRDefault="00925AC4">
            <w:pPr>
              <w:pStyle w:val="ab"/>
              <w:jc w:val="both"/>
              <w:rPr>
                <w:rFonts w:ascii="仿宋" w:eastAsia="仿宋" w:hAnsi="仿宋" w:cs="仿宋" w:hint="default"/>
                <w:color w:val="auto"/>
              </w:rPr>
            </w:pPr>
          </w:p>
          <w:p w:rsidR="00925AC4" w:rsidRDefault="00285E1E">
            <w:pPr>
              <w:pStyle w:val="ab"/>
              <w:jc w:val="both"/>
              <w:rPr>
                <w:rFonts w:ascii="仿宋" w:eastAsia="仿宋" w:hAnsi="仿宋" w:cs="仿宋" w:hint="default"/>
                <w:color w:val="auto"/>
              </w:rPr>
            </w:pPr>
            <w:r>
              <w:rPr>
                <w:rFonts w:ascii="仿宋" w:eastAsia="仿宋" w:hAnsi="仿宋" w:cs="仿宋"/>
                <w:color w:val="auto"/>
              </w:rPr>
              <w:t>最小间距</w:t>
            </w:r>
          </w:p>
          <w:p w:rsidR="00925AC4" w:rsidRDefault="00285E1E">
            <w:pPr>
              <w:pStyle w:val="ab"/>
              <w:jc w:val="center"/>
              <w:rPr>
                <w:rFonts w:ascii="仿宋" w:eastAsia="仿宋" w:hAnsi="仿宋" w:cs="仿宋" w:hint="default"/>
                <w:color w:val="auto"/>
              </w:rPr>
            </w:pPr>
            <w:r>
              <w:rPr>
                <w:rFonts w:ascii="仿宋" w:eastAsia="仿宋" w:hAnsi="仿宋" w:cs="仿宋"/>
                <w:color w:val="auto"/>
              </w:rPr>
              <w:t>建筑层高类别</w:t>
            </w:r>
          </w:p>
        </w:tc>
        <w:tc>
          <w:tcPr>
            <w:tcW w:w="1101"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高层与高层</w:t>
            </w:r>
          </w:p>
        </w:tc>
        <w:tc>
          <w:tcPr>
            <w:tcW w:w="1868"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高层与多层</w:t>
            </w:r>
          </w:p>
        </w:tc>
        <w:tc>
          <w:tcPr>
            <w:tcW w:w="1883"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多层与多层</w:t>
            </w:r>
          </w:p>
        </w:tc>
      </w:tr>
      <w:tr w:rsidR="00925AC4">
        <w:trPr>
          <w:trHeight w:val="454"/>
        </w:trPr>
        <w:tc>
          <w:tcPr>
            <w:tcW w:w="401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r>
              <w:rPr>
                <w:rFonts w:ascii="仿宋" w:eastAsia="仿宋" w:hAnsi="仿宋" w:cs="仿宋"/>
                <w:color w:val="auto"/>
              </w:rPr>
              <w:t>≤</w:t>
            </w:r>
            <w:r>
              <w:rPr>
                <w:rFonts w:ascii="仿宋" w:eastAsia="仿宋" w:hAnsi="仿宋" w:cs="仿宋"/>
                <w:color w:val="auto"/>
              </w:rPr>
              <w:t>60</w:t>
            </w:r>
            <w:r>
              <w:rPr>
                <w:rFonts w:ascii="仿宋" w:eastAsia="仿宋" w:hAnsi="仿宋" w:cs="仿宋"/>
                <w:color w:val="auto"/>
              </w:rPr>
              <w:t>°</w:t>
            </w:r>
          </w:p>
        </w:tc>
        <w:tc>
          <w:tcPr>
            <w:tcW w:w="110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c>
          <w:tcPr>
            <w:tcW w:w="18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9m</w:t>
            </w:r>
          </w:p>
        </w:tc>
        <w:tc>
          <w:tcPr>
            <w:tcW w:w="18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6m</w:t>
            </w:r>
          </w:p>
        </w:tc>
      </w:tr>
      <w:tr w:rsidR="00925AC4">
        <w:trPr>
          <w:trHeight w:val="454"/>
        </w:trPr>
        <w:tc>
          <w:tcPr>
            <w:tcW w:w="401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60</w:t>
            </w:r>
            <w:r>
              <w:rPr>
                <w:rFonts w:ascii="仿宋" w:eastAsia="仿宋" w:hAnsi="仿宋" w:cs="仿宋"/>
                <w:color w:val="auto"/>
              </w:rPr>
              <w:t>°</w:t>
            </w:r>
            <w:r>
              <w:rPr>
                <w:rFonts w:ascii="仿宋" w:eastAsia="仿宋" w:hAnsi="仿宋" w:cs="仿宋"/>
                <w:color w:val="auto"/>
              </w:rPr>
              <w:t>&lt;a</w:t>
            </w:r>
            <w:r>
              <w:rPr>
                <w:rFonts w:ascii="仿宋" w:eastAsia="仿宋" w:hAnsi="仿宋" w:cs="仿宋"/>
                <w:color w:val="auto"/>
              </w:rPr>
              <w:t>≤</w:t>
            </w:r>
            <w:r>
              <w:rPr>
                <w:rFonts w:ascii="仿宋" w:eastAsia="仿宋" w:hAnsi="仿宋" w:cs="仿宋"/>
                <w:color w:val="auto"/>
              </w:rPr>
              <w:t>90</w:t>
            </w:r>
          </w:p>
        </w:tc>
        <w:tc>
          <w:tcPr>
            <w:tcW w:w="110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c>
          <w:tcPr>
            <w:tcW w:w="18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13m</w:t>
            </w:r>
          </w:p>
        </w:tc>
        <w:tc>
          <w:tcPr>
            <w:tcW w:w="18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8m</w:t>
            </w:r>
          </w:p>
        </w:tc>
      </w:tr>
    </w:tbl>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下列情形的建筑间距，按照以下规定执行：</w:t>
      </w:r>
    </w:p>
    <w:p w:rsidR="00925AC4" w:rsidRDefault="00285E1E">
      <w:pPr>
        <w:numPr>
          <w:ilvl w:val="0"/>
          <w:numId w:val="28"/>
        </w:numPr>
        <w:ind w:firstLine="560"/>
        <w:rPr>
          <w:rFonts w:ascii="仿宋" w:eastAsia="仿宋" w:hAnsi="仿宋" w:cs="仿宋"/>
          <w:color w:val="auto"/>
        </w:rPr>
      </w:pPr>
      <w:r>
        <w:rPr>
          <w:rFonts w:ascii="仿宋" w:eastAsia="仿宋" w:hAnsi="仿宋" w:cs="仿宋" w:hint="eastAsia"/>
          <w:color w:val="auto"/>
        </w:rPr>
        <w:t>中小学教学楼、</w:t>
      </w:r>
      <w:r>
        <w:rPr>
          <w:rFonts w:ascii="仿宋" w:eastAsia="仿宋" w:hAnsi="仿宋" w:cs="仿宋" w:hint="eastAsia"/>
          <w:color w:val="auto"/>
        </w:rPr>
        <w:t>6</w:t>
      </w:r>
      <w:r>
        <w:rPr>
          <w:rFonts w:ascii="仿宋" w:eastAsia="仿宋" w:hAnsi="仿宋" w:cs="仿宋" w:hint="eastAsia"/>
          <w:color w:val="auto"/>
        </w:rPr>
        <w:t>个班及以上托幼建筑、医院病房楼与相邻建筑的间距，应当在本规定</w:t>
      </w:r>
      <w:r>
        <w:rPr>
          <w:rFonts w:ascii="仿宋" w:eastAsia="仿宋" w:hAnsi="仿宋" w:cs="仿宋" w:hint="eastAsia"/>
          <w:color w:val="auto"/>
        </w:rPr>
        <w:t>3.1.6</w:t>
      </w:r>
      <w:r>
        <w:rPr>
          <w:rFonts w:ascii="仿宋" w:eastAsia="仿宋" w:hAnsi="仿宋" w:cs="仿宋" w:hint="eastAsia"/>
          <w:color w:val="auto"/>
        </w:rPr>
        <w:t>条规定的基础上增加</w:t>
      </w:r>
      <w:commentRangeStart w:id="40"/>
      <w:r>
        <w:rPr>
          <w:rFonts w:ascii="仿宋" w:eastAsia="仿宋" w:hAnsi="仿宋" w:cs="仿宋" w:hint="eastAsia"/>
          <w:color w:val="auto"/>
        </w:rPr>
        <w:t>3</w:t>
      </w:r>
      <w:r>
        <w:rPr>
          <w:rFonts w:ascii="仿宋" w:eastAsia="仿宋" w:hAnsi="仿宋" w:cs="仿宋" w:hint="eastAsia"/>
          <w:color w:val="auto"/>
        </w:rPr>
        <w:t>米</w:t>
      </w:r>
      <w:commentRangeEnd w:id="40"/>
      <w:r>
        <w:rPr>
          <w:rFonts w:ascii="仿宋" w:eastAsia="仿宋" w:hAnsi="仿宋" w:cs="仿宋" w:hint="eastAsia"/>
        </w:rPr>
        <w:commentReference w:id="40"/>
      </w:r>
      <w:r>
        <w:rPr>
          <w:rFonts w:ascii="仿宋" w:eastAsia="仿宋" w:hAnsi="仿宋" w:cs="仿宋" w:hint="eastAsia"/>
          <w:color w:val="auto"/>
        </w:rPr>
        <w:t>；</w:t>
      </w:r>
    </w:p>
    <w:p w:rsidR="00925AC4" w:rsidRDefault="00285E1E">
      <w:pPr>
        <w:numPr>
          <w:ilvl w:val="0"/>
          <w:numId w:val="28"/>
        </w:numPr>
        <w:ind w:firstLine="560"/>
        <w:rPr>
          <w:rFonts w:ascii="仿宋" w:eastAsia="仿宋" w:hAnsi="仿宋" w:cs="仿宋"/>
          <w:color w:val="auto"/>
        </w:rPr>
      </w:pPr>
      <w:r>
        <w:rPr>
          <w:rFonts w:ascii="仿宋" w:eastAsia="仿宋" w:hAnsi="仿宋" w:cs="仿宋" w:hint="eastAsia"/>
          <w:color w:val="auto"/>
        </w:rPr>
        <w:t>建筑的非住宅性质裙房与相邻建筑的间距控制按非住宅建筑与相邻建筑的间距规定执行。</w:t>
      </w:r>
    </w:p>
    <w:p w:rsidR="00925AC4" w:rsidRDefault="00285E1E">
      <w:pPr>
        <w:numPr>
          <w:ilvl w:val="0"/>
          <w:numId w:val="28"/>
        </w:numPr>
        <w:ind w:firstLine="560"/>
        <w:rPr>
          <w:rFonts w:ascii="仿宋" w:eastAsia="仿宋" w:hAnsi="仿宋" w:cs="仿宋"/>
          <w:color w:val="auto"/>
        </w:rPr>
      </w:pPr>
      <w:r>
        <w:rPr>
          <w:rFonts w:ascii="仿宋" w:eastAsia="仿宋" w:hAnsi="仿宋" w:cs="仿宋" w:hint="eastAsia"/>
          <w:color w:val="auto"/>
        </w:rPr>
        <w:t>建筑高度大于</w:t>
      </w:r>
      <w:r>
        <w:rPr>
          <w:rFonts w:ascii="仿宋" w:eastAsia="仿宋" w:hAnsi="仿宋" w:cs="仿宋" w:hint="eastAsia"/>
          <w:color w:val="auto"/>
        </w:rPr>
        <w:t>24</w:t>
      </w:r>
      <w:r>
        <w:rPr>
          <w:rFonts w:ascii="仿宋" w:eastAsia="仿宋" w:hAnsi="仿宋" w:cs="仿宋" w:hint="eastAsia"/>
          <w:color w:val="auto"/>
        </w:rPr>
        <w:t>米的单层公共建筑与相邻建筑的间距控制按非住宅高层建筑与相邻建筑的间距规定执行；</w:t>
      </w:r>
    </w:p>
    <w:p w:rsidR="00925AC4" w:rsidRDefault="00285E1E">
      <w:pPr>
        <w:numPr>
          <w:ilvl w:val="0"/>
          <w:numId w:val="28"/>
        </w:numPr>
        <w:ind w:firstLine="560"/>
        <w:rPr>
          <w:rFonts w:ascii="仿宋" w:eastAsia="仿宋" w:hAnsi="仿宋" w:cs="仿宋"/>
          <w:color w:val="auto"/>
        </w:rPr>
      </w:pPr>
      <w:bookmarkStart w:id="41" w:name="_bookmark8"/>
      <w:bookmarkEnd w:id="41"/>
      <w:r>
        <w:rPr>
          <w:rFonts w:ascii="仿宋" w:eastAsia="仿宋" w:hAnsi="仿宋" w:cs="仿宋" w:hint="eastAsia"/>
          <w:color w:val="auto"/>
        </w:rPr>
        <w:t>门卫室、车库车行出入口、地下建筑的人行出入口等独立设置的附属建筑与相邻住宅建筑的间距不小于</w:t>
      </w:r>
      <w:r>
        <w:rPr>
          <w:rFonts w:ascii="仿宋" w:eastAsia="仿宋" w:hAnsi="仿宋" w:cs="仿宋" w:hint="eastAsia"/>
          <w:color w:val="auto"/>
        </w:rPr>
        <w:t>4</w:t>
      </w:r>
      <w:r>
        <w:rPr>
          <w:rFonts w:ascii="仿宋" w:eastAsia="仿宋" w:hAnsi="仿宋" w:cs="仿宋" w:hint="eastAsia"/>
          <w:color w:val="auto"/>
        </w:rPr>
        <w:t>米；</w:t>
      </w:r>
    </w:p>
    <w:p w:rsidR="00925AC4" w:rsidRDefault="00285E1E">
      <w:pPr>
        <w:numPr>
          <w:ilvl w:val="0"/>
          <w:numId w:val="28"/>
        </w:numPr>
        <w:ind w:firstLine="560"/>
        <w:rPr>
          <w:rFonts w:ascii="仿宋" w:eastAsia="仿宋" w:hAnsi="仿宋" w:cs="仿宋"/>
          <w:color w:val="auto"/>
        </w:rPr>
      </w:pPr>
      <w:r>
        <w:rPr>
          <w:rFonts w:ascii="仿宋" w:eastAsia="仿宋" w:hAnsi="仿宋" w:cs="仿宋" w:hint="eastAsia"/>
          <w:color w:val="auto"/>
        </w:rPr>
        <w:t>历史文化街区核心保护区范围内的项目建筑间距按方案合理性确定。</w:t>
      </w:r>
    </w:p>
    <w:p w:rsidR="00925AC4" w:rsidRDefault="00285E1E">
      <w:pPr>
        <w:numPr>
          <w:ilvl w:val="0"/>
          <w:numId w:val="23"/>
        </w:numPr>
        <w:ind w:firstLine="560"/>
        <w:rPr>
          <w:rFonts w:ascii="仿宋" w:eastAsia="仿宋" w:hAnsi="仿宋" w:cs="仿宋"/>
          <w:color w:val="auto"/>
        </w:rPr>
      </w:pPr>
      <w:r>
        <w:rPr>
          <w:rFonts w:ascii="仿宋" w:eastAsia="仿宋" w:hAnsi="仿宋" w:cs="仿宋" w:hint="eastAsia"/>
          <w:color w:val="auto"/>
        </w:rPr>
        <w:t>工业建筑之间的间距</w:t>
      </w:r>
      <w:r>
        <w:rPr>
          <w:rFonts w:ascii="仿宋" w:eastAsia="仿宋" w:hAnsi="仿宋" w:cs="仿宋" w:hint="eastAsia"/>
          <w:color w:val="auto"/>
        </w:rPr>
        <w:t>按非住宅建筑的间距规定执行，且应满足以下要求：</w:t>
      </w:r>
    </w:p>
    <w:p w:rsidR="00925AC4" w:rsidRDefault="00285E1E">
      <w:pPr>
        <w:numPr>
          <w:ilvl w:val="0"/>
          <w:numId w:val="29"/>
        </w:numPr>
        <w:ind w:firstLine="560"/>
        <w:rPr>
          <w:rFonts w:ascii="仿宋" w:eastAsia="仿宋" w:hAnsi="仿宋" w:cs="仿宋"/>
          <w:color w:val="auto"/>
        </w:rPr>
      </w:pPr>
      <w:r>
        <w:rPr>
          <w:rFonts w:ascii="仿宋" w:eastAsia="仿宋" w:hAnsi="仿宋" w:cs="仿宋" w:hint="eastAsia"/>
          <w:color w:val="auto"/>
        </w:rPr>
        <w:lastRenderedPageBreak/>
        <w:t>工业建筑之间的间距应满足最新的国家建设工程消防技术标准要求；</w:t>
      </w:r>
    </w:p>
    <w:p w:rsidR="00925AC4" w:rsidRDefault="00285E1E">
      <w:pPr>
        <w:numPr>
          <w:ilvl w:val="0"/>
          <w:numId w:val="29"/>
        </w:numPr>
        <w:ind w:firstLine="560"/>
        <w:rPr>
          <w:rFonts w:ascii="仿宋" w:eastAsia="仿宋" w:hAnsi="仿宋" w:cs="仿宋"/>
          <w:color w:val="auto"/>
        </w:rPr>
      </w:pPr>
      <w:r>
        <w:rPr>
          <w:rFonts w:ascii="仿宋" w:eastAsia="仿宋" w:hAnsi="仿宋" w:cs="仿宋" w:hint="eastAsia"/>
          <w:color w:val="auto"/>
        </w:rPr>
        <w:t>有特殊要求的工业建筑，应满足相应的规范和标准。</w:t>
      </w:r>
    </w:p>
    <w:p w:rsidR="00925AC4" w:rsidRDefault="00285E1E">
      <w:pPr>
        <w:pStyle w:val="2"/>
        <w:numPr>
          <w:ilvl w:val="0"/>
          <w:numId w:val="22"/>
        </w:numPr>
        <w:ind w:firstLine="602"/>
        <w:rPr>
          <w:rFonts w:ascii="仿宋" w:eastAsia="仿宋" w:hAnsi="仿宋" w:cs="仿宋"/>
          <w:color w:val="auto"/>
          <w:sz w:val="30"/>
          <w:szCs w:val="30"/>
        </w:rPr>
      </w:pPr>
      <w:bookmarkStart w:id="42" w:name="_Toc13313"/>
      <w:r>
        <w:rPr>
          <w:rFonts w:ascii="仿宋" w:eastAsia="仿宋" w:hAnsi="仿宋" w:cs="仿宋" w:hint="eastAsia"/>
          <w:color w:val="auto"/>
          <w:sz w:val="30"/>
          <w:szCs w:val="30"/>
        </w:rPr>
        <w:t>建筑退界</w:t>
      </w:r>
      <w:bookmarkEnd w:id="42"/>
    </w:p>
    <w:p w:rsidR="00925AC4" w:rsidRDefault="00285E1E">
      <w:pPr>
        <w:numPr>
          <w:ilvl w:val="0"/>
          <w:numId w:val="30"/>
        </w:numPr>
        <w:ind w:firstLine="560"/>
        <w:rPr>
          <w:rFonts w:ascii="仿宋" w:eastAsia="仿宋" w:hAnsi="仿宋" w:cs="仿宋"/>
          <w:color w:val="auto"/>
        </w:rPr>
      </w:pPr>
      <w:r>
        <w:rPr>
          <w:rFonts w:ascii="仿宋" w:eastAsia="仿宋" w:hAnsi="仿宋" w:cs="仿宋" w:hint="eastAsia"/>
          <w:color w:val="auto"/>
        </w:rPr>
        <w:t>沿用地红线和沿规划道路、公路、河道、铁路以及市政管线等控制线或保护带的建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筑物，除退让界外现状建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距离应满足建筑间距的规定外，退界距离还应符合消防、防汛、交通等公共安全要求，并兼顾相邻用地单位利益。新建城市的主、次干道上，应预留设施带，用于交通设施、公共基础设施的安装。当用地条件受限的，在保证现状建筑结构及管线安全的前提下，可以布置在道路红线与建筑控制线之间。</w:t>
      </w:r>
    </w:p>
    <w:p w:rsidR="00925AC4" w:rsidRDefault="00285E1E">
      <w:pPr>
        <w:numPr>
          <w:ilvl w:val="0"/>
          <w:numId w:val="30"/>
        </w:numPr>
        <w:ind w:firstLine="560"/>
        <w:rPr>
          <w:rFonts w:ascii="仿宋" w:eastAsia="仿宋" w:hAnsi="仿宋" w:cs="仿宋"/>
          <w:color w:val="auto"/>
        </w:rPr>
      </w:pPr>
      <w:r>
        <w:rPr>
          <w:rFonts w:ascii="仿宋" w:eastAsia="仿宋" w:hAnsi="仿宋" w:cs="仿宋" w:hint="eastAsia"/>
          <w:color w:val="auto"/>
        </w:rPr>
        <w:t>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筑物后退规划用地界线：</w:t>
      </w:r>
    </w:p>
    <w:p w:rsidR="00925AC4" w:rsidRDefault="00285E1E">
      <w:pPr>
        <w:numPr>
          <w:ilvl w:val="0"/>
          <w:numId w:val="31"/>
        </w:numPr>
        <w:ind w:firstLine="560"/>
        <w:rPr>
          <w:rFonts w:ascii="仿宋" w:eastAsia="仿宋" w:hAnsi="仿宋" w:cs="仿宋"/>
          <w:color w:val="auto"/>
        </w:rPr>
      </w:pPr>
      <w:r>
        <w:rPr>
          <w:rFonts w:ascii="仿宋" w:eastAsia="仿宋" w:hAnsi="仿宋" w:cs="仿宋" w:hint="eastAsia"/>
          <w:color w:val="auto"/>
        </w:rPr>
        <w:t>地下建筑物后退规划用地界线的距离在满足安全要求的前提下，不得小于</w:t>
      </w:r>
      <w:r>
        <w:rPr>
          <w:rFonts w:ascii="仿宋" w:eastAsia="仿宋" w:hAnsi="仿宋" w:cs="仿宋" w:hint="eastAsia"/>
          <w:b/>
          <w:bCs/>
          <w:color w:val="auto"/>
        </w:rPr>
        <w:t>1</w:t>
      </w:r>
      <w:r>
        <w:rPr>
          <w:rFonts w:ascii="仿宋" w:eastAsia="仿宋" w:hAnsi="仿宋" w:cs="仿宋" w:hint="eastAsia"/>
          <w:color w:val="auto"/>
        </w:rPr>
        <w:t>米。其他沿建筑基地边界的建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筑物，其退后规划用地界线及相邻道路中心线距离按同性质建筑应退间距</w:t>
      </w:r>
      <w:r>
        <w:rPr>
          <w:rFonts w:ascii="仿宋" w:eastAsia="仿宋" w:hAnsi="仿宋" w:cs="仿宋" w:hint="eastAsia"/>
          <w:color w:val="auto"/>
        </w:rPr>
        <w:t>(</w:t>
      </w:r>
      <w:r>
        <w:rPr>
          <w:rFonts w:ascii="仿宋" w:eastAsia="仿宋" w:hAnsi="仿宋" w:cs="仿宋" w:hint="eastAsia"/>
          <w:color w:val="auto"/>
        </w:rPr>
        <w:t>见建筑间距章节</w:t>
      </w:r>
      <w:r>
        <w:rPr>
          <w:rFonts w:ascii="仿宋" w:eastAsia="仿宋" w:hAnsi="仿宋" w:cs="仿宋" w:hint="eastAsia"/>
          <w:color w:val="auto"/>
        </w:rPr>
        <w:t>)</w:t>
      </w:r>
      <w:r>
        <w:rPr>
          <w:rFonts w:ascii="仿宋" w:eastAsia="仿宋" w:hAnsi="仿宋" w:cs="仿宋" w:hint="eastAsia"/>
          <w:color w:val="auto"/>
        </w:rPr>
        <w:t>的一半控制；</w:t>
      </w:r>
    </w:p>
    <w:p w:rsidR="00925AC4" w:rsidRDefault="00285E1E">
      <w:pPr>
        <w:numPr>
          <w:ilvl w:val="0"/>
          <w:numId w:val="31"/>
        </w:numPr>
        <w:ind w:firstLine="560"/>
        <w:rPr>
          <w:rFonts w:ascii="仿宋" w:eastAsia="仿宋" w:hAnsi="仿宋" w:cs="仿宋"/>
          <w:color w:val="auto"/>
        </w:rPr>
      </w:pPr>
      <w:r>
        <w:rPr>
          <w:rFonts w:ascii="仿宋" w:eastAsia="仿宋" w:hAnsi="仿宋" w:cs="仿宋" w:hint="eastAsia"/>
          <w:color w:val="auto"/>
        </w:rPr>
        <w:t>用地界外为永久公共绿地、广场、水面等开敞空间时，建筑退后规划用地界线</w:t>
      </w:r>
      <w:r>
        <w:rPr>
          <w:rFonts w:ascii="仿宋" w:eastAsia="仿宋" w:hAnsi="仿宋" w:cs="仿宋" w:hint="eastAsia"/>
          <w:color w:val="auto"/>
        </w:rPr>
        <w:t>(</w:t>
      </w:r>
      <w:r>
        <w:rPr>
          <w:rFonts w:ascii="仿宋" w:eastAsia="仿宋" w:hAnsi="仿宋" w:cs="仿宋" w:hint="eastAsia"/>
          <w:color w:val="auto"/>
        </w:rPr>
        <w:t>或各类色线</w:t>
      </w:r>
      <w:r>
        <w:rPr>
          <w:rFonts w:ascii="仿宋" w:eastAsia="仿宋" w:hAnsi="仿宋" w:cs="仿宋" w:hint="eastAsia"/>
          <w:color w:val="auto"/>
        </w:rPr>
        <w:t>)</w:t>
      </w:r>
      <w:r>
        <w:rPr>
          <w:rFonts w:ascii="仿宋" w:eastAsia="仿宋" w:hAnsi="仿宋" w:cs="仿宋" w:hint="eastAsia"/>
          <w:color w:val="auto"/>
        </w:rPr>
        <w:t>的距离多层建筑不得少于</w:t>
      </w:r>
      <w:r>
        <w:rPr>
          <w:rFonts w:ascii="仿宋" w:eastAsia="仿宋" w:hAnsi="仿宋" w:cs="仿宋" w:hint="eastAsia"/>
          <w:color w:val="auto"/>
        </w:rPr>
        <w:t>5</w:t>
      </w:r>
      <w:r>
        <w:rPr>
          <w:rFonts w:ascii="仿宋" w:eastAsia="仿宋" w:hAnsi="仿宋" w:cs="仿宋" w:hint="eastAsia"/>
          <w:color w:val="auto"/>
        </w:rPr>
        <w:t>米、高层建筑不得少于</w:t>
      </w:r>
      <w:r>
        <w:rPr>
          <w:rFonts w:ascii="仿宋" w:eastAsia="仿宋" w:hAnsi="仿宋" w:cs="仿宋" w:hint="eastAsia"/>
          <w:color w:val="auto"/>
        </w:rPr>
        <w:t>10</w:t>
      </w:r>
      <w:r>
        <w:rPr>
          <w:rFonts w:ascii="仿宋" w:eastAsia="仿宋" w:hAnsi="仿宋" w:cs="仿宋" w:hint="eastAsia"/>
          <w:color w:val="auto"/>
        </w:rPr>
        <w:t>米；</w:t>
      </w:r>
    </w:p>
    <w:p w:rsidR="00925AC4" w:rsidRDefault="00285E1E">
      <w:pPr>
        <w:numPr>
          <w:ilvl w:val="0"/>
          <w:numId w:val="31"/>
        </w:numPr>
        <w:ind w:firstLine="560"/>
        <w:rPr>
          <w:rFonts w:ascii="仿宋" w:eastAsia="仿宋" w:hAnsi="仿宋" w:cs="仿宋"/>
          <w:color w:val="auto"/>
        </w:rPr>
      </w:pPr>
      <w:r>
        <w:rPr>
          <w:rFonts w:ascii="仿宋" w:eastAsia="仿宋" w:hAnsi="仿宋" w:cs="仿宋" w:hint="eastAsia"/>
          <w:color w:val="auto"/>
        </w:rPr>
        <w:t>建筑高度大于</w:t>
      </w:r>
      <w:r>
        <w:rPr>
          <w:rFonts w:ascii="仿宋" w:eastAsia="仿宋" w:hAnsi="仿宋" w:cs="仿宋" w:hint="eastAsia"/>
          <w:color w:val="auto"/>
        </w:rPr>
        <w:t>24</w:t>
      </w:r>
      <w:r>
        <w:rPr>
          <w:rFonts w:ascii="仿宋" w:eastAsia="仿宋" w:hAnsi="仿宋" w:cs="仿宋" w:hint="eastAsia"/>
          <w:color w:val="auto"/>
        </w:rPr>
        <w:t>米的单层公共建筑后退用地红线的距离根据其性质核定，最小后退距离为</w:t>
      </w:r>
      <w:r>
        <w:rPr>
          <w:rFonts w:ascii="仿宋" w:eastAsia="仿宋" w:hAnsi="仿宋" w:cs="仿宋" w:hint="eastAsia"/>
          <w:color w:val="auto"/>
        </w:rPr>
        <w:t>15</w:t>
      </w:r>
      <w:r>
        <w:rPr>
          <w:rFonts w:ascii="仿宋" w:eastAsia="仿宋" w:hAnsi="仿宋" w:cs="仿宋" w:hint="eastAsia"/>
          <w:color w:val="auto"/>
        </w:rPr>
        <w:t>米；</w:t>
      </w:r>
    </w:p>
    <w:p w:rsidR="00925AC4" w:rsidRDefault="00285E1E">
      <w:pPr>
        <w:numPr>
          <w:ilvl w:val="0"/>
          <w:numId w:val="31"/>
        </w:numPr>
        <w:ind w:firstLine="560"/>
        <w:rPr>
          <w:rFonts w:ascii="仿宋" w:eastAsia="仿宋" w:hAnsi="仿宋" w:cs="仿宋"/>
          <w:color w:val="auto"/>
        </w:rPr>
      </w:pPr>
      <w:r>
        <w:rPr>
          <w:rFonts w:ascii="仿宋" w:eastAsia="仿宋" w:hAnsi="仿宋" w:cs="仿宋" w:hint="eastAsia"/>
          <w:color w:val="auto"/>
        </w:rPr>
        <w:t>当建筑基地外已有现状建筑时，</w:t>
      </w:r>
      <w:r>
        <w:rPr>
          <w:rFonts w:ascii="仿宋" w:eastAsia="仿宋" w:hAnsi="仿宋" w:cs="仿宋" w:hint="eastAsia"/>
          <w:color w:val="auto"/>
        </w:rPr>
        <w:t>由新建建筑一方退足建筑间距</w:t>
      </w:r>
      <w:r>
        <w:rPr>
          <w:rFonts w:ascii="仿宋" w:eastAsia="仿宋" w:hAnsi="仿宋" w:cs="仿宋" w:hint="eastAsia"/>
          <w:color w:val="auto"/>
        </w:rPr>
        <w:t>。</w:t>
      </w:r>
    </w:p>
    <w:p w:rsidR="00925AC4" w:rsidRDefault="00285E1E">
      <w:pPr>
        <w:numPr>
          <w:ilvl w:val="0"/>
          <w:numId w:val="30"/>
        </w:numPr>
        <w:ind w:firstLine="560"/>
        <w:rPr>
          <w:rFonts w:ascii="仿宋" w:eastAsia="仿宋" w:hAnsi="仿宋" w:cs="仿宋"/>
          <w:color w:val="auto"/>
        </w:rPr>
      </w:pPr>
      <w:r>
        <w:rPr>
          <w:rFonts w:ascii="仿宋" w:eastAsia="仿宋" w:hAnsi="仿宋" w:cs="仿宋" w:hint="eastAsia"/>
          <w:color w:val="auto"/>
        </w:rPr>
        <w:t>各类建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筑物后退规划道路红线的最小距离应按以下原则控制：</w:t>
      </w: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表</w:t>
      </w:r>
      <w:r>
        <w:rPr>
          <w:rFonts w:ascii="仿宋" w:eastAsia="仿宋" w:hAnsi="仿宋" w:cs="仿宋" w:hint="eastAsia"/>
          <w:color w:val="auto"/>
          <w:sz w:val="24"/>
          <w:szCs w:val="24"/>
        </w:rPr>
        <w:t>3.2.3</w:t>
      </w:r>
      <w:r>
        <w:rPr>
          <w:rFonts w:ascii="仿宋" w:eastAsia="仿宋" w:hAnsi="仿宋" w:cs="仿宋" w:hint="eastAsia"/>
          <w:color w:val="auto"/>
          <w:sz w:val="24"/>
          <w:szCs w:val="24"/>
        </w:rPr>
        <w:t>各类建筑后退规划道路红线的</w:t>
      </w:r>
      <w:r>
        <w:rPr>
          <w:rFonts w:ascii="仿宋" w:eastAsia="仿宋" w:hAnsi="仿宋" w:cs="仿宋" w:hint="eastAsia"/>
          <w:color w:val="auto"/>
          <w:sz w:val="24"/>
          <w:szCs w:val="24"/>
        </w:rPr>
        <w:t>最小距离</w:t>
      </w:r>
      <w:r>
        <w:rPr>
          <w:rFonts w:ascii="仿宋" w:eastAsia="仿宋" w:hAnsi="仿宋" w:cs="仿宋" w:hint="eastAsia"/>
        </w:rPr>
        <w:commentReference w:id="43"/>
      </w:r>
    </w:p>
    <w:tbl>
      <w:tblPr>
        <w:tblStyle w:val="TableNormal"/>
        <w:tblW w:w="90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40"/>
        <w:gridCol w:w="1318"/>
        <w:gridCol w:w="1638"/>
        <w:gridCol w:w="1543"/>
      </w:tblGrid>
      <w:tr w:rsidR="00925AC4">
        <w:trPr>
          <w:trHeight w:val="700"/>
        </w:trPr>
        <w:tc>
          <w:tcPr>
            <w:tcW w:w="4540" w:type="dxa"/>
            <w:vAlign w:val="center"/>
          </w:tcPr>
          <w:p w:rsidR="00925AC4" w:rsidRDefault="00925AC4">
            <w:pPr>
              <w:pStyle w:val="ab"/>
              <w:jc w:val="both"/>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建筑计算高度</w:t>
            </w:r>
            <w:r>
              <w:rPr>
                <w:rFonts w:ascii="仿宋" w:eastAsia="仿宋" w:hAnsi="仿宋" w:cs="仿宋"/>
                <w:color w:val="auto"/>
              </w:rPr>
              <w:t>H</w:t>
            </w:r>
            <w:r>
              <w:rPr>
                <w:rFonts w:ascii="仿宋" w:eastAsia="仿宋" w:hAnsi="仿宋" w:cs="仿宋"/>
                <w:color w:val="auto"/>
              </w:rPr>
              <w:t>（</w:t>
            </w:r>
            <w:r>
              <w:rPr>
                <w:rFonts w:ascii="仿宋" w:eastAsia="仿宋" w:hAnsi="仿宋" w:cs="仿宋"/>
                <w:color w:val="auto"/>
              </w:rPr>
              <w:t>m</w:t>
            </w:r>
            <w:r>
              <w:rPr>
                <w:rFonts w:ascii="仿宋" w:eastAsia="仿宋" w:hAnsi="仿宋" w:cs="仿宋"/>
                <w:color w:val="auto"/>
              </w:rPr>
              <w:t>）</w:t>
            </w:r>
          </w:p>
          <w:p w:rsidR="00925AC4" w:rsidRDefault="00285E1E">
            <w:pPr>
              <w:pStyle w:val="ab"/>
              <w:jc w:val="center"/>
              <w:rPr>
                <w:rFonts w:ascii="仿宋" w:eastAsia="仿宋" w:hAnsi="仿宋" w:cs="仿宋" w:hint="default"/>
                <w:color w:val="auto"/>
              </w:rPr>
            </w:pPr>
            <w:r>
              <w:rPr>
                <w:rFonts w:ascii="仿宋" w:eastAsia="仿宋" w:hAnsi="仿宋" w:cs="仿宋"/>
                <w:color w:val="auto"/>
              </w:rPr>
              <w:t>道路红线宽度</w:t>
            </w:r>
            <w:r>
              <w:rPr>
                <w:rFonts w:ascii="仿宋" w:eastAsia="仿宋" w:hAnsi="仿宋" w:cs="仿宋"/>
                <w:color w:val="auto"/>
              </w:rPr>
              <w:t>D</w:t>
            </w:r>
            <w:r>
              <w:rPr>
                <w:rFonts w:ascii="仿宋" w:eastAsia="仿宋" w:hAnsi="仿宋" w:cs="仿宋"/>
                <w:color w:val="auto"/>
              </w:rPr>
              <w:t>（</w:t>
            </w:r>
            <w:r>
              <w:rPr>
                <w:rFonts w:ascii="仿宋" w:eastAsia="仿宋" w:hAnsi="仿宋" w:cs="仿宋"/>
                <w:color w:val="auto"/>
              </w:rPr>
              <w:t>m</w:t>
            </w:r>
            <w:r>
              <w:rPr>
                <w:rFonts w:ascii="仿宋" w:eastAsia="仿宋" w:hAnsi="仿宋" w:cs="仿宋"/>
                <w:color w:val="auto"/>
              </w:rPr>
              <w:t>）</w:t>
            </w:r>
          </w:p>
        </w:tc>
        <w:tc>
          <w:tcPr>
            <w:tcW w:w="131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D</w:t>
            </w:r>
            <w:r>
              <w:rPr>
                <w:rFonts w:ascii="仿宋" w:eastAsia="仿宋" w:hAnsi="仿宋" w:cs="仿宋"/>
                <w:color w:val="auto"/>
              </w:rPr>
              <w:t>≤</w:t>
            </w:r>
            <w:r>
              <w:rPr>
                <w:rFonts w:ascii="仿宋" w:eastAsia="仿宋" w:hAnsi="仿宋" w:cs="仿宋"/>
                <w:color w:val="auto"/>
              </w:rPr>
              <w:t>24</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24&lt;D&lt;36</w:t>
            </w:r>
          </w:p>
        </w:tc>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D</w:t>
            </w:r>
            <w:r>
              <w:rPr>
                <w:rFonts w:ascii="仿宋" w:eastAsia="仿宋" w:hAnsi="仿宋" w:cs="仿宋"/>
                <w:color w:val="auto"/>
              </w:rPr>
              <w:t>≥</w:t>
            </w:r>
            <w:r>
              <w:rPr>
                <w:rFonts w:ascii="仿宋" w:eastAsia="仿宋" w:hAnsi="仿宋" w:cs="仿宋"/>
                <w:color w:val="auto"/>
              </w:rPr>
              <w:t>36</w:t>
            </w:r>
          </w:p>
        </w:tc>
      </w:tr>
      <w:tr w:rsidR="00925AC4">
        <w:trPr>
          <w:trHeight w:val="454"/>
        </w:trPr>
        <w:tc>
          <w:tcPr>
            <w:tcW w:w="4540"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多、低层建筑</w:t>
            </w:r>
          </w:p>
        </w:tc>
        <w:tc>
          <w:tcPr>
            <w:tcW w:w="131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3m</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r>
              <w:rPr>
                <w:rFonts w:ascii="仿宋" w:eastAsia="仿宋" w:hAnsi="仿宋" w:cs="仿宋"/>
                <w:color w:val="auto"/>
              </w:rPr>
              <w:t>5m</w:t>
            </w:r>
          </w:p>
        </w:tc>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4-7</w:t>
            </w:r>
            <w:r>
              <w:rPr>
                <w:rFonts w:ascii="仿宋" w:eastAsia="仿宋" w:hAnsi="仿宋" w:cs="仿宋"/>
                <w:color w:val="auto"/>
              </w:rPr>
              <w:t>m</w:t>
            </w:r>
          </w:p>
        </w:tc>
      </w:tr>
      <w:tr w:rsidR="00925AC4">
        <w:trPr>
          <w:trHeight w:val="454"/>
        </w:trPr>
        <w:tc>
          <w:tcPr>
            <w:tcW w:w="4540"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高层建筑</w:t>
            </w:r>
          </w:p>
        </w:tc>
        <w:tc>
          <w:tcPr>
            <w:tcW w:w="131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3-5</w:t>
            </w:r>
            <w:r>
              <w:rPr>
                <w:rFonts w:ascii="仿宋" w:eastAsia="仿宋" w:hAnsi="仿宋" w:cs="仿宋"/>
                <w:color w:val="auto"/>
              </w:rPr>
              <w:t>m</w:t>
            </w:r>
          </w:p>
        </w:tc>
        <w:tc>
          <w:tcPr>
            <w:tcW w:w="163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w:t>
            </w:r>
            <w:r>
              <w:rPr>
                <w:rFonts w:ascii="仿宋" w:eastAsia="仿宋" w:hAnsi="仿宋" w:cs="仿宋"/>
                <w:color w:val="auto"/>
              </w:rPr>
              <w:t>10m</w:t>
            </w:r>
          </w:p>
        </w:tc>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w:t>
            </w:r>
            <w:r>
              <w:rPr>
                <w:rFonts w:ascii="仿宋" w:eastAsia="仿宋" w:hAnsi="仿宋" w:cs="仿宋"/>
                <w:color w:val="auto"/>
              </w:rPr>
              <w:t>10m</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p>
    <w:p w:rsidR="00925AC4" w:rsidRDefault="00285E1E">
      <w:pPr>
        <w:pStyle w:val="ac"/>
        <w:numPr>
          <w:ilvl w:val="0"/>
          <w:numId w:val="32"/>
        </w:numPr>
        <w:ind w:firstLine="480"/>
        <w:rPr>
          <w:rFonts w:ascii="仿宋" w:eastAsia="仿宋" w:hAnsi="仿宋" w:cs="仿宋"/>
          <w:color w:val="auto"/>
        </w:rPr>
      </w:pPr>
      <w:r>
        <w:rPr>
          <w:rFonts w:ascii="仿宋" w:eastAsia="仿宋" w:hAnsi="仿宋" w:cs="仿宋" w:hint="eastAsia"/>
          <w:color w:val="auto"/>
        </w:rPr>
        <w:t>不同高度的建筑，按各自建筑计算高度退让道路控制边线；</w:t>
      </w:r>
    </w:p>
    <w:p w:rsidR="00925AC4" w:rsidRDefault="00285E1E">
      <w:pPr>
        <w:pStyle w:val="ac"/>
        <w:numPr>
          <w:ilvl w:val="0"/>
          <w:numId w:val="32"/>
        </w:numPr>
        <w:ind w:firstLine="480"/>
        <w:rPr>
          <w:rFonts w:ascii="仿宋" w:eastAsia="仿宋" w:hAnsi="仿宋" w:cs="仿宋"/>
          <w:color w:val="auto"/>
        </w:rPr>
      </w:pPr>
      <w:r>
        <w:rPr>
          <w:rFonts w:ascii="仿宋" w:eastAsia="仿宋" w:hAnsi="仿宋" w:cs="仿宋" w:hint="eastAsia"/>
          <w:color w:val="auto"/>
        </w:rPr>
        <w:t>位于不同等级道路交叉口的，按较高等级道路的退让标准执行。</w:t>
      </w:r>
    </w:p>
    <w:p w:rsidR="00925AC4" w:rsidRDefault="00925AC4">
      <w:pPr>
        <w:pStyle w:val="ac"/>
        <w:ind w:firstLineChars="0" w:firstLine="0"/>
        <w:rPr>
          <w:rFonts w:ascii="仿宋" w:eastAsia="仿宋" w:hAnsi="仿宋" w:cs="仿宋"/>
        </w:rPr>
      </w:pPr>
    </w:p>
    <w:p w:rsidR="00925AC4" w:rsidRDefault="00285E1E">
      <w:pPr>
        <w:numPr>
          <w:ilvl w:val="0"/>
          <w:numId w:val="33"/>
        </w:numPr>
        <w:ind w:firstLine="560"/>
        <w:rPr>
          <w:rFonts w:ascii="仿宋" w:eastAsia="仿宋" w:hAnsi="仿宋" w:cs="仿宋"/>
          <w:color w:val="auto"/>
        </w:rPr>
      </w:pPr>
      <w:r>
        <w:rPr>
          <w:rFonts w:ascii="仿宋" w:eastAsia="仿宋" w:hAnsi="仿宋" w:cs="仿宋" w:hint="eastAsia"/>
          <w:color w:val="auto"/>
        </w:rPr>
        <w:t>新建影剧院、游乐场、体育馆、展览馆、大型商场、专业市场、学校、医院等有大量人流、车流集散或有特殊要求的公共建筑，其面临城市道路的主要出入口后退道路红线的距离，除满足国家规范外，由自然资源和规划行政主管部门确定</w:t>
      </w:r>
      <w:r>
        <w:rPr>
          <w:rFonts w:ascii="仿宋" w:eastAsia="仿宋" w:hAnsi="仿宋" w:cs="仿宋" w:hint="eastAsia"/>
          <w:color w:val="auto"/>
        </w:rPr>
        <w:t>地上建筑</w:t>
      </w:r>
      <w:r>
        <w:rPr>
          <w:rFonts w:ascii="仿宋" w:eastAsia="仿宋" w:hAnsi="仿宋" w:cs="仿宋" w:hint="eastAsia"/>
          <w:color w:val="auto"/>
        </w:rPr>
        <w:t>后退规划道路红线的距离，并不得小于以下要求：</w:t>
      </w:r>
    </w:p>
    <w:p w:rsidR="00925AC4" w:rsidRDefault="00285E1E">
      <w:pPr>
        <w:numPr>
          <w:ilvl w:val="0"/>
          <w:numId w:val="34"/>
        </w:numPr>
        <w:ind w:firstLine="560"/>
        <w:rPr>
          <w:rFonts w:ascii="仿宋" w:eastAsia="仿宋" w:hAnsi="仿宋" w:cs="仿宋"/>
          <w:color w:val="auto"/>
        </w:rPr>
      </w:pPr>
      <w:r>
        <w:rPr>
          <w:rFonts w:ascii="仿宋" w:eastAsia="仿宋" w:hAnsi="仿宋" w:cs="仿宋" w:hint="eastAsia"/>
          <w:color w:val="auto"/>
        </w:rPr>
        <w:t>道路红线宽度≤</w:t>
      </w:r>
      <w:r>
        <w:rPr>
          <w:rFonts w:ascii="仿宋" w:eastAsia="仿宋" w:hAnsi="仿宋" w:cs="仿宋" w:hint="eastAsia"/>
          <w:color w:val="auto"/>
        </w:rPr>
        <w:t>24</w:t>
      </w:r>
      <w:r>
        <w:rPr>
          <w:rFonts w:ascii="仿宋" w:eastAsia="仿宋" w:hAnsi="仿宋" w:cs="仿宋" w:hint="eastAsia"/>
          <w:color w:val="auto"/>
        </w:rPr>
        <w:t>米，特殊后退≥</w:t>
      </w:r>
      <w:r>
        <w:rPr>
          <w:rFonts w:ascii="仿宋" w:eastAsia="仿宋" w:hAnsi="仿宋" w:cs="仿宋" w:hint="eastAsia"/>
          <w:color w:val="auto"/>
        </w:rPr>
        <w:t>5</w:t>
      </w:r>
      <w:r>
        <w:rPr>
          <w:rFonts w:ascii="仿宋" w:eastAsia="仿宋" w:hAnsi="仿宋" w:cs="仿宋" w:hint="eastAsia"/>
          <w:color w:val="auto"/>
        </w:rPr>
        <w:t>米。</w:t>
      </w:r>
    </w:p>
    <w:p w:rsidR="00925AC4" w:rsidRDefault="00285E1E">
      <w:pPr>
        <w:numPr>
          <w:ilvl w:val="0"/>
          <w:numId w:val="34"/>
        </w:numPr>
        <w:ind w:firstLine="560"/>
        <w:rPr>
          <w:rFonts w:ascii="仿宋" w:eastAsia="仿宋" w:hAnsi="仿宋" w:cs="仿宋"/>
          <w:color w:val="auto"/>
        </w:rPr>
      </w:pPr>
      <w:r>
        <w:rPr>
          <w:rFonts w:ascii="仿宋" w:eastAsia="仿宋" w:hAnsi="仿宋" w:cs="仿宋" w:hint="eastAsia"/>
          <w:color w:val="auto"/>
        </w:rPr>
        <w:t>道路红线宽度在≥</w:t>
      </w:r>
      <w:r>
        <w:rPr>
          <w:rFonts w:ascii="仿宋" w:eastAsia="仿宋" w:hAnsi="仿宋" w:cs="仿宋" w:hint="eastAsia"/>
          <w:color w:val="auto"/>
        </w:rPr>
        <w:t>24</w:t>
      </w:r>
      <w:r>
        <w:rPr>
          <w:rFonts w:ascii="仿宋" w:eastAsia="仿宋" w:hAnsi="仿宋" w:cs="仿宋" w:hint="eastAsia"/>
          <w:color w:val="auto"/>
        </w:rPr>
        <w:t>米，特殊后退≥</w:t>
      </w:r>
      <w:r>
        <w:rPr>
          <w:rFonts w:ascii="仿宋" w:eastAsia="仿宋" w:hAnsi="仿宋" w:cs="仿宋" w:hint="eastAsia"/>
          <w:color w:val="auto"/>
        </w:rPr>
        <w:t>1</w:t>
      </w:r>
      <w:r>
        <w:rPr>
          <w:rFonts w:ascii="仿宋" w:eastAsia="仿宋" w:hAnsi="仿宋" w:cs="仿宋" w:hint="eastAsia"/>
          <w:color w:val="auto"/>
        </w:rPr>
        <w:t>0</w:t>
      </w:r>
      <w:r>
        <w:rPr>
          <w:rFonts w:ascii="仿宋" w:eastAsia="仿宋" w:hAnsi="仿宋" w:cs="仿宋" w:hint="eastAsia"/>
          <w:color w:val="auto"/>
        </w:rPr>
        <w:t>米。</w:t>
      </w:r>
      <w:r>
        <w:rPr>
          <w:rFonts w:ascii="仿宋" w:eastAsia="仿宋" w:hAnsi="仿宋" w:cs="仿宋" w:hint="eastAsia"/>
        </w:rPr>
        <w:commentReference w:id="44"/>
      </w:r>
    </w:p>
    <w:p w:rsidR="00925AC4" w:rsidRDefault="00285E1E">
      <w:pPr>
        <w:numPr>
          <w:ilvl w:val="0"/>
          <w:numId w:val="33"/>
        </w:numPr>
        <w:ind w:firstLine="560"/>
        <w:rPr>
          <w:rFonts w:ascii="仿宋" w:eastAsia="仿宋" w:hAnsi="仿宋" w:cs="仿宋"/>
          <w:color w:val="auto"/>
        </w:rPr>
      </w:pPr>
      <w:r>
        <w:rPr>
          <w:rFonts w:ascii="仿宋" w:eastAsia="仿宋" w:hAnsi="仿宋" w:cs="仿宋" w:hint="eastAsia"/>
          <w:color w:val="auto"/>
        </w:rPr>
        <w:t>临城市道路修建的围墙，应以自然资源和规划行政主管部门核定的位置为准，其形式应美观、通透。不临道路修建的围墙，不得超过其用地界线。</w:t>
      </w:r>
    </w:p>
    <w:p w:rsidR="00925AC4" w:rsidRDefault="00285E1E">
      <w:pPr>
        <w:numPr>
          <w:ilvl w:val="0"/>
          <w:numId w:val="33"/>
        </w:numPr>
        <w:ind w:firstLine="560"/>
        <w:rPr>
          <w:rFonts w:ascii="仿宋" w:eastAsia="仿宋" w:hAnsi="仿宋" w:cs="仿宋"/>
          <w:color w:val="auto"/>
        </w:rPr>
      </w:pPr>
      <w:r>
        <w:rPr>
          <w:rFonts w:ascii="仿宋" w:eastAsia="仿宋" w:hAnsi="仿宋" w:cs="仿宋" w:hint="eastAsia"/>
          <w:color w:val="auto"/>
        </w:rPr>
        <w:t>后退规划道路红线距离，应从建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筑物外墙最凸出部分起算。但离地面净空大于</w:t>
      </w:r>
      <w:r>
        <w:rPr>
          <w:rFonts w:ascii="仿宋" w:eastAsia="仿宋" w:hAnsi="仿宋" w:cs="仿宋" w:hint="eastAsia"/>
          <w:color w:val="auto"/>
        </w:rPr>
        <w:t>7</w:t>
      </w:r>
      <w:r>
        <w:rPr>
          <w:rFonts w:ascii="仿宋" w:eastAsia="仿宋" w:hAnsi="仿宋" w:cs="仿宋" w:hint="eastAsia"/>
          <w:color w:val="auto"/>
        </w:rPr>
        <w:t>米的无柱雨蓬、檐口可在后退距离内出挑或出伸，最大不</w:t>
      </w:r>
      <w:r>
        <w:rPr>
          <w:rFonts w:ascii="仿宋" w:eastAsia="仿宋" w:hAnsi="仿宋" w:cs="仿宋" w:hint="eastAsia"/>
          <w:color w:val="auto"/>
        </w:rPr>
        <w:t>宜</w:t>
      </w:r>
      <w:r>
        <w:rPr>
          <w:rFonts w:ascii="仿宋" w:eastAsia="仿宋" w:hAnsi="仿宋" w:cs="仿宋" w:hint="eastAsia"/>
          <w:color w:val="auto"/>
        </w:rPr>
        <w:t>超过建筑基本后退距离的</w:t>
      </w:r>
      <w:r>
        <w:rPr>
          <w:rFonts w:ascii="仿宋" w:eastAsia="仿宋" w:hAnsi="仿宋" w:cs="仿宋" w:hint="eastAsia"/>
          <w:color w:val="auto"/>
        </w:rPr>
        <w:t>0.5</w:t>
      </w:r>
      <w:r>
        <w:rPr>
          <w:rFonts w:ascii="仿宋" w:eastAsia="仿宋" w:hAnsi="仿宋" w:cs="仿宋" w:hint="eastAsia"/>
          <w:color w:val="auto"/>
        </w:rPr>
        <w:t>倍。</w:t>
      </w:r>
    </w:p>
    <w:p w:rsidR="00925AC4" w:rsidRDefault="00285E1E">
      <w:pPr>
        <w:numPr>
          <w:ilvl w:val="0"/>
          <w:numId w:val="33"/>
        </w:numPr>
        <w:ind w:firstLine="560"/>
        <w:rPr>
          <w:rFonts w:ascii="仿宋" w:eastAsia="仿宋" w:hAnsi="仿宋" w:cs="仿宋"/>
          <w:color w:val="auto"/>
        </w:rPr>
      </w:pPr>
      <w:r>
        <w:rPr>
          <w:rFonts w:ascii="仿宋" w:eastAsia="仿宋" w:hAnsi="仿宋" w:cs="仿宋" w:hint="eastAsia"/>
          <w:color w:val="auto"/>
        </w:rPr>
        <w:t>与城市道路相连的通道、踏步、花台等不得超越道路红线。</w:t>
      </w:r>
    </w:p>
    <w:p w:rsidR="00925AC4" w:rsidRDefault="00285E1E">
      <w:pPr>
        <w:numPr>
          <w:ilvl w:val="0"/>
          <w:numId w:val="33"/>
        </w:numPr>
        <w:ind w:firstLine="560"/>
        <w:rPr>
          <w:rFonts w:ascii="仿宋" w:eastAsia="仿宋" w:hAnsi="仿宋" w:cs="仿宋"/>
          <w:color w:val="auto"/>
        </w:rPr>
      </w:pPr>
      <w:r>
        <w:rPr>
          <w:rFonts w:ascii="仿宋" w:eastAsia="仿宋" w:hAnsi="仿宋" w:cs="仿宋" w:hint="eastAsia"/>
          <w:color w:val="auto"/>
        </w:rPr>
        <w:t>地下室</w:t>
      </w:r>
      <w:r>
        <w:rPr>
          <w:rFonts w:ascii="仿宋" w:eastAsia="仿宋" w:hAnsi="仿宋" w:cs="仿宋" w:hint="eastAsia"/>
          <w:color w:val="auto"/>
        </w:rPr>
        <w:t>(</w:t>
      </w:r>
      <w:r>
        <w:rPr>
          <w:rFonts w:ascii="仿宋" w:eastAsia="仿宋" w:hAnsi="仿宋" w:cs="仿宋" w:hint="eastAsia"/>
          <w:color w:val="auto"/>
        </w:rPr>
        <w:t>含半地下室</w:t>
      </w:r>
      <w:r>
        <w:rPr>
          <w:rFonts w:ascii="仿宋" w:eastAsia="仿宋" w:hAnsi="仿宋" w:cs="仿宋" w:hint="eastAsia"/>
          <w:color w:val="auto"/>
        </w:rPr>
        <w:t>)</w:t>
      </w:r>
      <w:r>
        <w:rPr>
          <w:rFonts w:ascii="仿宋" w:eastAsia="仿宋" w:hAnsi="仿宋" w:cs="仿宋" w:hint="eastAsia"/>
          <w:color w:val="auto"/>
        </w:rPr>
        <w:t>机动车进出口坡道的起坡点至道路红线的车道长度不小于</w:t>
      </w:r>
      <w:commentRangeStart w:id="45"/>
      <w:r>
        <w:rPr>
          <w:rFonts w:ascii="仿宋" w:eastAsia="仿宋" w:hAnsi="仿宋" w:cs="仿宋" w:hint="eastAsia"/>
          <w:color w:val="auto"/>
        </w:rPr>
        <w:t>7.5</w:t>
      </w:r>
      <w:r>
        <w:rPr>
          <w:rFonts w:ascii="仿宋" w:eastAsia="仿宋" w:hAnsi="仿宋" w:cs="仿宋" w:hint="eastAsia"/>
          <w:color w:val="auto"/>
        </w:rPr>
        <w:t>米</w:t>
      </w:r>
      <w:commentRangeEnd w:id="45"/>
      <w:r>
        <w:rPr>
          <w:rFonts w:ascii="仿宋" w:eastAsia="仿宋" w:hAnsi="仿宋" w:cs="仿宋" w:hint="eastAsia"/>
        </w:rPr>
        <w:commentReference w:id="45"/>
      </w:r>
      <w:r>
        <w:rPr>
          <w:rFonts w:ascii="仿宋" w:eastAsia="仿宋" w:hAnsi="仿宋" w:cs="仿宋" w:hint="eastAsia"/>
          <w:color w:val="auto"/>
        </w:rPr>
        <w:t>。</w:t>
      </w:r>
    </w:p>
    <w:p w:rsidR="00925AC4" w:rsidRDefault="00285E1E">
      <w:pPr>
        <w:numPr>
          <w:ilvl w:val="0"/>
          <w:numId w:val="33"/>
        </w:numPr>
        <w:ind w:firstLine="560"/>
        <w:rPr>
          <w:rFonts w:ascii="仿宋" w:eastAsia="仿宋" w:hAnsi="仿宋" w:cs="仿宋"/>
          <w:color w:val="auto"/>
        </w:rPr>
      </w:pPr>
      <w:r>
        <w:rPr>
          <w:rFonts w:ascii="仿宋" w:eastAsia="仿宋" w:hAnsi="仿宋" w:cs="仿宋" w:hint="eastAsia"/>
          <w:color w:val="auto"/>
        </w:rPr>
        <w:t>建筑高度高于</w:t>
      </w:r>
      <w:r>
        <w:rPr>
          <w:rFonts w:ascii="仿宋" w:eastAsia="仿宋" w:hAnsi="仿宋" w:cs="仿宋" w:hint="eastAsia"/>
          <w:color w:val="auto"/>
        </w:rPr>
        <w:t>24</w:t>
      </w:r>
      <w:r>
        <w:rPr>
          <w:rFonts w:ascii="仿宋" w:eastAsia="仿宋" w:hAnsi="仿宋" w:cs="仿宋" w:hint="eastAsia"/>
          <w:color w:val="auto"/>
        </w:rPr>
        <w:t>米的单层公共建筑后退规划道路红线的距离根据其用途核定，其后退距离不小于</w:t>
      </w:r>
      <w:r>
        <w:rPr>
          <w:rFonts w:ascii="仿宋" w:eastAsia="仿宋" w:hAnsi="仿宋" w:cs="仿宋" w:hint="eastAsia"/>
          <w:color w:val="auto"/>
        </w:rPr>
        <w:t>25</w:t>
      </w:r>
      <w:r>
        <w:rPr>
          <w:rFonts w:ascii="仿宋" w:eastAsia="仿宋" w:hAnsi="仿宋" w:cs="仿宋" w:hint="eastAsia"/>
          <w:color w:val="auto"/>
        </w:rPr>
        <w:t>米。</w:t>
      </w:r>
    </w:p>
    <w:p w:rsidR="00925AC4" w:rsidRDefault="00285E1E">
      <w:pPr>
        <w:numPr>
          <w:ilvl w:val="0"/>
          <w:numId w:val="30"/>
        </w:numPr>
        <w:ind w:firstLine="560"/>
        <w:rPr>
          <w:rFonts w:ascii="仿宋" w:eastAsia="仿宋" w:hAnsi="仿宋" w:cs="仿宋"/>
          <w:color w:val="auto"/>
        </w:rPr>
      </w:pPr>
      <w:r>
        <w:rPr>
          <w:rFonts w:ascii="仿宋" w:eastAsia="仿宋" w:hAnsi="仿宋" w:cs="仿宋" w:hint="eastAsia"/>
          <w:color w:val="auto"/>
        </w:rPr>
        <w:lastRenderedPageBreak/>
        <w:t>道路交叉口范围内不同高度的建筑</w:t>
      </w:r>
      <w:r>
        <w:rPr>
          <w:rFonts w:ascii="仿宋" w:eastAsia="仿宋" w:hAnsi="仿宋" w:cs="仿宋" w:hint="eastAsia"/>
          <w:color w:val="auto"/>
        </w:rPr>
        <w:t>，</w:t>
      </w:r>
      <w:r>
        <w:rPr>
          <w:rFonts w:ascii="仿宋" w:eastAsia="仿宋" w:hAnsi="仿宋" w:cs="仿宋" w:hint="eastAsia"/>
          <w:color w:val="auto"/>
        </w:rPr>
        <w:t>按各自建筑计算高度</w:t>
      </w:r>
      <w:r>
        <w:rPr>
          <w:rFonts w:ascii="仿宋" w:eastAsia="仿宋" w:hAnsi="仿宋" w:cs="仿宋" w:hint="eastAsia"/>
          <w:color w:val="auto"/>
        </w:rPr>
        <w:t>，</w:t>
      </w:r>
      <w:r>
        <w:rPr>
          <w:rFonts w:ascii="仿宋" w:eastAsia="仿宋" w:hAnsi="仿宋" w:cs="仿宋" w:hint="eastAsia"/>
          <w:color w:val="auto"/>
        </w:rPr>
        <w:t>退让城市道路红线距离在路段基本后退规定的基础上再退</w:t>
      </w:r>
      <w:r>
        <w:rPr>
          <w:rFonts w:ascii="仿宋" w:eastAsia="仿宋" w:hAnsi="仿宋" w:cs="仿宋" w:hint="eastAsia"/>
          <w:color w:val="auto"/>
        </w:rPr>
        <w:t>2</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有特殊要求的道路交叉口退让城市道路红线的距离由自然资源和规划行政主管部门研究确定。</w:t>
      </w:r>
      <w:r>
        <w:rPr>
          <w:rFonts w:ascii="仿宋" w:eastAsia="仿宋" w:hAnsi="仿宋" w:cs="仿宋" w:hint="eastAsia"/>
        </w:rPr>
        <w:commentReference w:id="46"/>
      </w:r>
    </w:p>
    <w:p w:rsidR="00925AC4" w:rsidRDefault="00285E1E">
      <w:pPr>
        <w:numPr>
          <w:ilvl w:val="0"/>
          <w:numId w:val="30"/>
        </w:numPr>
        <w:ind w:firstLine="560"/>
        <w:rPr>
          <w:rFonts w:ascii="仿宋" w:eastAsia="仿宋" w:hAnsi="仿宋" w:cs="仿宋"/>
          <w:color w:val="auto"/>
        </w:rPr>
      </w:pPr>
      <w:r>
        <w:rPr>
          <w:rFonts w:ascii="仿宋" w:eastAsia="仿宋" w:hAnsi="仿宋" w:cs="仿宋" w:hint="eastAsia"/>
          <w:color w:val="auto"/>
        </w:rPr>
        <w:t>各类建筑物后退不临规划道路的市政管线的距离应满足以下规定：</w:t>
      </w:r>
      <w:r>
        <w:rPr>
          <w:rFonts w:ascii="仿宋" w:eastAsia="仿宋" w:hAnsi="仿宋" w:cs="仿宋" w:hint="eastAsia"/>
          <w:color w:val="auto"/>
        </w:rPr>
        <w:t>管线在市政红线以内的</w:t>
      </w:r>
      <w:r>
        <w:rPr>
          <w:rFonts w:ascii="仿宋" w:eastAsia="仿宋" w:hAnsi="仿宋" w:cs="仿宋" w:hint="eastAsia"/>
          <w:color w:val="auto"/>
        </w:rPr>
        <w:t>不应小于</w:t>
      </w:r>
      <w:r>
        <w:rPr>
          <w:rFonts w:ascii="仿宋" w:eastAsia="仿宋" w:hAnsi="仿宋" w:cs="仿宋" w:hint="eastAsia"/>
          <w:color w:val="auto"/>
        </w:rPr>
        <w:t>1</w:t>
      </w:r>
      <w:r>
        <w:rPr>
          <w:rFonts w:ascii="仿宋" w:eastAsia="仿宋" w:hAnsi="仿宋" w:cs="仿宋" w:hint="eastAsia"/>
          <w:color w:val="auto"/>
        </w:rPr>
        <w:t>米，管线在市政红线以外的，以审批方案为准。</w:t>
      </w:r>
    </w:p>
    <w:p w:rsidR="00925AC4" w:rsidRDefault="00285E1E">
      <w:pPr>
        <w:numPr>
          <w:ilvl w:val="0"/>
          <w:numId w:val="30"/>
        </w:numPr>
        <w:ind w:firstLine="560"/>
        <w:rPr>
          <w:rFonts w:ascii="仿宋" w:eastAsia="仿宋" w:hAnsi="仿宋" w:cs="仿宋"/>
          <w:color w:val="auto"/>
        </w:rPr>
      </w:pPr>
      <w:bookmarkStart w:id="47" w:name="_bookmark9"/>
      <w:bookmarkEnd w:id="47"/>
      <w:r>
        <w:rPr>
          <w:rFonts w:ascii="仿宋" w:eastAsia="仿宋" w:hAnsi="仿宋" w:cs="仿宋" w:hint="eastAsia"/>
          <w:color w:val="auto"/>
        </w:rPr>
        <w:t>沿铁路线、铁路道口、桥梁、隧道、高切坡路段两侧的建筑后退及新建建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筑物距公路两侧的最小后退距离应按相关专业技术规范或标准执行。</w:t>
      </w:r>
    </w:p>
    <w:p w:rsidR="00925AC4" w:rsidRDefault="00285E1E">
      <w:pPr>
        <w:pStyle w:val="2"/>
        <w:numPr>
          <w:ilvl w:val="0"/>
          <w:numId w:val="22"/>
        </w:numPr>
        <w:ind w:firstLine="602"/>
        <w:rPr>
          <w:rFonts w:ascii="仿宋" w:eastAsia="仿宋" w:hAnsi="仿宋" w:cs="仿宋"/>
          <w:color w:val="auto"/>
          <w:sz w:val="30"/>
          <w:szCs w:val="30"/>
        </w:rPr>
      </w:pPr>
      <w:bookmarkStart w:id="48" w:name="_Toc4104"/>
      <w:r>
        <w:rPr>
          <w:rFonts w:ascii="仿宋" w:eastAsia="仿宋" w:hAnsi="仿宋" w:cs="仿宋" w:hint="eastAsia"/>
          <w:color w:val="auto"/>
          <w:sz w:val="30"/>
          <w:szCs w:val="30"/>
        </w:rPr>
        <w:t>建筑形态及其他管理要求</w:t>
      </w:r>
      <w:bookmarkEnd w:id="48"/>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为进一步优化城市形态，提升城市建筑品质，各类建筑形态应依托城市开敞空间和主要道路，形成高低错落、层次丰富、疏密有致的城市轮廓。建筑除必须满足采光、通风、间距、消防等方面的要求外，应同时符合以下规定。</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天际轮廓线宜顺山形起伏，形成层次丰富有序的城市轮廓：</w:t>
      </w:r>
    </w:p>
    <w:p w:rsidR="00925AC4" w:rsidRDefault="00285E1E">
      <w:pPr>
        <w:numPr>
          <w:ilvl w:val="0"/>
          <w:numId w:val="36"/>
        </w:numPr>
        <w:ind w:firstLine="560"/>
        <w:rPr>
          <w:rFonts w:ascii="仿宋" w:eastAsia="仿宋" w:hAnsi="仿宋" w:cs="仿宋"/>
          <w:color w:val="auto"/>
        </w:rPr>
      </w:pPr>
      <w:r>
        <w:rPr>
          <w:rFonts w:ascii="仿宋" w:eastAsia="仿宋" w:hAnsi="仿宋" w:cs="仿宋" w:hint="eastAsia"/>
          <w:color w:val="auto"/>
        </w:rPr>
        <w:t>风景名胜区、公园绿地、广场、城市重要水体、城市重要道路周边的建设项目，原则上应当遵循建筑前低后高、错落有致的布局原则，并结合地形高差和周边环境，形成富于变化的城市天际轮廓线；</w:t>
      </w:r>
    </w:p>
    <w:p w:rsidR="00925AC4" w:rsidRDefault="00285E1E">
      <w:pPr>
        <w:numPr>
          <w:ilvl w:val="0"/>
          <w:numId w:val="36"/>
        </w:numPr>
        <w:ind w:firstLine="560"/>
        <w:rPr>
          <w:rFonts w:ascii="仿宋" w:eastAsia="仿宋" w:hAnsi="仿宋" w:cs="仿宋"/>
          <w:color w:val="auto"/>
        </w:rPr>
      </w:pPr>
      <w:r>
        <w:rPr>
          <w:rFonts w:ascii="仿宋" w:eastAsia="仿宋" w:hAnsi="仿宋" w:cs="仿宋" w:hint="eastAsia"/>
          <w:color w:val="auto"/>
        </w:rPr>
        <w:t>横向轮廓：隔河相望的视觉效果，沿河展开面建筑轮廓宜顺应山形起伏，呼应山体特征，宜采</w:t>
      </w:r>
      <w:r>
        <w:rPr>
          <w:rFonts w:ascii="仿宋" w:eastAsia="仿宋" w:hAnsi="仿宋" w:cs="仿宋" w:hint="eastAsia"/>
          <w:color w:val="auto"/>
        </w:rPr>
        <w:t>用组团布局，视觉走廊连续展开面不宜过长；</w:t>
      </w:r>
    </w:p>
    <w:p w:rsidR="00925AC4" w:rsidRDefault="00285E1E">
      <w:pPr>
        <w:numPr>
          <w:ilvl w:val="0"/>
          <w:numId w:val="36"/>
        </w:numPr>
        <w:ind w:firstLine="560"/>
        <w:rPr>
          <w:rFonts w:ascii="仿宋" w:eastAsia="仿宋" w:hAnsi="仿宋" w:cs="仿宋"/>
          <w:color w:val="auto"/>
        </w:rPr>
      </w:pPr>
      <w:r>
        <w:rPr>
          <w:rFonts w:ascii="仿宋" w:eastAsia="仿宋" w:hAnsi="仿宋" w:cs="仿宋" w:hint="eastAsia"/>
          <w:noProof/>
          <w:color w:val="auto"/>
        </w:rPr>
        <w:drawing>
          <wp:anchor distT="0" distB="0" distL="114300" distR="114300" simplePos="0" relativeHeight="251668480" behindDoc="0" locked="0" layoutInCell="1" allowOverlap="1">
            <wp:simplePos x="0" y="0"/>
            <wp:positionH relativeFrom="column">
              <wp:posOffset>1192530</wp:posOffset>
            </wp:positionH>
            <wp:positionV relativeFrom="paragraph">
              <wp:posOffset>614680</wp:posOffset>
            </wp:positionV>
            <wp:extent cx="3318510" cy="1920875"/>
            <wp:effectExtent l="0" t="0" r="15240" b="3175"/>
            <wp:wrapNone/>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pic:cNvPicPr>
                  </pic:nvPicPr>
                  <pic:blipFill>
                    <a:blip r:embed="rId46" cstate="print"/>
                    <a:stretch>
                      <a:fillRect/>
                    </a:stretch>
                  </pic:blipFill>
                  <pic:spPr>
                    <a:xfrm>
                      <a:off x="0" y="0"/>
                      <a:ext cx="3318510" cy="1920875"/>
                    </a:xfrm>
                    <a:prstGeom prst="rect">
                      <a:avLst/>
                    </a:prstGeom>
                    <a:noFill/>
                    <a:ln>
                      <a:noFill/>
                    </a:ln>
                  </pic:spPr>
                </pic:pic>
              </a:graphicData>
            </a:graphic>
          </wp:anchor>
        </w:drawing>
      </w:r>
      <w:r>
        <w:rPr>
          <w:rFonts w:ascii="仿宋" w:eastAsia="仿宋" w:hAnsi="仿宋" w:cs="仿宋" w:hint="eastAsia"/>
          <w:color w:val="auto"/>
        </w:rPr>
        <w:t>纵深层次：建筑高度自江向山纵深方向控制时，近水、近山区域宜低。</w:t>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图</w:t>
      </w:r>
      <w:r>
        <w:rPr>
          <w:rFonts w:ascii="仿宋" w:eastAsia="仿宋" w:hAnsi="仿宋" w:cs="仿宋" w:hint="eastAsia"/>
          <w:color w:val="auto"/>
          <w:sz w:val="24"/>
          <w:szCs w:val="24"/>
        </w:rPr>
        <w:t>3.3.2</w:t>
      </w:r>
      <w:r>
        <w:rPr>
          <w:rFonts w:ascii="仿宋" w:eastAsia="仿宋" w:hAnsi="仿宋" w:cs="仿宋" w:hint="eastAsia"/>
          <w:color w:val="auto"/>
          <w:sz w:val="24"/>
          <w:szCs w:val="24"/>
        </w:rPr>
        <w:t>纵深层次建筑高度控制示意图</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建筑高度规划控制：</w:t>
      </w:r>
    </w:p>
    <w:p w:rsidR="00925AC4" w:rsidRDefault="00285E1E">
      <w:pPr>
        <w:numPr>
          <w:ilvl w:val="0"/>
          <w:numId w:val="37"/>
        </w:numPr>
        <w:ind w:firstLine="560"/>
        <w:rPr>
          <w:rFonts w:ascii="仿宋" w:eastAsia="仿宋" w:hAnsi="仿宋" w:cs="仿宋"/>
          <w:color w:val="auto"/>
        </w:rPr>
      </w:pPr>
      <w:r>
        <w:rPr>
          <w:rFonts w:ascii="仿宋" w:eastAsia="仿宋" w:hAnsi="仿宋" w:cs="仿宋" w:hint="eastAsia"/>
          <w:color w:val="auto"/>
        </w:rPr>
        <w:t>在已编制控规、修建性详细规划或城市设计地区内进行建设的，建筑高度应按已批准的规划或城市设计的要求控制；</w:t>
      </w:r>
    </w:p>
    <w:p w:rsidR="00925AC4" w:rsidRDefault="00285E1E">
      <w:pPr>
        <w:numPr>
          <w:ilvl w:val="0"/>
          <w:numId w:val="37"/>
        </w:numPr>
        <w:ind w:firstLine="560"/>
        <w:rPr>
          <w:rFonts w:ascii="仿宋" w:eastAsia="仿宋" w:hAnsi="仿宋" w:cs="仿宋"/>
          <w:color w:val="auto"/>
        </w:rPr>
      </w:pPr>
      <w:r>
        <w:rPr>
          <w:rFonts w:ascii="仿宋" w:eastAsia="仿宋" w:hAnsi="仿宋" w:cs="仿宋" w:hint="eastAsia"/>
          <w:color w:val="auto"/>
        </w:rPr>
        <w:t>在有净空限制的飞机场、气象台</w:t>
      </w:r>
      <w:r>
        <w:rPr>
          <w:rFonts w:ascii="仿宋" w:eastAsia="仿宋" w:hAnsi="仿宋" w:cs="仿宋" w:hint="eastAsia"/>
          <w:color w:val="auto"/>
        </w:rPr>
        <w:t>(</w:t>
      </w:r>
      <w:r>
        <w:rPr>
          <w:rFonts w:ascii="仿宋" w:eastAsia="仿宋" w:hAnsi="仿宋" w:cs="仿宋" w:hint="eastAsia"/>
          <w:color w:val="auto"/>
        </w:rPr>
        <w:t>站</w:t>
      </w:r>
      <w:r>
        <w:rPr>
          <w:rFonts w:ascii="仿宋" w:eastAsia="仿宋" w:hAnsi="仿宋" w:cs="仿宋" w:hint="eastAsia"/>
          <w:color w:val="auto"/>
        </w:rPr>
        <w:t>)</w:t>
      </w:r>
      <w:r>
        <w:rPr>
          <w:rFonts w:ascii="仿宋" w:eastAsia="仿宋" w:hAnsi="仿宋" w:cs="仿宋" w:hint="eastAsia"/>
          <w:color w:val="auto"/>
        </w:rPr>
        <w:t>、电台、电视台、无线电通讯</w:t>
      </w:r>
      <w:r>
        <w:rPr>
          <w:rFonts w:ascii="仿宋" w:eastAsia="仿宋" w:hAnsi="仿宋" w:cs="仿宋" w:hint="eastAsia"/>
          <w:color w:val="auto"/>
        </w:rPr>
        <w:t>(</w:t>
      </w:r>
      <w:r>
        <w:rPr>
          <w:rFonts w:ascii="仿宋" w:eastAsia="仿宋" w:hAnsi="仿宋" w:cs="仿宋" w:hint="eastAsia"/>
          <w:color w:val="auto"/>
        </w:rPr>
        <w:t>含微波通道</w:t>
      </w:r>
      <w:r>
        <w:rPr>
          <w:rFonts w:ascii="仿宋" w:eastAsia="仿宋" w:hAnsi="仿宋" w:cs="仿宋" w:hint="eastAsia"/>
          <w:color w:val="auto"/>
        </w:rPr>
        <w:t>)</w:t>
      </w:r>
      <w:r>
        <w:rPr>
          <w:rFonts w:ascii="仿宋" w:eastAsia="仿宋" w:hAnsi="仿宋" w:cs="仿宋" w:hint="eastAsia"/>
          <w:color w:val="auto"/>
        </w:rPr>
        <w:t>设施周围和国土空间规划确定的城市视线走廊等有高度限制的区域的新建、改建、扩建建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筑物，其控制高度应符合相关高度限制规定；</w:t>
      </w:r>
    </w:p>
    <w:p w:rsidR="00925AC4" w:rsidRDefault="00285E1E">
      <w:pPr>
        <w:numPr>
          <w:ilvl w:val="0"/>
          <w:numId w:val="37"/>
        </w:numPr>
        <w:ind w:firstLine="560"/>
        <w:rPr>
          <w:rFonts w:ascii="仿宋" w:eastAsia="仿宋" w:hAnsi="仿宋" w:cs="仿宋"/>
          <w:color w:val="auto"/>
        </w:rPr>
      </w:pPr>
      <w:r>
        <w:rPr>
          <w:rFonts w:ascii="仿宋" w:eastAsia="仿宋" w:hAnsi="仿宋" w:cs="仿宋" w:hint="eastAsia"/>
          <w:color w:val="auto"/>
        </w:rPr>
        <w:t>文物保护单位和保护建筑的建设控制区域内新建、改建、扩建建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筑物，其控制高度应符合文物和建筑保护的有关规定，并应编制含视线分析的修建性详细规划、城市设计或建筑设计方案报批；</w:t>
      </w:r>
    </w:p>
    <w:p w:rsidR="00925AC4" w:rsidRDefault="00285E1E">
      <w:pPr>
        <w:numPr>
          <w:ilvl w:val="0"/>
          <w:numId w:val="37"/>
        </w:numPr>
        <w:ind w:firstLine="560"/>
        <w:rPr>
          <w:rFonts w:ascii="仿宋" w:eastAsia="仿宋" w:hAnsi="仿宋" w:cs="仿宋"/>
          <w:color w:val="auto"/>
        </w:rPr>
      </w:pPr>
      <w:r>
        <w:rPr>
          <w:rFonts w:ascii="仿宋" w:eastAsia="仿宋" w:hAnsi="仿宋" w:cs="仿宋" w:hint="eastAsia"/>
          <w:color w:val="auto"/>
        </w:rPr>
        <w:t>住宅小区原则上建筑楼层不得大于</w:t>
      </w:r>
      <w:r>
        <w:rPr>
          <w:rFonts w:ascii="仿宋" w:eastAsia="仿宋" w:hAnsi="仿宋" w:cs="仿宋" w:hint="eastAsia"/>
          <w:color w:val="auto"/>
        </w:rPr>
        <w:t>26</w:t>
      </w:r>
      <w:r>
        <w:rPr>
          <w:rFonts w:ascii="仿宋" w:eastAsia="仿宋" w:hAnsi="仿宋" w:cs="仿宋" w:hint="eastAsia"/>
          <w:color w:val="auto"/>
        </w:rPr>
        <w:t>层，建筑高度控制在</w:t>
      </w:r>
      <w:r>
        <w:rPr>
          <w:rFonts w:ascii="仿宋" w:eastAsia="仿宋" w:hAnsi="仿宋" w:cs="仿宋" w:hint="eastAsia"/>
          <w:color w:val="auto"/>
        </w:rPr>
        <w:t>80</w:t>
      </w:r>
      <w:r>
        <w:rPr>
          <w:rFonts w:ascii="仿宋" w:eastAsia="仿宋" w:hAnsi="仿宋" w:cs="仿宋" w:hint="eastAsia"/>
          <w:color w:val="auto"/>
        </w:rPr>
        <w:t>米以下。</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建筑面宽应满足以下要求：</w:t>
      </w:r>
    </w:p>
    <w:p w:rsidR="00925AC4" w:rsidRDefault="00285E1E">
      <w:pPr>
        <w:numPr>
          <w:ilvl w:val="0"/>
          <w:numId w:val="38"/>
        </w:numPr>
        <w:ind w:firstLine="560"/>
        <w:rPr>
          <w:rFonts w:ascii="仿宋" w:eastAsia="仿宋" w:hAnsi="仿宋" w:cs="仿宋"/>
          <w:color w:val="auto"/>
        </w:rPr>
      </w:pPr>
      <w:r>
        <w:rPr>
          <w:rFonts w:ascii="仿宋" w:eastAsia="仿宋" w:hAnsi="仿宋" w:cs="仿宋" w:hint="eastAsia"/>
          <w:color w:val="auto"/>
        </w:rPr>
        <w:t>建筑高度不高于</w:t>
      </w:r>
      <w:r>
        <w:rPr>
          <w:rFonts w:ascii="仿宋" w:eastAsia="仿宋" w:hAnsi="仿宋" w:cs="仿宋" w:hint="eastAsia"/>
          <w:color w:val="auto"/>
        </w:rPr>
        <w:t>27</w:t>
      </w:r>
      <w:r>
        <w:rPr>
          <w:rFonts w:ascii="仿宋" w:eastAsia="仿宋" w:hAnsi="仿宋" w:cs="仿宋" w:hint="eastAsia"/>
          <w:color w:val="auto"/>
        </w:rPr>
        <w:t>米时，最大连续面宽投影不宜大于</w:t>
      </w:r>
      <w:r>
        <w:rPr>
          <w:rFonts w:ascii="仿宋" w:eastAsia="仿宋" w:hAnsi="仿宋" w:cs="仿宋" w:hint="eastAsia"/>
          <w:color w:val="auto"/>
        </w:rPr>
        <w:t>80</w:t>
      </w:r>
      <w:r>
        <w:rPr>
          <w:rFonts w:ascii="仿宋" w:eastAsia="仿宋" w:hAnsi="仿宋" w:cs="仿宋" w:hint="eastAsia"/>
          <w:color w:val="auto"/>
        </w:rPr>
        <w:t>米；建筑高度高于</w:t>
      </w:r>
      <w:r>
        <w:rPr>
          <w:rFonts w:ascii="仿宋" w:eastAsia="仿宋" w:hAnsi="仿宋" w:cs="仿宋" w:hint="eastAsia"/>
          <w:color w:val="auto"/>
        </w:rPr>
        <w:t>27</w:t>
      </w:r>
      <w:r>
        <w:rPr>
          <w:rFonts w:ascii="仿宋" w:eastAsia="仿宋" w:hAnsi="仿宋" w:cs="仿宋" w:hint="eastAsia"/>
          <w:color w:val="auto"/>
        </w:rPr>
        <w:t>米且不大于</w:t>
      </w:r>
      <w:r>
        <w:rPr>
          <w:rFonts w:ascii="仿宋" w:eastAsia="仿宋" w:hAnsi="仿宋" w:cs="仿宋" w:hint="eastAsia"/>
          <w:color w:val="auto"/>
        </w:rPr>
        <w:t>60</w:t>
      </w:r>
      <w:r>
        <w:rPr>
          <w:rFonts w:ascii="仿宋" w:eastAsia="仿宋" w:hAnsi="仿宋" w:cs="仿宋" w:hint="eastAsia"/>
          <w:color w:val="auto"/>
        </w:rPr>
        <w:t>米时，最大连续面宽的投影不宜大于</w:t>
      </w:r>
      <w:r>
        <w:rPr>
          <w:rFonts w:ascii="仿宋" w:eastAsia="仿宋" w:hAnsi="仿宋" w:cs="仿宋" w:hint="eastAsia"/>
          <w:color w:val="auto"/>
        </w:rPr>
        <w:t>70</w:t>
      </w:r>
      <w:r>
        <w:rPr>
          <w:rFonts w:ascii="仿宋" w:eastAsia="仿宋" w:hAnsi="仿宋" w:cs="仿宋" w:hint="eastAsia"/>
          <w:color w:val="auto"/>
        </w:rPr>
        <w:t>米；建筑高度高于</w:t>
      </w:r>
      <w:r>
        <w:rPr>
          <w:rFonts w:ascii="仿宋" w:eastAsia="仿宋" w:hAnsi="仿宋" w:cs="仿宋" w:hint="eastAsia"/>
          <w:color w:val="auto"/>
        </w:rPr>
        <w:t>60</w:t>
      </w:r>
      <w:r>
        <w:rPr>
          <w:rFonts w:ascii="仿宋" w:eastAsia="仿宋" w:hAnsi="仿宋" w:cs="仿宋" w:hint="eastAsia"/>
          <w:color w:val="auto"/>
        </w:rPr>
        <w:t>米时，其主要朝向投影面宽不宜大于</w:t>
      </w:r>
      <w:r>
        <w:rPr>
          <w:rFonts w:ascii="仿宋" w:eastAsia="仿宋" w:hAnsi="仿宋" w:cs="仿宋" w:hint="eastAsia"/>
          <w:color w:val="auto"/>
        </w:rPr>
        <w:t>45</w:t>
      </w:r>
      <w:r>
        <w:rPr>
          <w:rFonts w:ascii="仿宋" w:eastAsia="仿宋" w:hAnsi="仿宋" w:cs="仿宋" w:hint="eastAsia"/>
          <w:color w:val="auto"/>
        </w:rPr>
        <w:t>米；临道路交叉口的转角建筑，按展开面计算建筑面宽，其展开面面宽不得</w:t>
      </w:r>
      <w:r>
        <w:rPr>
          <w:rFonts w:ascii="仿宋" w:eastAsia="仿宋" w:hAnsi="仿宋" w:cs="仿宋" w:hint="eastAsia"/>
          <w:color w:val="auto"/>
        </w:rPr>
        <w:t>超过上述规定的</w:t>
      </w:r>
      <w:r>
        <w:rPr>
          <w:rFonts w:ascii="仿宋" w:eastAsia="仿宋" w:hAnsi="仿宋" w:cs="仿宋" w:hint="eastAsia"/>
          <w:color w:val="auto"/>
        </w:rPr>
        <w:t>1.2</w:t>
      </w:r>
      <w:r>
        <w:rPr>
          <w:rFonts w:ascii="仿宋" w:eastAsia="仿宋" w:hAnsi="仿宋" w:cs="仿宋" w:hint="eastAsia"/>
          <w:color w:val="auto"/>
        </w:rPr>
        <w:t>倍。</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lastRenderedPageBreak/>
        <w:t>建筑最大连续面宽超过以上规定，断开距离</w:t>
      </w:r>
      <w:r>
        <w:rPr>
          <w:rFonts w:ascii="仿宋" w:eastAsia="仿宋" w:hAnsi="仿宋" w:cs="仿宋" w:hint="eastAsia"/>
          <w:color w:val="auto"/>
        </w:rPr>
        <w:t>不低于</w:t>
      </w:r>
      <w:r>
        <w:rPr>
          <w:rFonts w:ascii="仿宋" w:eastAsia="仿宋" w:hAnsi="仿宋" w:cs="仿宋" w:hint="eastAsia"/>
          <w:color w:val="auto"/>
        </w:rPr>
        <w:t>13</w:t>
      </w:r>
      <w:r>
        <w:rPr>
          <w:rFonts w:ascii="仿宋" w:eastAsia="仿宋" w:hAnsi="仿宋" w:cs="仿宋" w:hint="eastAsia"/>
          <w:color w:val="auto"/>
        </w:rPr>
        <w:t>米</w:t>
      </w:r>
      <w:r>
        <w:rPr>
          <w:rFonts w:ascii="仿宋" w:eastAsia="仿宋" w:hAnsi="仿宋" w:cs="仿宋" w:hint="eastAsia"/>
          <w:color w:val="auto"/>
        </w:rPr>
        <w:t>。</w:t>
      </w:r>
    </w:p>
    <w:p w:rsidR="00925AC4" w:rsidRDefault="00285E1E">
      <w:pPr>
        <w:numPr>
          <w:ilvl w:val="0"/>
          <w:numId w:val="38"/>
        </w:numPr>
        <w:ind w:firstLine="560"/>
        <w:rPr>
          <w:rFonts w:ascii="仿宋" w:eastAsia="仿宋" w:hAnsi="仿宋" w:cs="仿宋"/>
          <w:color w:val="auto"/>
        </w:rPr>
      </w:pPr>
      <w:r>
        <w:rPr>
          <w:rFonts w:ascii="仿宋" w:eastAsia="仿宋" w:hAnsi="仿宋" w:cs="仿宋" w:hint="eastAsia"/>
          <w:color w:val="auto"/>
        </w:rPr>
        <w:t>不同建筑高度组成的连续建筑，其最大连续面宽的投影上限值按最高建筑高度所对应的主要朝向投影面宽执行</w:t>
      </w:r>
      <w:r>
        <w:rPr>
          <w:rFonts w:ascii="仿宋" w:eastAsia="仿宋" w:hAnsi="仿宋" w:cs="仿宋" w:hint="eastAsia"/>
          <w:color w:val="auto"/>
        </w:rPr>
        <w:t>(</w:t>
      </w:r>
      <w:r>
        <w:rPr>
          <w:rFonts w:ascii="仿宋" w:eastAsia="仿宋" w:hAnsi="仿宋" w:cs="仿宋" w:hint="eastAsia"/>
          <w:color w:val="auto"/>
        </w:rPr>
        <w:t>详见图</w:t>
      </w:r>
      <w:r>
        <w:rPr>
          <w:rFonts w:ascii="仿宋" w:eastAsia="仿宋" w:hAnsi="仿宋" w:cs="仿宋" w:hint="eastAsia"/>
          <w:color w:val="auto"/>
        </w:rPr>
        <w:t>3.3.4)</w:t>
      </w:r>
      <w:r>
        <w:rPr>
          <w:rFonts w:ascii="仿宋" w:eastAsia="仿宋" w:hAnsi="仿宋" w:cs="仿宋" w:hint="eastAsia"/>
          <w:color w:val="auto"/>
        </w:rPr>
        <w:t>。</w:t>
      </w:r>
    </w:p>
    <w:p w:rsidR="00925AC4" w:rsidRDefault="00285E1E" w:rsidP="008E7712">
      <w:pPr>
        <w:ind w:firstLine="560"/>
        <w:rPr>
          <w:rFonts w:ascii="仿宋" w:eastAsia="仿宋" w:hAnsi="仿宋" w:cs="仿宋"/>
          <w:color w:val="0000FF"/>
        </w:rPr>
      </w:pPr>
      <w:r>
        <w:rPr>
          <w:rFonts w:ascii="仿宋" w:eastAsia="仿宋" w:hAnsi="仿宋" w:cs="仿宋" w:hint="eastAsia"/>
          <w:noProof/>
          <w:color w:val="auto"/>
        </w:rPr>
        <w:drawing>
          <wp:anchor distT="0" distB="0" distL="114300" distR="114300" simplePos="0" relativeHeight="251669504" behindDoc="0" locked="0" layoutInCell="1" allowOverlap="1">
            <wp:simplePos x="0" y="0"/>
            <wp:positionH relativeFrom="column">
              <wp:posOffset>1219835</wp:posOffset>
            </wp:positionH>
            <wp:positionV relativeFrom="paragraph">
              <wp:posOffset>132715</wp:posOffset>
            </wp:positionV>
            <wp:extent cx="3371850" cy="1809750"/>
            <wp:effectExtent l="0" t="0" r="0" b="0"/>
            <wp:wrapNone/>
            <wp:docPr id="1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
                    <pic:cNvPicPr>
                      <a:picLocks noChangeAspect="1"/>
                    </pic:cNvPicPr>
                  </pic:nvPicPr>
                  <pic:blipFill>
                    <a:blip r:embed="rId47" cstate="print"/>
                    <a:stretch>
                      <a:fillRect/>
                    </a:stretch>
                  </pic:blipFill>
                  <pic:spPr>
                    <a:xfrm>
                      <a:off x="0" y="0"/>
                      <a:ext cx="3371850" cy="1809750"/>
                    </a:xfrm>
                    <a:prstGeom prst="rect">
                      <a:avLst/>
                    </a:prstGeom>
                    <a:noFill/>
                    <a:ln>
                      <a:noFill/>
                    </a:ln>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rsidP="008E7712">
      <w:pPr>
        <w:ind w:firstLine="560"/>
        <w:jc w:val="center"/>
        <w:rPr>
          <w:rFonts w:ascii="仿宋" w:eastAsia="仿宋" w:hAnsi="仿宋" w:cs="仿宋"/>
          <w:color w:val="0000FF"/>
        </w:rPr>
      </w:pPr>
      <w:r>
        <w:rPr>
          <w:rFonts w:ascii="仿宋" w:eastAsia="仿宋" w:hAnsi="仿宋" w:cs="仿宋" w:hint="eastAsia"/>
          <w:color w:val="0000FF"/>
        </w:rPr>
        <w:t>图</w:t>
      </w:r>
      <w:r>
        <w:rPr>
          <w:rFonts w:ascii="仿宋" w:eastAsia="仿宋" w:hAnsi="仿宋" w:cs="仿宋" w:hint="eastAsia"/>
          <w:color w:val="0000FF"/>
        </w:rPr>
        <w:t>3.3.4</w:t>
      </w:r>
      <w:r>
        <w:rPr>
          <w:rFonts w:ascii="仿宋" w:eastAsia="仿宋" w:hAnsi="仿宋" w:cs="仿宋" w:hint="eastAsia"/>
          <w:color w:val="0000FF"/>
        </w:rPr>
        <w:t>建筑主要朝向投影面宽示意</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r>
        <w:rPr>
          <w:rFonts w:ascii="仿宋" w:eastAsia="仿宋" w:hAnsi="仿宋" w:cs="仿宋" w:hint="eastAsia"/>
          <w:color w:val="auto"/>
        </w:rPr>
        <w:t>A</w:t>
      </w:r>
      <w:r>
        <w:rPr>
          <w:rFonts w:ascii="仿宋" w:eastAsia="仿宋" w:hAnsi="仿宋" w:cs="仿宋" w:hint="eastAsia"/>
          <w:color w:val="auto"/>
        </w:rPr>
        <w:t>、</w:t>
      </w:r>
      <w:r>
        <w:rPr>
          <w:rFonts w:ascii="仿宋" w:eastAsia="仿宋" w:hAnsi="仿宋" w:cs="仿宋" w:hint="eastAsia"/>
          <w:color w:val="auto"/>
        </w:rPr>
        <w:t>B</w:t>
      </w:r>
      <w:r>
        <w:rPr>
          <w:rFonts w:ascii="仿宋" w:eastAsia="仿宋" w:hAnsi="仿宋" w:cs="仿宋" w:hint="eastAsia"/>
          <w:color w:val="auto"/>
        </w:rPr>
        <w:t>、</w:t>
      </w:r>
      <w:r>
        <w:rPr>
          <w:rFonts w:ascii="仿宋" w:eastAsia="仿宋" w:hAnsi="仿宋" w:cs="仿宋" w:hint="eastAsia"/>
          <w:color w:val="auto"/>
        </w:rPr>
        <w:t>C</w:t>
      </w:r>
      <w:r>
        <w:rPr>
          <w:rFonts w:ascii="仿宋" w:eastAsia="仿宋" w:hAnsi="仿宋" w:cs="仿宋" w:hint="eastAsia"/>
          <w:color w:val="auto"/>
        </w:rPr>
        <w:t>为连续建筑物，</w:t>
      </w:r>
      <w:r>
        <w:rPr>
          <w:rFonts w:ascii="仿宋" w:eastAsia="仿宋" w:hAnsi="仿宋" w:cs="仿宋" w:hint="eastAsia"/>
          <w:color w:val="auto"/>
        </w:rPr>
        <w:t>A</w:t>
      </w:r>
      <w:r>
        <w:rPr>
          <w:rFonts w:ascii="仿宋" w:eastAsia="仿宋" w:hAnsi="仿宋" w:cs="仿宋" w:hint="eastAsia"/>
          <w:color w:val="auto"/>
        </w:rPr>
        <w:t>为建筑最高部分，</w:t>
      </w:r>
      <w:r>
        <w:rPr>
          <w:rFonts w:ascii="仿宋" w:eastAsia="仿宋" w:hAnsi="仿宋" w:cs="仿宋" w:hint="eastAsia"/>
          <w:color w:val="auto"/>
        </w:rPr>
        <w:t>L</w:t>
      </w:r>
      <w:r>
        <w:rPr>
          <w:rFonts w:ascii="仿宋" w:eastAsia="仿宋" w:hAnsi="仿宋" w:cs="仿宋" w:hint="eastAsia"/>
          <w:color w:val="auto"/>
        </w:rPr>
        <w:t>为建筑主要朝向投影面宽</w:t>
      </w:r>
    </w:p>
    <w:p w:rsidR="00925AC4" w:rsidRDefault="00925AC4" w:rsidP="008E7712">
      <w:pPr>
        <w:pStyle w:val="ac"/>
        <w:ind w:firstLine="480"/>
        <w:rPr>
          <w:rFonts w:ascii="仿宋" w:eastAsia="仿宋" w:hAnsi="仿宋" w:cs="仿宋"/>
        </w:rPr>
      </w:pP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滨水景观廊道通过控制滨水界面，强化滨河廊道的视线通透和空间可达性：</w:t>
      </w:r>
    </w:p>
    <w:p w:rsidR="00925AC4" w:rsidRDefault="00285E1E">
      <w:pPr>
        <w:numPr>
          <w:ilvl w:val="0"/>
          <w:numId w:val="39"/>
        </w:numPr>
        <w:ind w:firstLine="560"/>
        <w:rPr>
          <w:rFonts w:ascii="仿宋" w:eastAsia="仿宋" w:hAnsi="仿宋" w:cs="仿宋"/>
          <w:color w:val="auto"/>
        </w:rPr>
      </w:pPr>
      <w:r>
        <w:rPr>
          <w:rFonts w:ascii="仿宋" w:eastAsia="仿宋" w:hAnsi="仿宋" w:cs="仿宋" w:hint="eastAsia"/>
          <w:color w:val="auto"/>
        </w:rPr>
        <w:t>滨水建筑高度不超过</w:t>
      </w:r>
      <w:r>
        <w:rPr>
          <w:rFonts w:ascii="仿宋" w:eastAsia="仿宋" w:hAnsi="仿宋" w:cs="仿宋" w:hint="eastAsia"/>
          <w:color w:val="auto"/>
        </w:rPr>
        <w:t>27</w:t>
      </w:r>
      <w:r>
        <w:rPr>
          <w:rFonts w:ascii="仿宋" w:eastAsia="仿宋" w:hAnsi="仿宋" w:cs="仿宋" w:hint="eastAsia"/>
          <w:color w:val="auto"/>
        </w:rPr>
        <w:t>米，连续投影面宽不宜超过</w:t>
      </w:r>
      <w:r>
        <w:rPr>
          <w:rFonts w:ascii="仿宋" w:eastAsia="仿宋" w:hAnsi="仿宋" w:cs="仿宋" w:hint="eastAsia"/>
          <w:color w:val="auto"/>
        </w:rPr>
        <w:t>80</w:t>
      </w:r>
      <w:r>
        <w:rPr>
          <w:rFonts w:ascii="仿宋" w:eastAsia="仿宋" w:hAnsi="仿宋" w:cs="仿宋" w:hint="eastAsia"/>
          <w:color w:val="auto"/>
        </w:rPr>
        <w:t>米；建筑高度大于</w:t>
      </w:r>
      <w:r>
        <w:rPr>
          <w:rFonts w:ascii="仿宋" w:eastAsia="仿宋" w:hAnsi="仿宋" w:cs="仿宋" w:hint="eastAsia"/>
          <w:color w:val="auto"/>
        </w:rPr>
        <w:t>27</w:t>
      </w:r>
      <w:r>
        <w:rPr>
          <w:rFonts w:ascii="仿宋" w:eastAsia="仿宋" w:hAnsi="仿宋" w:cs="仿宋" w:hint="eastAsia"/>
          <w:color w:val="auto"/>
        </w:rPr>
        <w:t>米，连续投影面宽不宜超过</w:t>
      </w:r>
      <w:r>
        <w:rPr>
          <w:rFonts w:ascii="仿宋" w:eastAsia="仿宋" w:hAnsi="仿宋" w:cs="仿宋" w:hint="eastAsia"/>
          <w:color w:val="auto"/>
        </w:rPr>
        <w:t>45</w:t>
      </w:r>
      <w:r>
        <w:rPr>
          <w:rFonts w:ascii="仿宋" w:eastAsia="仿宋" w:hAnsi="仿宋" w:cs="仿宋" w:hint="eastAsia"/>
          <w:color w:val="auto"/>
        </w:rPr>
        <w:t>米。</w:t>
      </w:r>
    </w:p>
    <w:p w:rsidR="00925AC4" w:rsidRDefault="00285E1E">
      <w:pPr>
        <w:numPr>
          <w:ilvl w:val="0"/>
          <w:numId w:val="39"/>
        </w:numPr>
        <w:ind w:firstLine="560"/>
        <w:rPr>
          <w:rFonts w:ascii="仿宋" w:eastAsia="仿宋" w:hAnsi="仿宋" w:cs="仿宋"/>
          <w:color w:val="auto"/>
        </w:rPr>
      </w:pPr>
      <w:r>
        <w:rPr>
          <w:rFonts w:ascii="仿宋" w:eastAsia="仿宋" w:hAnsi="仿宋" w:cs="仿宋" w:hint="eastAsia"/>
          <w:color w:val="auto"/>
        </w:rPr>
        <w:t>滨水地块宜设置公共通道，加强空间可达性，相邻通道间距不宜大于</w:t>
      </w:r>
      <w:r>
        <w:rPr>
          <w:rFonts w:ascii="仿宋" w:eastAsia="仿宋" w:hAnsi="仿宋" w:cs="仿宋" w:hint="eastAsia"/>
          <w:color w:val="auto"/>
        </w:rPr>
        <w:t>200</w:t>
      </w:r>
      <w:r>
        <w:rPr>
          <w:rFonts w:ascii="仿宋" w:eastAsia="仿宋" w:hAnsi="仿宋" w:cs="仿宋" w:hint="eastAsia"/>
          <w:color w:val="auto"/>
        </w:rPr>
        <w:t>米；</w:t>
      </w:r>
    </w:p>
    <w:p w:rsidR="00925AC4" w:rsidRDefault="00285E1E">
      <w:pPr>
        <w:numPr>
          <w:ilvl w:val="0"/>
          <w:numId w:val="39"/>
        </w:numPr>
        <w:ind w:firstLine="560"/>
        <w:rPr>
          <w:rFonts w:ascii="仿宋" w:eastAsia="仿宋" w:hAnsi="仿宋" w:cs="仿宋"/>
          <w:color w:val="auto"/>
        </w:rPr>
      </w:pPr>
      <w:r>
        <w:rPr>
          <w:rFonts w:ascii="仿宋" w:eastAsia="仿宋" w:hAnsi="仿宋" w:cs="仿宋" w:hint="eastAsia"/>
          <w:color w:val="auto"/>
        </w:rPr>
        <w:t>滨水地块宜设置视线通道，以强调山水景观的视觉渗透，相邻视线通道间距不宜大于</w:t>
      </w:r>
      <w:r>
        <w:rPr>
          <w:rFonts w:ascii="仿宋" w:eastAsia="仿宋" w:hAnsi="仿宋" w:cs="仿宋" w:hint="eastAsia"/>
          <w:color w:val="auto"/>
        </w:rPr>
        <w:t>80</w:t>
      </w:r>
      <w:r>
        <w:rPr>
          <w:rFonts w:ascii="仿宋" w:eastAsia="仿宋" w:hAnsi="仿宋" w:cs="仿宋" w:hint="eastAsia"/>
          <w:color w:val="auto"/>
        </w:rPr>
        <w:t>米，视线通道宽度不宜小于</w:t>
      </w:r>
      <w:r>
        <w:rPr>
          <w:rFonts w:ascii="仿宋" w:eastAsia="仿宋" w:hAnsi="仿宋" w:cs="仿宋" w:hint="eastAsia"/>
          <w:color w:val="auto"/>
        </w:rPr>
        <w:t>15</w:t>
      </w:r>
      <w:r>
        <w:rPr>
          <w:rFonts w:ascii="仿宋" w:eastAsia="仿宋" w:hAnsi="仿宋" w:cs="仿宋" w:hint="eastAsia"/>
          <w:color w:val="auto"/>
        </w:rPr>
        <w:t>米；</w:t>
      </w:r>
    </w:p>
    <w:p w:rsidR="00925AC4" w:rsidRDefault="00925AC4" w:rsidP="008E7712">
      <w:pPr>
        <w:ind w:firstLine="560"/>
        <w:rPr>
          <w:rFonts w:ascii="仿宋" w:eastAsia="仿宋" w:hAnsi="仿宋" w:cs="仿宋"/>
          <w:color w:val="0000FF"/>
        </w:rPr>
      </w:pPr>
    </w:p>
    <w:p w:rsidR="00925AC4" w:rsidRDefault="00925AC4" w:rsidP="008E7712">
      <w:pPr>
        <w:ind w:firstLine="560"/>
        <w:jc w:val="center"/>
        <w:rPr>
          <w:rFonts w:ascii="仿宋" w:eastAsia="仿宋" w:hAnsi="仿宋" w:cs="仿宋"/>
          <w:color w:val="0000FF"/>
        </w:rPr>
      </w:pPr>
    </w:p>
    <w:p w:rsidR="00925AC4" w:rsidRDefault="00285E1E" w:rsidP="008E7712">
      <w:pPr>
        <w:ind w:firstLine="560"/>
        <w:jc w:val="center"/>
        <w:rPr>
          <w:rFonts w:ascii="仿宋" w:eastAsia="仿宋" w:hAnsi="仿宋" w:cs="仿宋"/>
          <w:color w:val="0000FF"/>
        </w:rPr>
      </w:pPr>
      <w:r>
        <w:rPr>
          <w:rFonts w:ascii="仿宋" w:eastAsia="仿宋" w:hAnsi="仿宋" w:cs="仿宋" w:hint="eastAsia"/>
          <w:noProof/>
          <w:color w:val="0000FF"/>
        </w:rPr>
        <w:drawing>
          <wp:anchor distT="0" distB="0" distL="114300" distR="114300" simplePos="0" relativeHeight="251670528" behindDoc="0" locked="0" layoutInCell="1" allowOverlap="1">
            <wp:simplePos x="0" y="0"/>
            <wp:positionH relativeFrom="column">
              <wp:posOffset>152400</wp:posOffset>
            </wp:positionH>
            <wp:positionV relativeFrom="paragraph">
              <wp:posOffset>-240665</wp:posOffset>
            </wp:positionV>
            <wp:extent cx="5095240" cy="1613535"/>
            <wp:effectExtent l="0" t="0" r="10160" b="5715"/>
            <wp:wrapNone/>
            <wp:docPr id="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pic:cNvPicPr>
                      <a:picLocks noChangeAspect="1"/>
                    </pic:cNvPicPr>
                  </pic:nvPicPr>
                  <pic:blipFill>
                    <a:blip r:embed="rId48" cstate="print"/>
                    <a:stretch>
                      <a:fillRect/>
                    </a:stretch>
                  </pic:blipFill>
                  <pic:spPr>
                    <a:xfrm>
                      <a:off x="0" y="0"/>
                      <a:ext cx="5095240" cy="1613535"/>
                    </a:xfrm>
                    <a:prstGeom prst="rect">
                      <a:avLst/>
                    </a:prstGeom>
                    <a:noFill/>
                    <a:ln>
                      <a:noFill/>
                    </a:ln>
                  </pic:spPr>
                </pic:pic>
              </a:graphicData>
            </a:graphic>
          </wp:anchor>
        </w:drawing>
      </w:r>
    </w:p>
    <w:p w:rsidR="00925AC4" w:rsidRDefault="00925AC4" w:rsidP="008E7712">
      <w:pPr>
        <w:ind w:firstLine="560"/>
        <w:jc w:val="center"/>
        <w:rPr>
          <w:rFonts w:ascii="仿宋" w:eastAsia="仿宋" w:hAnsi="仿宋" w:cs="仿宋"/>
          <w:color w:val="0000FF"/>
        </w:rPr>
      </w:pPr>
    </w:p>
    <w:p w:rsidR="00925AC4" w:rsidRDefault="00925AC4" w:rsidP="008E7712">
      <w:pPr>
        <w:ind w:firstLine="560"/>
        <w:jc w:val="center"/>
        <w:rPr>
          <w:rFonts w:ascii="仿宋" w:eastAsia="仿宋" w:hAnsi="仿宋" w:cs="仿宋"/>
          <w:color w:val="0000FF"/>
        </w:rPr>
      </w:pPr>
    </w:p>
    <w:p w:rsidR="00925AC4" w:rsidRDefault="00925AC4" w:rsidP="008E7712">
      <w:pPr>
        <w:ind w:firstLine="560"/>
        <w:jc w:val="center"/>
        <w:rPr>
          <w:rFonts w:ascii="仿宋" w:eastAsia="仿宋" w:hAnsi="仿宋" w:cs="仿宋"/>
          <w:color w:val="0000FF"/>
        </w:rPr>
      </w:pP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图</w:t>
      </w:r>
      <w:hyperlink r:id="rId49" w:history="1">
        <w:r>
          <w:rPr>
            <w:rFonts w:ascii="仿宋" w:eastAsia="仿宋" w:hAnsi="仿宋" w:cs="仿宋" w:hint="eastAsia"/>
            <w:color w:val="auto"/>
            <w:sz w:val="24"/>
            <w:szCs w:val="24"/>
          </w:rPr>
          <w:t>3.3.5.1</w:t>
        </w:r>
      </w:hyperlink>
      <w:r>
        <w:rPr>
          <w:rFonts w:ascii="仿宋" w:eastAsia="仿宋" w:hAnsi="仿宋" w:cs="仿宋" w:hint="eastAsia"/>
          <w:color w:val="auto"/>
          <w:sz w:val="24"/>
          <w:szCs w:val="24"/>
        </w:rPr>
        <w:t>相邻视线通道间距、通道宽度控制示意图</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lastRenderedPageBreak/>
        <w:t>注：</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①</w:t>
      </w:r>
      <w:r>
        <w:rPr>
          <w:rFonts w:ascii="仿宋" w:eastAsia="仿宋" w:hAnsi="仿宋" w:cs="仿宋" w:hint="eastAsia"/>
          <w:color w:val="auto"/>
        </w:rPr>
        <w:t>L(</w:t>
      </w:r>
      <w:r>
        <w:rPr>
          <w:rFonts w:ascii="仿宋" w:eastAsia="仿宋" w:hAnsi="仿宋" w:cs="仿宋" w:hint="eastAsia"/>
          <w:color w:val="auto"/>
        </w:rPr>
        <w:t>相邻视线通道间距</w:t>
      </w:r>
      <w:r>
        <w:rPr>
          <w:rFonts w:ascii="仿宋" w:eastAsia="仿宋" w:hAnsi="仿宋" w:cs="仿宋" w:hint="eastAsia"/>
          <w:color w:val="auto"/>
        </w:rPr>
        <w:t>):</w:t>
      </w:r>
      <w:r>
        <w:rPr>
          <w:rFonts w:ascii="仿宋" w:eastAsia="仿宋" w:hAnsi="仿宋" w:cs="仿宋" w:hint="eastAsia"/>
          <w:color w:val="auto"/>
        </w:rPr>
        <w:t>不宜大于</w:t>
      </w:r>
      <w:r>
        <w:rPr>
          <w:rFonts w:ascii="仿宋" w:eastAsia="仿宋" w:hAnsi="仿宋" w:cs="仿宋" w:hint="eastAsia"/>
          <w:color w:val="auto"/>
        </w:rPr>
        <w:t>80</w:t>
      </w:r>
      <w:r>
        <w:rPr>
          <w:rFonts w:ascii="仿宋" w:eastAsia="仿宋" w:hAnsi="仿宋" w:cs="仿宋" w:hint="eastAsia"/>
          <w:color w:val="auto"/>
        </w:rPr>
        <w:t>米；</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②</w:t>
      </w:r>
      <w:r>
        <w:rPr>
          <w:rFonts w:ascii="仿宋" w:eastAsia="仿宋" w:hAnsi="仿宋" w:cs="仿宋" w:hint="eastAsia"/>
          <w:color w:val="auto"/>
        </w:rPr>
        <w:t>L0(</w:t>
      </w:r>
      <w:r>
        <w:rPr>
          <w:rFonts w:ascii="仿宋" w:eastAsia="仿宋" w:hAnsi="仿宋" w:cs="仿宋" w:hint="eastAsia"/>
          <w:color w:val="auto"/>
        </w:rPr>
        <w:t>视线通道宽度</w:t>
      </w:r>
      <w:r>
        <w:rPr>
          <w:rFonts w:ascii="仿宋" w:eastAsia="仿宋" w:hAnsi="仿宋" w:cs="仿宋" w:hint="eastAsia"/>
          <w:color w:val="auto"/>
        </w:rPr>
        <w:t>):</w:t>
      </w:r>
      <w:r>
        <w:rPr>
          <w:rFonts w:ascii="仿宋" w:eastAsia="仿宋" w:hAnsi="仿宋" w:cs="仿宋" w:hint="eastAsia"/>
          <w:color w:val="auto"/>
        </w:rPr>
        <w:t>不宜小于</w:t>
      </w:r>
      <w:r>
        <w:rPr>
          <w:rFonts w:ascii="仿宋" w:eastAsia="仿宋" w:hAnsi="仿宋" w:cs="仿宋" w:hint="eastAsia"/>
          <w:color w:val="auto"/>
        </w:rPr>
        <w:t>15</w:t>
      </w:r>
      <w:r>
        <w:rPr>
          <w:rFonts w:ascii="仿宋" w:eastAsia="仿宋" w:hAnsi="仿宋" w:cs="仿宋" w:hint="eastAsia"/>
          <w:color w:val="auto"/>
        </w:rPr>
        <w:t>米。</w:t>
      </w:r>
    </w:p>
    <w:p w:rsidR="00925AC4" w:rsidRDefault="00925AC4" w:rsidP="008E7712">
      <w:pPr>
        <w:pStyle w:val="ac"/>
        <w:ind w:firstLine="480"/>
        <w:rPr>
          <w:rFonts w:ascii="仿宋" w:eastAsia="仿宋" w:hAnsi="仿宋" w:cs="仿宋"/>
          <w:color w:val="auto"/>
        </w:rPr>
      </w:pPr>
    </w:p>
    <w:p w:rsidR="00925AC4" w:rsidRDefault="00285E1E">
      <w:pPr>
        <w:numPr>
          <w:ilvl w:val="0"/>
          <w:numId w:val="39"/>
        </w:numPr>
        <w:ind w:firstLine="560"/>
        <w:rPr>
          <w:rFonts w:ascii="仿宋" w:eastAsia="仿宋" w:hAnsi="仿宋" w:cs="仿宋"/>
          <w:color w:val="auto"/>
        </w:rPr>
      </w:pPr>
      <w:r>
        <w:rPr>
          <w:rFonts w:ascii="仿宋" w:eastAsia="仿宋" w:hAnsi="仿宋" w:cs="仿宋" w:hint="eastAsia"/>
          <w:color w:val="auto"/>
        </w:rPr>
        <w:t>临河建筑高度与建筑面河外墙距蓝线的垂直距离之比不宜大于</w:t>
      </w:r>
      <w:r>
        <w:rPr>
          <w:rFonts w:ascii="仿宋" w:eastAsia="仿宋" w:hAnsi="仿宋" w:cs="仿宋" w:hint="eastAsia"/>
          <w:color w:val="auto"/>
        </w:rPr>
        <w:t>1/2,</w:t>
      </w:r>
      <w:r>
        <w:rPr>
          <w:rFonts w:ascii="仿宋" w:eastAsia="仿宋" w:hAnsi="仿宋" w:cs="仿宋" w:hint="eastAsia"/>
          <w:color w:val="auto"/>
        </w:rPr>
        <w:t>以保证近水空间开阔度</w:t>
      </w:r>
      <w:r>
        <w:rPr>
          <w:rFonts w:ascii="仿宋" w:eastAsia="仿宋" w:hAnsi="仿宋" w:cs="仿宋" w:hint="eastAsia"/>
          <w:color w:val="auto"/>
        </w:rPr>
        <w:t>。</w:t>
      </w:r>
    </w:p>
    <w:p w:rsidR="00925AC4" w:rsidRDefault="00285E1E" w:rsidP="008E7712">
      <w:pPr>
        <w:ind w:firstLine="560"/>
        <w:rPr>
          <w:rFonts w:ascii="仿宋" w:eastAsia="仿宋" w:hAnsi="仿宋" w:cs="仿宋"/>
          <w:color w:val="0000FF"/>
        </w:rPr>
      </w:pPr>
      <w:r>
        <w:rPr>
          <w:rFonts w:ascii="仿宋" w:eastAsia="仿宋" w:hAnsi="仿宋" w:cs="仿宋" w:hint="eastAsia"/>
          <w:noProof/>
          <w:color w:val="0000FF"/>
        </w:rPr>
        <w:drawing>
          <wp:anchor distT="0" distB="0" distL="114300" distR="114300" simplePos="0" relativeHeight="251671552" behindDoc="0" locked="0" layoutInCell="1" allowOverlap="1">
            <wp:simplePos x="0" y="0"/>
            <wp:positionH relativeFrom="column">
              <wp:posOffset>47625</wp:posOffset>
            </wp:positionH>
            <wp:positionV relativeFrom="paragraph">
              <wp:posOffset>136525</wp:posOffset>
            </wp:positionV>
            <wp:extent cx="5323840" cy="1090295"/>
            <wp:effectExtent l="0" t="0" r="10160" b="14605"/>
            <wp:wrapNone/>
            <wp:docPr id="1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0"/>
                    <pic:cNvPicPr>
                      <a:picLocks noChangeAspect="1"/>
                    </pic:cNvPicPr>
                  </pic:nvPicPr>
                  <pic:blipFill>
                    <a:blip r:embed="rId50" cstate="print"/>
                    <a:stretch>
                      <a:fillRect/>
                    </a:stretch>
                  </pic:blipFill>
                  <pic:spPr>
                    <a:xfrm>
                      <a:off x="0" y="0"/>
                      <a:ext cx="5323840" cy="1090295"/>
                    </a:xfrm>
                    <a:prstGeom prst="rect">
                      <a:avLst/>
                    </a:prstGeom>
                    <a:noFill/>
                    <a:ln>
                      <a:noFill/>
                    </a:ln>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auto"/>
        </w:rPr>
      </w:pP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图</w:t>
      </w:r>
      <w:hyperlink r:id="rId51" w:history="1">
        <w:r>
          <w:rPr>
            <w:rFonts w:ascii="仿宋" w:eastAsia="仿宋" w:hAnsi="仿宋" w:cs="仿宋" w:hint="eastAsia"/>
            <w:color w:val="auto"/>
            <w:sz w:val="24"/>
            <w:szCs w:val="24"/>
          </w:rPr>
          <w:t>3.3.5.2</w:t>
        </w:r>
      </w:hyperlink>
      <w:r>
        <w:rPr>
          <w:rFonts w:ascii="仿宋" w:eastAsia="仿宋" w:hAnsi="仿宋" w:cs="仿宋" w:hint="eastAsia"/>
          <w:color w:val="auto"/>
          <w:sz w:val="24"/>
          <w:szCs w:val="24"/>
        </w:rPr>
        <w:t>建筑距蓝线距离控制示意图</w:t>
      </w:r>
    </w:p>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r>
        <w:rPr>
          <w:rFonts w:ascii="仿宋" w:eastAsia="仿宋" w:hAnsi="仿宋" w:cs="仿宋" w:hint="eastAsia"/>
          <w:color w:val="auto"/>
        </w:rPr>
        <w:t>L:H</w:t>
      </w:r>
      <w:r>
        <w:rPr>
          <w:rFonts w:ascii="仿宋" w:eastAsia="仿宋" w:hAnsi="仿宋" w:cs="仿宋" w:hint="eastAsia"/>
          <w:color w:val="auto"/>
        </w:rPr>
        <w:t>不宜小于</w:t>
      </w:r>
      <w:r>
        <w:rPr>
          <w:rFonts w:ascii="仿宋" w:eastAsia="仿宋" w:hAnsi="仿宋" w:cs="仿宋" w:hint="eastAsia"/>
          <w:color w:val="auto"/>
        </w:rPr>
        <w:t>2:1</w:t>
      </w:r>
    </w:p>
    <w:p w:rsidR="00925AC4" w:rsidRDefault="00925AC4" w:rsidP="008E7712">
      <w:pPr>
        <w:pStyle w:val="ac"/>
        <w:ind w:firstLine="480"/>
        <w:rPr>
          <w:rFonts w:ascii="仿宋" w:eastAsia="仿宋" w:hAnsi="仿宋" w:cs="仿宋"/>
          <w:color w:val="auto"/>
        </w:rPr>
      </w:pPr>
    </w:p>
    <w:p w:rsidR="00925AC4" w:rsidRDefault="00285E1E">
      <w:pPr>
        <w:numPr>
          <w:ilvl w:val="0"/>
          <w:numId w:val="39"/>
        </w:numPr>
        <w:ind w:firstLine="560"/>
        <w:rPr>
          <w:rFonts w:ascii="仿宋" w:eastAsia="仿宋" w:hAnsi="仿宋" w:cs="仿宋"/>
          <w:color w:val="auto"/>
        </w:rPr>
      </w:pPr>
      <w:r>
        <w:rPr>
          <w:rFonts w:ascii="仿宋" w:eastAsia="仿宋" w:hAnsi="仿宋" w:cs="仿宋" w:hint="eastAsia"/>
          <w:color w:val="auto"/>
        </w:rPr>
        <w:t>滨水、近山地区建筑退让距离除严格按照</w:t>
      </w:r>
      <w:r>
        <w:rPr>
          <w:rFonts w:ascii="仿宋" w:eastAsia="仿宋" w:hAnsi="仿宋" w:cs="仿宋" w:hint="eastAsia"/>
          <w:color w:val="auto"/>
        </w:rPr>
        <w:t>3.2</w:t>
      </w:r>
      <w:r>
        <w:rPr>
          <w:rFonts w:ascii="仿宋" w:eastAsia="仿宋" w:hAnsi="仿宋" w:cs="仿宋" w:hint="eastAsia"/>
          <w:color w:val="auto"/>
        </w:rPr>
        <w:t>节控制</w:t>
      </w:r>
      <w:r>
        <w:rPr>
          <w:rFonts w:ascii="仿宋" w:eastAsia="仿宋" w:hAnsi="仿宋" w:cs="仿宋" w:hint="eastAsia"/>
          <w:color w:val="auto"/>
        </w:rPr>
        <w:t>，应遵循</w:t>
      </w:r>
      <w:r>
        <w:rPr>
          <w:rFonts w:ascii="仿宋" w:eastAsia="仿宋" w:hAnsi="仿宋" w:cs="仿宋" w:hint="eastAsia"/>
          <w:color w:val="auto"/>
        </w:rPr>
        <w:t>万源市</w:t>
      </w:r>
      <w:r>
        <w:rPr>
          <w:rFonts w:ascii="仿宋" w:eastAsia="仿宋" w:hAnsi="仿宋" w:cs="仿宋" w:hint="eastAsia"/>
          <w:color w:val="auto"/>
        </w:rPr>
        <w:t>城市设计的相关控制要</w:t>
      </w:r>
      <w:r>
        <w:rPr>
          <w:rFonts w:ascii="仿宋" w:eastAsia="仿宋" w:hAnsi="仿宋" w:cs="仿宋" w:hint="eastAsia"/>
          <w:color w:val="auto"/>
        </w:rPr>
        <w:t>求</w:t>
      </w:r>
      <w:r>
        <w:rPr>
          <w:rFonts w:ascii="仿宋" w:eastAsia="仿宋" w:hAnsi="仿宋" w:cs="仿宋" w:hint="eastAsia"/>
          <w:color w:val="auto"/>
        </w:rPr>
        <w:t>。</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建筑外观应体现多样化，可采取组群布局方式，通过建筑组群之间高度、形态、立面处理上的区别，形成丰富多样的建筑形态；住宅小区设计应当高低搭配，错落有致；商业办公建筑不宜出现</w:t>
      </w:r>
      <w:r>
        <w:rPr>
          <w:rFonts w:ascii="仿宋" w:eastAsia="仿宋" w:hAnsi="仿宋" w:cs="仿宋" w:hint="eastAsia"/>
          <w:color w:val="auto"/>
        </w:rPr>
        <w:t>3</w:t>
      </w:r>
      <w:r>
        <w:rPr>
          <w:rFonts w:ascii="仿宋" w:eastAsia="仿宋" w:hAnsi="仿宋" w:cs="仿宋" w:hint="eastAsia"/>
          <w:color w:val="auto"/>
        </w:rPr>
        <w:t>栋及以上的连续重复。</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净用地面积大于</w:t>
      </w:r>
      <w:r>
        <w:rPr>
          <w:rFonts w:ascii="仿宋" w:eastAsia="仿宋" w:hAnsi="仿宋" w:cs="仿宋" w:hint="eastAsia"/>
          <w:color w:val="auto"/>
        </w:rPr>
        <w:t>2</w:t>
      </w:r>
      <w:r>
        <w:rPr>
          <w:rFonts w:ascii="仿宋" w:eastAsia="仿宋" w:hAnsi="仿宋" w:cs="仿宋" w:hint="eastAsia"/>
          <w:color w:val="auto"/>
        </w:rPr>
        <w:t>万平方米的建设项目，高层建筑之间形成高低错落时，高差比不宜低于</w:t>
      </w:r>
      <w:r>
        <w:rPr>
          <w:rFonts w:ascii="仿宋" w:eastAsia="仿宋" w:hAnsi="仿宋" w:cs="仿宋" w:hint="eastAsia"/>
          <w:color w:val="auto"/>
        </w:rPr>
        <w:t>10</w:t>
      </w:r>
      <w:r>
        <w:rPr>
          <w:rFonts w:ascii="仿宋" w:eastAsia="仿宋" w:hAnsi="仿宋" w:cs="仿宋" w:hint="eastAsia"/>
          <w:color w:val="auto"/>
        </w:rPr>
        <w:t>%(</w:t>
      </w:r>
      <w:r>
        <w:rPr>
          <w:rFonts w:ascii="仿宋" w:eastAsia="仿宋" w:hAnsi="仿宋" w:cs="仿宋" w:hint="eastAsia"/>
          <w:color w:val="auto"/>
        </w:rPr>
        <w:t>以高度较高建筑为计算基数</w:t>
      </w:r>
      <w:r>
        <w:rPr>
          <w:rFonts w:ascii="仿宋" w:eastAsia="仿宋" w:hAnsi="仿宋" w:cs="仿宋" w:hint="eastAsia"/>
          <w:color w:val="auto"/>
        </w:rPr>
        <w:t>),</w:t>
      </w:r>
      <w:r>
        <w:rPr>
          <w:rFonts w:ascii="仿宋" w:eastAsia="仿宋" w:hAnsi="仿宋" w:cs="仿宋" w:hint="eastAsia"/>
          <w:color w:val="auto"/>
        </w:rPr>
        <w:t>面向城市开敞空间和主要道路形成高低错落的天际轮廓线与纵深空间层次。</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临城市重要景观道路及规划宽度</w:t>
      </w:r>
      <w:r>
        <w:rPr>
          <w:rFonts w:ascii="仿宋" w:eastAsia="仿宋" w:hAnsi="仿宋" w:cs="仿宋" w:hint="eastAsia"/>
          <w:color w:val="auto"/>
        </w:rPr>
        <w:t>30</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30</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以上道路的住宅建筑临街外立面应进行公建化设计，建筑临街外立面设置阳台时应封闭。</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建筑附属构建物、装饰物应保持与建筑主体协调一致。建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筑物临街面禁止设置外置式防护栏；建筑临街外立面一般不得设</w:t>
      </w:r>
      <w:r>
        <w:rPr>
          <w:rFonts w:ascii="仿宋" w:eastAsia="仿宋" w:hAnsi="仿宋" w:cs="仿宋" w:hint="eastAsia"/>
          <w:color w:val="auto"/>
        </w:rPr>
        <w:lastRenderedPageBreak/>
        <w:t>置空调机位，若必须设置时，应隐蔽式处理，并与建筑整体风貌相协调。住宅建筑应统一设置排冷凝水立管；住户应按照空调预留机位安放空调外机，并确保施工安全。</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建筑色彩、材质应当延续历</w:t>
      </w:r>
      <w:r>
        <w:rPr>
          <w:rFonts w:ascii="仿宋" w:eastAsia="仿宋" w:hAnsi="仿宋" w:cs="仿宋" w:hint="eastAsia"/>
          <w:color w:val="auto"/>
        </w:rPr>
        <w:t>史文脉，契合时代风貌，展示城市个性和特色，与建筑功能、造型、体量相协调，体现建筑特征。</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建筑外墙材质应满足以下要求：</w:t>
      </w:r>
    </w:p>
    <w:p w:rsidR="00925AC4" w:rsidRDefault="00285E1E">
      <w:pPr>
        <w:numPr>
          <w:ilvl w:val="0"/>
          <w:numId w:val="40"/>
        </w:numPr>
        <w:ind w:firstLine="560"/>
        <w:rPr>
          <w:rFonts w:ascii="仿宋" w:eastAsia="仿宋" w:hAnsi="仿宋" w:cs="仿宋"/>
          <w:color w:val="auto"/>
        </w:rPr>
      </w:pPr>
      <w:r>
        <w:rPr>
          <w:rFonts w:ascii="仿宋" w:eastAsia="仿宋" w:hAnsi="仿宋" w:cs="仿宋" w:hint="eastAsia"/>
          <w:color w:val="auto"/>
        </w:rPr>
        <w:t>外墙材质的使用和设计应体现高品质、高标准和建筑使用安全的要求；鼓励采用品质较好的新型材料；禁止采用劣质、非环保类、耐久性差的外墙材料。设计应充分考虑材料自身特质，合理、精致、美观、耐久，并充分考虑施工工艺的成熟性；</w:t>
      </w:r>
    </w:p>
    <w:p w:rsidR="00925AC4" w:rsidRDefault="00285E1E">
      <w:pPr>
        <w:numPr>
          <w:ilvl w:val="0"/>
          <w:numId w:val="40"/>
        </w:numPr>
        <w:ind w:firstLine="560"/>
        <w:rPr>
          <w:rFonts w:ascii="仿宋" w:eastAsia="仿宋" w:hAnsi="仿宋" w:cs="仿宋"/>
          <w:color w:val="auto"/>
        </w:rPr>
      </w:pPr>
      <w:r>
        <w:rPr>
          <w:rFonts w:ascii="仿宋" w:eastAsia="仿宋" w:hAnsi="仿宋" w:cs="仿宋" w:hint="eastAsia"/>
          <w:color w:val="auto"/>
        </w:rPr>
        <w:t>建筑</w:t>
      </w:r>
      <w:r>
        <w:rPr>
          <w:rFonts w:ascii="仿宋" w:eastAsia="仿宋" w:hAnsi="仿宋" w:cs="仿宋" w:hint="eastAsia"/>
          <w:color w:val="auto"/>
        </w:rPr>
        <w:t>24</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24</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以上的外墙装饰不得采用面砖；</w:t>
      </w:r>
    </w:p>
    <w:p w:rsidR="00925AC4" w:rsidRDefault="00285E1E">
      <w:pPr>
        <w:numPr>
          <w:ilvl w:val="0"/>
          <w:numId w:val="40"/>
        </w:numPr>
        <w:ind w:firstLine="560"/>
        <w:rPr>
          <w:rFonts w:ascii="仿宋" w:eastAsia="仿宋" w:hAnsi="仿宋" w:cs="仿宋"/>
          <w:color w:val="auto"/>
        </w:rPr>
      </w:pPr>
      <w:r>
        <w:rPr>
          <w:rFonts w:ascii="仿宋" w:eastAsia="仿宋" w:hAnsi="仿宋" w:cs="仿宋" w:hint="eastAsia"/>
          <w:color w:val="auto"/>
        </w:rPr>
        <w:t>涂饰类材料鼓励选用仿石材材料、质感砂浆等质感较好的材料；</w:t>
      </w:r>
    </w:p>
    <w:p w:rsidR="00925AC4" w:rsidRDefault="00285E1E">
      <w:pPr>
        <w:numPr>
          <w:ilvl w:val="0"/>
          <w:numId w:val="40"/>
        </w:numPr>
        <w:ind w:firstLine="560"/>
        <w:rPr>
          <w:rFonts w:ascii="仿宋" w:eastAsia="仿宋" w:hAnsi="仿宋" w:cs="仿宋"/>
          <w:color w:val="auto"/>
        </w:rPr>
      </w:pPr>
      <w:r>
        <w:rPr>
          <w:rFonts w:ascii="仿宋" w:eastAsia="仿宋" w:hAnsi="仿宋" w:cs="仿宋" w:hint="eastAsia"/>
          <w:color w:val="auto"/>
        </w:rPr>
        <w:t>建筑外墙大面积使用同一色彩材质时，应合理设计分缝，避免外墙呆板、无变化。</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同一组建筑的主体色调应当统一，原则上以不超过两种相互协调的主体色彩为宜，其色彩的明度、彩度应当与周边环境相协调，提倡采用柔和雅致的色调。</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建筑色彩按照建筑类型按表</w:t>
      </w:r>
      <w:r>
        <w:rPr>
          <w:rFonts w:ascii="仿宋" w:eastAsia="仿宋" w:hAnsi="仿宋" w:cs="仿宋" w:hint="eastAsia"/>
          <w:color w:val="auto"/>
        </w:rPr>
        <w:t>3.3.9</w:t>
      </w:r>
      <w:r>
        <w:rPr>
          <w:rFonts w:ascii="仿宋" w:eastAsia="仿宋" w:hAnsi="仿宋" w:cs="仿宋" w:hint="eastAsia"/>
          <w:color w:val="auto"/>
        </w:rPr>
        <w:t>控制：</w:t>
      </w:r>
    </w:p>
    <w:p w:rsidR="00925AC4" w:rsidRDefault="00925AC4" w:rsidP="008E7712">
      <w:pPr>
        <w:ind w:firstLine="560"/>
        <w:rPr>
          <w:rFonts w:ascii="仿宋" w:eastAsia="仿宋" w:hAnsi="仿宋" w:cs="仿宋"/>
          <w:color w:val="auto"/>
        </w:rPr>
      </w:pPr>
    </w:p>
    <w:p w:rsidR="00925AC4" w:rsidRDefault="00925AC4" w:rsidP="008E7712">
      <w:pPr>
        <w:ind w:firstLine="560"/>
        <w:rPr>
          <w:rFonts w:ascii="仿宋" w:eastAsia="仿宋" w:hAnsi="仿宋" w:cs="仿宋"/>
          <w:color w:val="auto"/>
        </w:rPr>
      </w:pPr>
    </w:p>
    <w:p w:rsidR="00925AC4" w:rsidRDefault="00285E1E" w:rsidP="008E7712">
      <w:pPr>
        <w:ind w:firstLine="480"/>
        <w:jc w:val="center"/>
        <w:rPr>
          <w:rFonts w:ascii="仿宋" w:eastAsia="仿宋" w:hAnsi="仿宋" w:cs="仿宋"/>
          <w:color w:val="auto"/>
          <w:sz w:val="24"/>
          <w:szCs w:val="24"/>
        </w:rPr>
      </w:pPr>
      <w:r>
        <w:rPr>
          <w:rFonts w:ascii="仿宋" w:eastAsia="仿宋" w:hAnsi="仿宋" w:cs="仿宋" w:hint="eastAsia"/>
          <w:color w:val="auto"/>
          <w:sz w:val="24"/>
          <w:szCs w:val="24"/>
        </w:rPr>
        <w:t>表</w:t>
      </w:r>
      <w:r>
        <w:rPr>
          <w:rFonts w:ascii="仿宋" w:eastAsia="仿宋" w:hAnsi="仿宋" w:cs="仿宋" w:hint="eastAsia"/>
          <w:color w:val="auto"/>
          <w:sz w:val="24"/>
          <w:szCs w:val="24"/>
        </w:rPr>
        <w:t>3.3.9</w:t>
      </w:r>
      <w:r>
        <w:rPr>
          <w:rFonts w:ascii="仿宋" w:eastAsia="仿宋" w:hAnsi="仿宋" w:cs="仿宋" w:hint="eastAsia"/>
          <w:color w:val="auto"/>
          <w:sz w:val="24"/>
          <w:szCs w:val="24"/>
        </w:rPr>
        <w:t>建筑色彩控制表</w:t>
      </w:r>
    </w:p>
    <w:tbl>
      <w:tblPr>
        <w:tblStyle w:val="TableNormal"/>
        <w:tblW w:w="8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3"/>
        <w:gridCol w:w="1179"/>
        <w:gridCol w:w="6448"/>
      </w:tblGrid>
      <w:tr w:rsidR="00925AC4">
        <w:trPr>
          <w:trHeight w:val="454"/>
        </w:trPr>
        <w:tc>
          <w:tcPr>
            <w:tcW w:w="123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区域</w:t>
            </w: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建筑类型</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控制要求</w:t>
            </w:r>
          </w:p>
        </w:tc>
      </w:tr>
      <w:tr w:rsidR="00925AC4">
        <w:trPr>
          <w:trHeight w:val="454"/>
        </w:trPr>
        <w:tc>
          <w:tcPr>
            <w:tcW w:w="123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文保单位及周边</w:t>
            </w: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所有建筑</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建设控制地带内新建、改建建筑应与文保</w:t>
            </w:r>
          </w:p>
          <w:p w:rsidR="00925AC4" w:rsidRDefault="00285E1E">
            <w:pPr>
              <w:pStyle w:val="ab"/>
              <w:jc w:val="center"/>
              <w:rPr>
                <w:rFonts w:ascii="仿宋" w:eastAsia="仿宋" w:hAnsi="仿宋" w:cs="仿宋" w:hint="default"/>
                <w:color w:val="auto"/>
              </w:rPr>
            </w:pPr>
            <w:r>
              <w:rPr>
                <w:rFonts w:ascii="仿宋" w:eastAsia="仿宋" w:hAnsi="仿宋" w:cs="仿宋"/>
                <w:color w:val="auto"/>
              </w:rPr>
              <w:t>单位色彩相协调。建筑材质采用灰瓦、白墙、木构件为主，形成灰、白、原木色主色调。文保单位风貌协调区内新建建筑可采用新型建筑材料，但应延续文保单位建筑色彩和材料的肌理质感。</w:t>
            </w:r>
          </w:p>
        </w:tc>
      </w:tr>
      <w:tr w:rsidR="00925AC4">
        <w:trPr>
          <w:trHeight w:val="454"/>
        </w:trPr>
        <w:tc>
          <w:tcPr>
            <w:tcW w:w="123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lastRenderedPageBreak/>
              <w:t>滨水、近山</w:t>
            </w: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所有建筑</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采用低饱和度、淡雅的色彩，与山、水相协调。</w:t>
            </w:r>
          </w:p>
        </w:tc>
      </w:tr>
      <w:tr w:rsidR="00925AC4">
        <w:trPr>
          <w:trHeight w:val="454"/>
        </w:trPr>
        <w:tc>
          <w:tcPr>
            <w:tcW w:w="123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城市新区</w:t>
            </w: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商业建筑</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宜以高明度，较低彩度，暖色系的色彩为主。明度</w:t>
            </w:r>
            <w:r>
              <w:rPr>
                <w:rFonts w:ascii="仿宋" w:eastAsia="仿宋" w:hAnsi="仿宋" w:cs="仿宋"/>
                <w:color w:val="auto"/>
              </w:rPr>
              <w:t>V</w:t>
            </w:r>
            <w:r>
              <w:rPr>
                <w:rFonts w:ascii="仿宋" w:eastAsia="仿宋" w:hAnsi="仿宋" w:cs="仿宋"/>
                <w:color w:val="auto"/>
              </w:rPr>
              <w:t>建议</w:t>
            </w:r>
            <w:r>
              <w:rPr>
                <w:rFonts w:ascii="仿宋" w:eastAsia="仿宋" w:hAnsi="仿宋" w:cs="仿宋"/>
                <w:color w:val="auto"/>
              </w:rPr>
              <w:t>6</w:t>
            </w:r>
            <w:r>
              <w:rPr>
                <w:rFonts w:ascii="仿宋" w:eastAsia="仿宋" w:hAnsi="仿宋" w:cs="仿宋"/>
                <w:color w:val="auto"/>
              </w:rPr>
              <w:t>—</w:t>
            </w:r>
            <w:r>
              <w:rPr>
                <w:rFonts w:ascii="仿宋" w:eastAsia="仿宋" w:hAnsi="仿宋" w:cs="仿宋"/>
                <w:color w:val="auto"/>
              </w:rPr>
              <w:t>8.5,</w:t>
            </w:r>
            <w:r>
              <w:rPr>
                <w:rFonts w:ascii="仿宋" w:eastAsia="仿宋" w:hAnsi="仿宋" w:cs="仿宋"/>
                <w:color w:val="auto"/>
              </w:rPr>
              <w:t>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w:t>
            </w:r>
          </w:p>
        </w:tc>
      </w:tr>
      <w:tr w:rsidR="00925AC4">
        <w:trPr>
          <w:trHeight w:val="454"/>
        </w:trPr>
        <w:tc>
          <w:tcPr>
            <w:tcW w:w="123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商务建筑</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宜以亮灰色系为主，局部变化予以点缀，彰显高效的商务氛围。点缀色塔楼数量不宜超过塔楼总量的</w:t>
            </w:r>
            <w:r>
              <w:rPr>
                <w:rFonts w:ascii="仿宋" w:eastAsia="仿宋" w:hAnsi="仿宋" w:cs="仿宋"/>
                <w:color w:val="auto"/>
              </w:rPr>
              <w:t>30%;</w:t>
            </w:r>
            <w:r>
              <w:rPr>
                <w:rFonts w:ascii="仿宋" w:eastAsia="仿宋" w:hAnsi="仿宋" w:cs="仿宋"/>
                <w:color w:val="auto"/>
              </w:rPr>
              <w:t>主色调：高明度，低彩度，冷色系的色彩，明度</w:t>
            </w:r>
            <w:r>
              <w:rPr>
                <w:rFonts w:ascii="仿宋" w:eastAsia="仿宋" w:hAnsi="仿宋" w:cs="仿宋"/>
                <w:color w:val="auto"/>
              </w:rPr>
              <w:t>V</w:t>
            </w:r>
            <w:r>
              <w:rPr>
                <w:rFonts w:ascii="仿宋" w:eastAsia="仿宋" w:hAnsi="仿宋" w:cs="仿宋"/>
                <w:color w:val="auto"/>
              </w:rPr>
              <w:t>建议在</w:t>
            </w:r>
            <w:r>
              <w:rPr>
                <w:rFonts w:ascii="仿宋" w:eastAsia="仿宋" w:hAnsi="仿宋" w:cs="仿宋"/>
                <w:color w:val="auto"/>
              </w:rPr>
              <w:t>6</w:t>
            </w:r>
            <w:r>
              <w:rPr>
                <w:rFonts w:ascii="仿宋" w:eastAsia="仿宋" w:hAnsi="仿宋" w:cs="仿宋"/>
                <w:color w:val="auto"/>
              </w:rPr>
              <w:t>—</w:t>
            </w:r>
            <w:r>
              <w:rPr>
                <w:rFonts w:ascii="仿宋" w:eastAsia="仿宋" w:hAnsi="仿宋" w:cs="仿宋"/>
                <w:color w:val="auto"/>
              </w:rPr>
              <w:t>8.5,</w:t>
            </w:r>
            <w:r>
              <w:rPr>
                <w:rFonts w:ascii="仿宋" w:eastAsia="仿宋" w:hAnsi="仿宋" w:cs="仿宋"/>
                <w:color w:val="auto"/>
              </w:rPr>
              <w:t>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2;</w:t>
            </w:r>
            <w:r>
              <w:rPr>
                <w:rFonts w:ascii="仿宋" w:eastAsia="仿宋" w:hAnsi="仿宋" w:cs="仿宋"/>
                <w:color w:val="auto"/>
              </w:rPr>
              <w:t>点缀色：高明度，低彩度，偏暖色系的色彩，明度</w:t>
            </w:r>
            <w:r>
              <w:rPr>
                <w:rFonts w:ascii="仿宋" w:eastAsia="仿宋" w:hAnsi="仿宋" w:cs="仿宋"/>
                <w:color w:val="auto"/>
              </w:rPr>
              <w:t>V</w:t>
            </w:r>
            <w:r>
              <w:rPr>
                <w:rFonts w:ascii="仿宋" w:eastAsia="仿宋" w:hAnsi="仿宋" w:cs="仿宋"/>
                <w:color w:val="auto"/>
              </w:rPr>
              <w:t>建议在</w:t>
            </w:r>
            <w:r>
              <w:rPr>
                <w:rFonts w:ascii="仿宋" w:eastAsia="仿宋" w:hAnsi="仿宋" w:cs="仿宋"/>
                <w:color w:val="auto"/>
              </w:rPr>
              <w:t>6</w:t>
            </w:r>
            <w:r>
              <w:rPr>
                <w:rFonts w:ascii="仿宋" w:eastAsia="仿宋" w:hAnsi="仿宋" w:cs="仿宋"/>
                <w:color w:val="auto"/>
              </w:rPr>
              <w:t>—</w:t>
            </w:r>
            <w:r>
              <w:rPr>
                <w:rFonts w:ascii="仿宋" w:eastAsia="仿宋" w:hAnsi="仿宋" w:cs="仿宋"/>
                <w:color w:val="auto"/>
              </w:rPr>
              <w:t>8.5,</w:t>
            </w:r>
            <w:r>
              <w:rPr>
                <w:rFonts w:ascii="仿宋" w:eastAsia="仿宋" w:hAnsi="仿宋" w:cs="仿宋"/>
                <w:color w:val="auto"/>
              </w:rPr>
              <w:t>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w:t>
            </w:r>
          </w:p>
        </w:tc>
      </w:tr>
      <w:tr w:rsidR="00925AC4">
        <w:trPr>
          <w:trHeight w:val="454"/>
        </w:trPr>
        <w:tc>
          <w:tcPr>
            <w:tcW w:w="123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城市新区</w:t>
            </w: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居住建筑</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色彩宜强化舒适宜人的温馨感。建筑主导色宜采用偏暖色系，局部搭配点缀深色系。主导色整体明度宜略高，彩度宜略低。明度</w:t>
            </w:r>
            <w:r>
              <w:rPr>
                <w:rFonts w:ascii="仿宋" w:eastAsia="仿宋" w:hAnsi="仿宋" w:cs="仿宋"/>
                <w:color w:val="auto"/>
              </w:rPr>
              <w:t>V</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w:t>
            </w:r>
          </w:p>
        </w:tc>
      </w:tr>
      <w:tr w:rsidR="00925AC4">
        <w:trPr>
          <w:trHeight w:val="454"/>
        </w:trPr>
        <w:tc>
          <w:tcPr>
            <w:tcW w:w="1233" w:type="dxa"/>
            <w:vMerge/>
            <w:tcBorders>
              <w:top w:val="nil"/>
              <w:bottom w:val="nil"/>
            </w:tcBorders>
            <w:vAlign w:val="center"/>
          </w:tcPr>
          <w:p w:rsidR="00925AC4" w:rsidRDefault="00925AC4">
            <w:pPr>
              <w:pStyle w:val="ab"/>
              <w:jc w:val="center"/>
              <w:rPr>
                <w:rFonts w:ascii="仿宋" w:eastAsia="仿宋" w:hAnsi="仿宋" w:cs="仿宋" w:hint="default"/>
                <w:color w:val="auto"/>
              </w:rPr>
            </w:pP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公共设施建筑</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立面色彩宜选用暖色系，明度及彩度宜略低。明度</w:t>
            </w:r>
            <w:r>
              <w:rPr>
                <w:rFonts w:ascii="仿宋" w:eastAsia="仿宋" w:hAnsi="仿宋" w:cs="仿宋"/>
                <w:color w:val="auto"/>
              </w:rPr>
              <w:t>V</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7.</w:t>
            </w:r>
          </w:p>
        </w:tc>
      </w:tr>
      <w:tr w:rsidR="00925AC4">
        <w:trPr>
          <w:trHeight w:val="454"/>
        </w:trPr>
        <w:tc>
          <w:tcPr>
            <w:tcW w:w="123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17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产业园区</w:t>
            </w:r>
          </w:p>
        </w:tc>
        <w:tc>
          <w:tcPr>
            <w:tcW w:w="644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立面主色调宜选用冷色系，可局部搭配点缀色。主色彩度宜略低，彩度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明度宜略高，明度</w:t>
            </w:r>
            <w:r>
              <w:rPr>
                <w:rFonts w:ascii="仿宋" w:eastAsia="仿宋" w:hAnsi="仿宋" w:cs="仿宋"/>
                <w:color w:val="auto"/>
              </w:rPr>
              <w:t>V</w:t>
            </w:r>
            <w:r>
              <w:rPr>
                <w:rFonts w:ascii="仿宋" w:eastAsia="仿宋" w:hAnsi="仿宋" w:cs="仿宋"/>
                <w:color w:val="auto"/>
              </w:rPr>
              <w:t>建议≥</w:t>
            </w:r>
            <w:r>
              <w:rPr>
                <w:rFonts w:ascii="仿宋" w:eastAsia="仿宋" w:hAnsi="仿宋" w:cs="仿宋"/>
                <w:color w:val="auto"/>
              </w:rPr>
              <w:t>5.</w:t>
            </w:r>
            <w:r>
              <w:rPr>
                <w:rFonts w:ascii="仿宋" w:eastAsia="仿宋" w:hAnsi="仿宋" w:cs="仿宋"/>
                <w:color w:val="auto"/>
              </w:rPr>
              <w:t>点缀色宜选用暖色系，彩度可略高，彩度</w:t>
            </w:r>
            <w:r>
              <w:rPr>
                <w:rFonts w:ascii="仿宋" w:eastAsia="仿宋" w:hAnsi="仿宋" w:cs="仿宋"/>
                <w:color w:val="auto"/>
              </w:rPr>
              <w:t>C</w:t>
            </w:r>
            <w:r>
              <w:rPr>
                <w:rFonts w:ascii="仿宋" w:eastAsia="仿宋" w:hAnsi="仿宋" w:cs="仿宋"/>
                <w:color w:val="auto"/>
              </w:rPr>
              <w:t>建议≥</w:t>
            </w:r>
            <w:r>
              <w:rPr>
                <w:rFonts w:ascii="仿宋" w:eastAsia="仿宋" w:hAnsi="仿宋" w:cs="仿宋"/>
                <w:color w:val="auto"/>
              </w:rPr>
              <w:t>7</w:t>
            </w:r>
            <w:r>
              <w:rPr>
                <w:rFonts w:ascii="仿宋" w:eastAsia="仿宋" w:hAnsi="仿宋" w:cs="仿宋"/>
                <w:color w:val="auto"/>
              </w:rPr>
              <w:t>。</w:t>
            </w:r>
          </w:p>
        </w:tc>
      </w:tr>
    </w:tbl>
    <w:p w:rsidR="00925AC4" w:rsidRDefault="00285E1E" w:rsidP="008E7712">
      <w:pPr>
        <w:ind w:firstLine="480"/>
        <w:rPr>
          <w:rFonts w:ascii="仿宋" w:eastAsia="仿宋" w:hAnsi="仿宋" w:cs="仿宋"/>
          <w:sz w:val="24"/>
          <w:szCs w:val="20"/>
        </w:rPr>
      </w:pPr>
      <w:r>
        <w:rPr>
          <w:rFonts w:ascii="仿宋" w:eastAsia="仿宋" w:hAnsi="仿宋" w:cs="仿宋" w:hint="eastAsia"/>
          <w:sz w:val="24"/>
          <w:szCs w:val="20"/>
        </w:rPr>
        <w:t>备注：最终以国土空间规划委员会审查为准。</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建筑屋顶造型应当与城市天际轮廓线、周边环境相协调，应满足以下要求：</w:t>
      </w:r>
    </w:p>
    <w:p w:rsidR="00925AC4" w:rsidRDefault="00285E1E">
      <w:pPr>
        <w:numPr>
          <w:ilvl w:val="0"/>
          <w:numId w:val="41"/>
        </w:numPr>
        <w:ind w:firstLine="560"/>
        <w:rPr>
          <w:rFonts w:ascii="仿宋" w:eastAsia="仿宋" w:hAnsi="仿宋" w:cs="仿宋"/>
          <w:color w:val="auto"/>
        </w:rPr>
      </w:pPr>
      <w:r>
        <w:rPr>
          <w:rFonts w:ascii="仿宋" w:eastAsia="仿宋" w:hAnsi="仿宋" w:cs="仿宋" w:hint="eastAsia"/>
          <w:color w:val="auto"/>
        </w:rPr>
        <w:t>各类建筑应重视顶部设计，结合形象、功能、夜景一体设计；</w:t>
      </w:r>
    </w:p>
    <w:p w:rsidR="00925AC4" w:rsidRDefault="00285E1E">
      <w:pPr>
        <w:numPr>
          <w:ilvl w:val="0"/>
          <w:numId w:val="41"/>
        </w:numPr>
        <w:ind w:firstLine="560"/>
        <w:rPr>
          <w:rFonts w:ascii="仿宋" w:eastAsia="仿宋" w:hAnsi="仿宋" w:cs="仿宋"/>
          <w:color w:val="auto"/>
        </w:rPr>
      </w:pPr>
      <w:r>
        <w:rPr>
          <w:rFonts w:ascii="仿宋" w:eastAsia="仿宋" w:hAnsi="仿宋" w:cs="仿宋" w:hint="eastAsia"/>
          <w:color w:val="auto"/>
        </w:rPr>
        <w:t>高层建筑屋顶应注意与建筑及周边环境协调，宜采用塔式设计，或退台、收分等造型变化处理；</w:t>
      </w:r>
    </w:p>
    <w:p w:rsidR="00925AC4" w:rsidRDefault="00285E1E">
      <w:pPr>
        <w:numPr>
          <w:ilvl w:val="0"/>
          <w:numId w:val="41"/>
        </w:numPr>
        <w:ind w:firstLine="560"/>
        <w:rPr>
          <w:rFonts w:ascii="仿宋" w:eastAsia="仿宋" w:hAnsi="仿宋" w:cs="仿宋"/>
          <w:color w:val="auto"/>
        </w:rPr>
      </w:pPr>
      <w:r>
        <w:rPr>
          <w:rFonts w:ascii="仿宋" w:eastAsia="仿宋" w:hAnsi="仿宋" w:cs="仿宋" w:hint="eastAsia"/>
          <w:color w:val="auto"/>
        </w:rPr>
        <w:t>低、多层住宅建筑宜采用坡屋顶形式，低、多层非住宅建筑应避免单一形式平屋顶，宜采用坡屋顶、平坡结合、种植屋面等多种方式；</w:t>
      </w:r>
    </w:p>
    <w:p w:rsidR="00925AC4" w:rsidRDefault="00285E1E">
      <w:pPr>
        <w:numPr>
          <w:ilvl w:val="0"/>
          <w:numId w:val="41"/>
        </w:numPr>
        <w:ind w:firstLine="560"/>
        <w:rPr>
          <w:rFonts w:ascii="仿宋" w:eastAsia="仿宋" w:hAnsi="仿宋" w:cs="仿宋"/>
          <w:color w:val="auto"/>
        </w:rPr>
      </w:pPr>
      <w:r>
        <w:rPr>
          <w:rFonts w:ascii="仿宋" w:eastAsia="仿宋" w:hAnsi="仿宋" w:cs="仿宋" w:hint="eastAsia"/>
          <w:color w:val="auto"/>
        </w:rPr>
        <w:t>平、坡屋顶建筑</w:t>
      </w:r>
      <w:r>
        <w:rPr>
          <w:rFonts w:ascii="仿宋" w:eastAsia="仿宋" w:hAnsi="仿宋" w:cs="仿宋" w:hint="eastAsia"/>
          <w:color w:val="auto"/>
        </w:rPr>
        <w:t>宜</w:t>
      </w:r>
      <w:r>
        <w:rPr>
          <w:rFonts w:ascii="仿宋" w:eastAsia="仿宋" w:hAnsi="仿宋" w:cs="仿宋" w:hint="eastAsia"/>
          <w:color w:val="auto"/>
        </w:rPr>
        <w:t>采用屋顶绿化等形式美化建筑第五立面；</w:t>
      </w:r>
    </w:p>
    <w:p w:rsidR="00925AC4" w:rsidRDefault="00285E1E">
      <w:pPr>
        <w:numPr>
          <w:ilvl w:val="0"/>
          <w:numId w:val="41"/>
        </w:numPr>
        <w:ind w:firstLine="560"/>
        <w:rPr>
          <w:rFonts w:ascii="仿宋" w:eastAsia="仿宋" w:hAnsi="仿宋" w:cs="仿宋"/>
          <w:color w:val="auto"/>
        </w:rPr>
      </w:pPr>
      <w:r>
        <w:rPr>
          <w:rFonts w:ascii="仿宋" w:eastAsia="仿宋" w:hAnsi="仿宋" w:cs="仿宋" w:hint="eastAsia"/>
          <w:color w:val="auto"/>
        </w:rPr>
        <w:t>建筑屋顶应使用低反光系数的屋面材料，采取铺装处理的建筑屋顶，铺装色彩应与建筑整体色彩协调，工业建筑屋顶严禁采用大面积高饱和度色彩；</w:t>
      </w:r>
    </w:p>
    <w:p w:rsidR="00925AC4" w:rsidRDefault="00285E1E">
      <w:pPr>
        <w:numPr>
          <w:ilvl w:val="0"/>
          <w:numId w:val="41"/>
        </w:numPr>
        <w:ind w:firstLine="560"/>
        <w:rPr>
          <w:rFonts w:ascii="仿宋" w:eastAsia="仿宋" w:hAnsi="仿宋" w:cs="仿宋"/>
          <w:color w:val="auto"/>
        </w:rPr>
      </w:pPr>
      <w:r>
        <w:rPr>
          <w:rFonts w:ascii="仿宋" w:eastAsia="仿宋" w:hAnsi="仿宋" w:cs="仿宋" w:hint="eastAsia"/>
          <w:color w:val="auto"/>
        </w:rPr>
        <w:t>屋顶上的冷却塔、电梯机房、水箱、楼梯间、烟囱等，应当与屋顶造型相匹配，进行亮化、美化处理。</w:t>
      </w:r>
    </w:p>
    <w:p w:rsidR="00925AC4" w:rsidRDefault="00285E1E">
      <w:pPr>
        <w:numPr>
          <w:ilvl w:val="0"/>
          <w:numId w:val="35"/>
        </w:numPr>
        <w:ind w:firstLine="560"/>
        <w:rPr>
          <w:rFonts w:ascii="仿宋" w:eastAsia="仿宋" w:hAnsi="仿宋" w:cs="仿宋"/>
          <w:color w:val="0000FF"/>
        </w:rPr>
      </w:pPr>
      <w:r>
        <w:rPr>
          <w:rFonts w:ascii="仿宋" w:eastAsia="仿宋" w:hAnsi="仿宋" w:cs="仿宋" w:hint="eastAsia"/>
          <w:color w:val="auto"/>
        </w:rPr>
        <w:lastRenderedPageBreak/>
        <w:t xml:space="preserve"> </w:t>
      </w:r>
      <w:r>
        <w:rPr>
          <w:rFonts w:ascii="仿宋" w:eastAsia="仿宋" w:hAnsi="仿宋" w:cs="仿宋" w:hint="eastAsia"/>
          <w:color w:val="auto"/>
        </w:rPr>
        <w:t>建筑立面各种标识、店招、空调外机位及各种管道应结合立面统一设计并预留位置，其设置方式参照</w:t>
      </w:r>
      <w:r>
        <w:rPr>
          <w:rFonts w:ascii="仿宋" w:eastAsia="仿宋" w:hAnsi="仿宋" w:cs="仿宋" w:hint="eastAsia"/>
          <w:color w:val="0000FF"/>
          <w:highlight w:val="yellow"/>
        </w:rPr>
        <w:t>《</w:t>
      </w:r>
      <w:commentRangeStart w:id="49"/>
      <w:r>
        <w:rPr>
          <w:rFonts w:ascii="仿宋" w:eastAsia="仿宋" w:hAnsi="仿宋" w:cs="仿宋" w:hint="eastAsia"/>
          <w:color w:val="0000FF"/>
          <w:highlight w:val="yellow"/>
        </w:rPr>
        <w:t>万源市</w:t>
      </w:r>
      <w:r>
        <w:rPr>
          <w:rFonts w:ascii="仿宋" w:eastAsia="仿宋" w:hAnsi="仿宋" w:cs="仿宋" w:hint="eastAsia"/>
          <w:color w:val="0000FF"/>
          <w:highlight w:val="yellow"/>
        </w:rPr>
        <w:t>中心城区户外广告设置专项规划》及《</w:t>
      </w:r>
      <w:r>
        <w:rPr>
          <w:rFonts w:ascii="仿宋" w:eastAsia="仿宋" w:hAnsi="仿宋" w:cs="仿宋" w:hint="eastAsia"/>
          <w:color w:val="0000FF"/>
          <w:highlight w:val="yellow"/>
        </w:rPr>
        <w:t>万源市</w:t>
      </w:r>
      <w:r>
        <w:rPr>
          <w:rFonts w:ascii="仿宋" w:eastAsia="仿宋" w:hAnsi="仿宋" w:cs="仿宋" w:hint="eastAsia"/>
          <w:color w:val="0000FF"/>
          <w:highlight w:val="yellow"/>
        </w:rPr>
        <w:t>户外广告设施及招牌设置导则》执行</w:t>
      </w:r>
      <w:commentRangeEnd w:id="49"/>
      <w:r>
        <w:rPr>
          <w:rFonts w:ascii="仿宋" w:eastAsia="仿宋" w:hAnsi="仿宋" w:cs="仿宋" w:hint="eastAsia"/>
        </w:rPr>
        <w:commentReference w:id="49"/>
      </w:r>
      <w:r>
        <w:rPr>
          <w:rFonts w:ascii="仿宋" w:eastAsia="仿宋" w:hAnsi="仿宋" w:cs="仿宋" w:hint="eastAsia"/>
          <w:color w:val="0000FF"/>
          <w:highlight w:val="yellow"/>
        </w:rPr>
        <w:t>。</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建筑项目环境营造应体现以人为本，提升城市品质，形成人性化的空间环境：</w:t>
      </w:r>
    </w:p>
    <w:p w:rsidR="00925AC4" w:rsidRDefault="00285E1E">
      <w:pPr>
        <w:numPr>
          <w:ilvl w:val="0"/>
          <w:numId w:val="42"/>
        </w:numPr>
        <w:ind w:firstLine="560"/>
        <w:rPr>
          <w:rFonts w:ascii="仿宋" w:eastAsia="仿宋" w:hAnsi="仿宋" w:cs="仿宋"/>
          <w:color w:val="auto"/>
        </w:rPr>
      </w:pPr>
      <w:r>
        <w:rPr>
          <w:rFonts w:ascii="仿宋" w:eastAsia="仿宋" w:hAnsi="仿宋" w:cs="仿宋" w:hint="eastAsia"/>
          <w:color w:val="auto"/>
        </w:rPr>
        <w:t>商业建筑临规划商业街不应设置围墙，商务建筑</w:t>
      </w:r>
      <w:r>
        <w:rPr>
          <w:rFonts w:ascii="仿宋" w:eastAsia="仿宋" w:hAnsi="仿宋" w:cs="仿宋" w:hint="eastAsia"/>
          <w:color w:val="auto"/>
        </w:rPr>
        <w:t>(</w:t>
      </w:r>
      <w:r>
        <w:rPr>
          <w:rFonts w:ascii="仿宋" w:eastAsia="仿宋" w:hAnsi="仿宋" w:cs="仿宋" w:hint="eastAsia"/>
          <w:color w:val="auto"/>
        </w:rPr>
        <w:t>办公楼、酒店等</w:t>
      </w:r>
      <w:r>
        <w:rPr>
          <w:rFonts w:ascii="仿宋" w:eastAsia="仿宋" w:hAnsi="仿宋" w:cs="仿宋" w:hint="eastAsia"/>
          <w:color w:val="auto"/>
        </w:rPr>
        <w:t>)</w:t>
      </w:r>
      <w:r>
        <w:rPr>
          <w:rFonts w:ascii="仿宋" w:eastAsia="仿宋" w:hAnsi="仿宋" w:cs="仿宋" w:hint="eastAsia"/>
          <w:color w:val="auto"/>
        </w:rPr>
        <w:t>临城市道路不宜设置围墙，可采用绿化、水景等景观方式界定空间；住宅、学校、幼儿园等需要明确空间界限的项目，应采用透空栏杆、绿篱、通透式围墙等形式；</w:t>
      </w:r>
    </w:p>
    <w:p w:rsidR="00925AC4" w:rsidRDefault="00285E1E">
      <w:pPr>
        <w:numPr>
          <w:ilvl w:val="0"/>
          <w:numId w:val="42"/>
        </w:numPr>
        <w:ind w:firstLine="560"/>
        <w:rPr>
          <w:rFonts w:ascii="仿宋" w:eastAsia="仿宋" w:hAnsi="仿宋" w:cs="仿宋"/>
          <w:color w:val="auto"/>
        </w:rPr>
      </w:pPr>
      <w:r>
        <w:rPr>
          <w:rFonts w:ascii="仿宋" w:eastAsia="仿宋" w:hAnsi="仿宋" w:cs="仿宋" w:hint="eastAsia"/>
          <w:color w:val="auto"/>
        </w:rPr>
        <w:t>新建透空栏杆、绿篱、通透式等形式围墙的形式应符合以下规定：</w:t>
      </w:r>
    </w:p>
    <w:p w:rsidR="00925AC4" w:rsidRDefault="00285E1E">
      <w:pPr>
        <w:numPr>
          <w:ilvl w:val="0"/>
          <w:numId w:val="43"/>
        </w:numPr>
        <w:ind w:firstLine="560"/>
        <w:rPr>
          <w:rFonts w:ascii="仿宋" w:eastAsia="仿宋" w:hAnsi="仿宋" w:cs="仿宋"/>
          <w:color w:val="auto"/>
        </w:rPr>
      </w:pPr>
      <w:r>
        <w:rPr>
          <w:rFonts w:ascii="仿宋" w:eastAsia="仿宋" w:hAnsi="仿宋" w:cs="仿宋" w:hint="eastAsia"/>
          <w:color w:val="auto"/>
        </w:rPr>
        <w:t>通透式围墙通透率应大于</w:t>
      </w:r>
      <w:r>
        <w:rPr>
          <w:rFonts w:ascii="仿宋" w:eastAsia="仿宋" w:hAnsi="仿宋" w:cs="仿宋" w:hint="eastAsia"/>
          <w:color w:val="auto"/>
        </w:rPr>
        <w:t>70%,</w:t>
      </w:r>
    </w:p>
    <w:p w:rsidR="00925AC4" w:rsidRDefault="00285E1E">
      <w:pPr>
        <w:numPr>
          <w:ilvl w:val="0"/>
          <w:numId w:val="43"/>
        </w:numPr>
        <w:ind w:firstLine="560"/>
        <w:rPr>
          <w:rFonts w:ascii="仿宋" w:eastAsia="仿宋" w:hAnsi="仿宋" w:cs="仿宋"/>
          <w:color w:val="auto"/>
        </w:rPr>
      </w:pPr>
      <w:r>
        <w:rPr>
          <w:rFonts w:ascii="仿宋" w:eastAsia="仿宋" w:hAnsi="仿宋" w:cs="仿宋" w:hint="eastAsia"/>
          <w:color w:val="auto"/>
        </w:rPr>
        <w:t>绿色植物墙绿化覆盖率大于</w:t>
      </w:r>
      <w:r>
        <w:rPr>
          <w:rFonts w:ascii="仿宋" w:eastAsia="仿宋" w:hAnsi="仿宋" w:cs="仿宋" w:hint="eastAsia"/>
          <w:color w:val="auto"/>
        </w:rPr>
        <w:t>80%</w:t>
      </w:r>
      <w:r>
        <w:rPr>
          <w:rFonts w:ascii="仿宋" w:eastAsia="仿宋" w:hAnsi="仿宋" w:cs="仿宋" w:hint="eastAsia"/>
          <w:color w:val="auto"/>
        </w:rPr>
        <w:t>。</w:t>
      </w:r>
    </w:p>
    <w:p w:rsidR="00925AC4" w:rsidRDefault="00285E1E">
      <w:pPr>
        <w:numPr>
          <w:ilvl w:val="0"/>
          <w:numId w:val="42"/>
        </w:numPr>
        <w:ind w:firstLine="560"/>
        <w:rPr>
          <w:rFonts w:ascii="仿宋" w:eastAsia="仿宋" w:hAnsi="仿宋" w:cs="仿宋"/>
          <w:color w:val="auto"/>
        </w:rPr>
      </w:pPr>
      <w:r>
        <w:rPr>
          <w:rFonts w:ascii="仿宋" w:eastAsia="仿宋" w:hAnsi="仿宋" w:cs="仿宋" w:hint="eastAsia"/>
          <w:color w:val="auto"/>
        </w:rPr>
        <w:t>因安全、保密等有特殊要求的</w:t>
      </w:r>
      <w:r>
        <w:rPr>
          <w:rFonts w:ascii="仿宋" w:eastAsia="仿宋" w:hAnsi="仿宋" w:cs="仿宋" w:hint="eastAsia"/>
          <w:color w:val="auto"/>
        </w:rPr>
        <w:t>项目确需建实体围墙的，围墙临规划道路</w:t>
      </w:r>
      <w:r>
        <w:rPr>
          <w:rFonts w:ascii="仿宋" w:eastAsia="仿宋" w:hAnsi="仿宋" w:cs="仿宋" w:hint="eastAsia"/>
          <w:color w:val="auto"/>
        </w:rPr>
        <w:t>(</w:t>
      </w:r>
      <w:r>
        <w:rPr>
          <w:rFonts w:ascii="仿宋" w:eastAsia="仿宋" w:hAnsi="仿宋" w:cs="仿宋" w:hint="eastAsia"/>
          <w:color w:val="auto"/>
        </w:rPr>
        <w:t>河道或城市开敞空间</w:t>
      </w:r>
      <w:r>
        <w:rPr>
          <w:rFonts w:ascii="仿宋" w:eastAsia="仿宋" w:hAnsi="仿宋" w:cs="仿宋" w:hint="eastAsia"/>
          <w:color w:val="auto"/>
        </w:rPr>
        <w:t>)</w:t>
      </w:r>
      <w:r>
        <w:rPr>
          <w:rFonts w:ascii="仿宋" w:eastAsia="仿宋" w:hAnsi="仿宋" w:cs="仿宋" w:hint="eastAsia"/>
          <w:color w:val="auto"/>
        </w:rPr>
        <w:t>要砌净宽度</w:t>
      </w:r>
      <w:r>
        <w:rPr>
          <w:rFonts w:ascii="仿宋" w:eastAsia="仿宋" w:hAnsi="仿宋" w:cs="仿宋" w:hint="eastAsia"/>
          <w:color w:val="auto"/>
        </w:rPr>
        <w:t>30</w:t>
      </w:r>
      <w:r>
        <w:rPr>
          <w:rFonts w:ascii="仿宋" w:eastAsia="仿宋" w:hAnsi="仿宋" w:cs="仿宋" w:hint="eastAsia"/>
          <w:color w:val="auto"/>
        </w:rPr>
        <w:t>厘米以上、高度</w:t>
      </w:r>
      <w:r>
        <w:rPr>
          <w:rFonts w:ascii="仿宋" w:eastAsia="仿宋" w:hAnsi="仿宋" w:cs="仿宋" w:hint="eastAsia"/>
          <w:color w:val="auto"/>
        </w:rPr>
        <w:t>40</w:t>
      </w:r>
      <w:r>
        <w:rPr>
          <w:rFonts w:ascii="仿宋" w:eastAsia="仿宋" w:hAnsi="仿宋" w:cs="仿宋" w:hint="eastAsia"/>
          <w:color w:val="auto"/>
        </w:rPr>
        <w:t>厘米的种植槽，用于种植常绿植物，遮挡墙体，绿化覆盖率要达到</w:t>
      </w:r>
      <w:r>
        <w:rPr>
          <w:rFonts w:ascii="仿宋" w:eastAsia="仿宋" w:hAnsi="仿宋" w:cs="仿宋" w:hint="eastAsia"/>
          <w:color w:val="auto"/>
        </w:rPr>
        <w:t>100%;</w:t>
      </w:r>
    </w:p>
    <w:p w:rsidR="00925AC4" w:rsidRDefault="00285E1E">
      <w:pPr>
        <w:numPr>
          <w:ilvl w:val="0"/>
          <w:numId w:val="42"/>
        </w:numPr>
        <w:ind w:firstLine="560"/>
        <w:rPr>
          <w:rFonts w:ascii="仿宋" w:eastAsia="仿宋" w:hAnsi="仿宋" w:cs="仿宋"/>
          <w:color w:val="auto"/>
        </w:rPr>
      </w:pPr>
      <w:r>
        <w:rPr>
          <w:rFonts w:ascii="仿宋" w:eastAsia="仿宋" w:hAnsi="仿宋" w:cs="仿宋" w:hint="eastAsia"/>
          <w:color w:val="auto"/>
        </w:rPr>
        <w:t>国土空间规划区内临主、次干路建筑的底层不得设置实体卷帘门。</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城市建筑应进行夜景照明设计，原则上不得建设大面积媒体立面，避免形成光污染。</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城市各类建设项目</w:t>
      </w:r>
      <w:r>
        <w:rPr>
          <w:rFonts w:ascii="仿宋" w:eastAsia="仿宋" w:hAnsi="仿宋" w:cs="仿宋" w:hint="eastAsia"/>
          <w:color w:val="auto"/>
        </w:rPr>
        <w:t>(</w:t>
      </w:r>
      <w:r>
        <w:rPr>
          <w:rFonts w:ascii="仿宋" w:eastAsia="仿宋" w:hAnsi="仿宋" w:cs="仿宋" w:hint="eastAsia"/>
          <w:color w:val="auto"/>
        </w:rPr>
        <w:t>含工业建筑临重要城市道路、重要节点</w:t>
      </w:r>
      <w:r>
        <w:rPr>
          <w:rFonts w:ascii="仿宋" w:eastAsia="仿宋" w:hAnsi="仿宋" w:cs="仿宋" w:hint="eastAsia"/>
          <w:color w:val="auto"/>
        </w:rPr>
        <w:t>)</w:t>
      </w:r>
      <w:r>
        <w:rPr>
          <w:rFonts w:ascii="仿宋" w:eastAsia="仿宋" w:hAnsi="仿宋" w:cs="仿宋" w:hint="eastAsia"/>
          <w:color w:val="auto"/>
        </w:rPr>
        <w:t>设计时应编制夜景照明设计专章</w:t>
      </w:r>
      <w:r>
        <w:rPr>
          <w:rFonts w:ascii="仿宋" w:eastAsia="仿宋" w:hAnsi="仿宋" w:cs="仿宋" w:hint="eastAsia"/>
          <w:color w:val="auto"/>
        </w:rPr>
        <w:t>(</w:t>
      </w:r>
      <w:r>
        <w:rPr>
          <w:rFonts w:ascii="仿宋" w:eastAsia="仿宋" w:hAnsi="仿宋" w:cs="仿宋" w:hint="eastAsia"/>
          <w:color w:val="auto"/>
        </w:rPr>
        <w:t>篇</w:t>
      </w:r>
      <w:r>
        <w:rPr>
          <w:rFonts w:ascii="仿宋" w:eastAsia="仿宋" w:hAnsi="仿宋" w:cs="仿宋" w:hint="eastAsia"/>
          <w:color w:val="auto"/>
        </w:rPr>
        <w:t>),</w:t>
      </w:r>
      <w:r>
        <w:rPr>
          <w:rFonts w:ascii="仿宋" w:eastAsia="仿宋" w:hAnsi="仿宋" w:cs="仿宋" w:hint="eastAsia"/>
          <w:color w:val="auto"/>
        </w:rPr>
        <w:t>且应与建筑主体同步设计、同步实施、同步验收。</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新建住宅建筑应商住分离，建筑间距按照第</w:t>
      </w:r>
      <w:r>
        <w:rPr>
          <w:rFonts w:ascii="仿宋" w:eastAsia="仿宋" w:hAnsi="仿宋" w:cs="仿宋" w:hint="eastAsia"/>
          <w:color w:val="auto"/>
        </w:rPr>
        <w:t>3.1</w:t>
      </w:r>
      <w:r>
        <w:rPr>
          <w:rFonts w:ascii="仿宋" w:eastAsia="仿宋" w:hAnsi="仿宋" w:cs="仿宋" w:hint="eastAsia"/>
          <w:color w:val="auto"/>
        </w:rPr>
        <w:t>节控制；老城区特殊地块经专项论证后</w:t>
      </w:r>
      <w:r>
        <w:rPr>
          <w:rFonts w:ascii="仿宋" w:eastAsia="仿宋" w:hAnsi="仿宋" w:cs="仿宋" w:hint="eastAsia"/>
          <w:color w:val="auto"/>
        </w:rPr>
        <w:t>，可在满足消防要求的前提下设置底商。</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提倡和鼓励新型住宅的规划建设，支持“装配式建筑”“第四代住宅”的规划建设实施。</w:t>
      </w:r>
    </w:p>
    <w:p w:rsidR="00925AC4" w:rsidRDefault="00285E1E">
      <w:pPr>
        <w:numPr>
          <w:ilvl w:val="0"/>
          <w:numId w:val="35"/>
        </w:numPr>
        <w:ind w:firstLine="560"/>
        <w:rPr>
          <w:rFonts w:ascii="仿宋" w:eastAsia="仿宋" w:hAnsi="仿宋" w:cs="仿宋"/>
          <w:color w:val="auto"/>
        </w:rPr>
      </w:pPr>
      <w:r>
        <w:rPr>
          <w:rFonts w:ascii="仿宋" w:eastAsia="仿宋" w:hAnsi="仿宋" w:cs="仿宋" w:hint="eastAsia"/>
          <w:color w:val="0000FF"/>
        </w:rPr>
        <w:lastRenderedPageBreak/>
        <w:t xml:space="preserve"> </w:t>
      </w:r>
      <w:r>
        <w:rPr>
          <w:rFonts w:ascii="仿宋" w:eastAsia="仿宋" w:hAnsi="仿宋" w:cs="仿宋" w:hint="eastAsia"/>
          <w:color w:val="auto"/>
        </w:rPr>
        <w:t>其他管理要求</w:t>
      </w:r>
    </w:p>
    <w:p w:rsidR="00925AC4" w:rsidRDefault="00285E1E">
      <w:pPr>
        <w:numPr>
          <w:ilvl w:val="0"/>
          <w:numId w:val="44"/>
        </w:numPr>
        <w:ind w:firstLine="560"/>
        <w:rPr>
          <w:rFonts w:ascii="仿宋" w:eastAsia="仿宋" w:hAnsi="仿宋" w:cs="仿宋"/>
          <w:color w:val="auto"/>
        </w:rPr>
      </w:pPr>
      <w:r>
        <w:rPr>
          <w:rFonts w:ascii="仿宋" w:eastAsia="仿宋" w:hAnsi="仿宋" w:cs="仿宋" w:hint="eastAsia"/>
          <w:color w:val="auto"/>
        </w:rPr>
        <w:t>酒店、办公类建筑应采用公共走廊式布局，开</w:t>
      </w:r>
      <w:r>
        <w:rPr>
          <w:rFonts w:ascii="仿宋" w:eastAsia="仿宋" w:hAnsi="仿宋" w:cs="仿宋" w:hint="eastAsia"/>
          <w:color w:val="auto"/>
        </w:rPr>
        <w:t>(</w:t>
      </w:r>
      <w:r>
        <w:rPr>
          <w:rFonts w:ascii="仿宋" w:eastAsia="仿宋" w:hAnsi="仿宋" w:cs="仿宋" w:hint="eastAsia"/>
          <w:color w:val="auto"/>
        </w:rPr>
        <w:t>茶</w:t>
      </w:r>
      <w:r>
        <w:rPr>
          <w:rFonts w:ascii="仿宋" w:eastAsia="仿宋" w:hAnsi="仿宋" w:cs="仿宋" w:hint="eastAsia"/>
          <w:color w:val="auto"/>
        </w:rPr>
        <w:t>)</w:t>
      </w:r>
      <w:r>
        <w:rPr>
          <w:rFonts w:ascii="仿宋" w:eastAsia="仿宋" w:hAnsi="仿宋" w:cs="仿宋" w:hint="eastAsia"/>
          <w:color w:val="auto"/>
        </w:rPr>
        <w:t>水间、卫生间</w:t>
      </w:r>
      <w:r>
        <w:rPr>
          <w:rFonts w:ascii="仿宋" w:eastAsia="仿宋" w:hAnsi="仿宋" w:cs="仿宋" w:hint="eastAsia"/>
          <w:color w:val="auto"/>
        </w:rPr>
        <w:t>(</w:t>
      </w:r>
      <w:r>
        <w:rPr>
          <w:rFonts w:ascii="仿宋" w:eastAsia="仿宋" w:hAnsi="仿宋" w:cs="仿宋" w:hint="eastAsia"/>
          <w:color w:val="auto"/>
        </w:rPr>
        <w:t>酒店除外</w:t>
      </w:r>
      <w:r>
        <w:rPr>
          <w:rFonts w:ascii="仿宋" w:eastAsia="仿宋" w:hAnsi="仿宋" w:cs="仿宋" w:hint="eastAsia"/>
          <w:color w:val="auto"/>
        </w:rPr>
        <w:t>)</w:t>
      </w:r>
      <w:r>
        <w:rPr>
          <w:rFonts w:ascii="仿宋" w:eastAsia="仿宋" w:hAnsi="仿宋" w:cs="仿宋" w:hint="eastAsia"/>
          <w:color w:val="auto"/>
        </w:rPr>
        <w:t>、管道井应集中设计，不得设置出挑阳台、花槽、飘窗、镂空，不得采用住宅单元式布局和住宅套型式功能设计。</w:t>
      </w:r>
    </w:p>
    <w:p w:rsidR="00925AC4" w:rsidRDefault="00285E1E">
      <w:pPr>
        <w:numPr>
          <w:ilvl w:val="0"/>
          <w:numId w:val="44"/>
        </w:numPr>
        <w:ind w:firstLine="560"/>
        <w:rPr>
          <w:rFonts w:ascii="仿宋" w:eastAsia="仿宋" w:hAnsi="仿宋" w:cs="仿宋"/>
          <w:color w:val="auto"/>
        </w:rPr>
      </w:pPr>
      <w:r>
        <w:rPr>
          <w:rFonts w:ascii="仿宋" w:eastAsia="仿宋" w:hAnsi="仿宋" w:cs="仿宋" w:hint="eastAsia"/>
          <w:color w:val="auto"/>
        </w:rPr>
        <w:t>工业厂房设计应当区别于商业、商务办公和居住建筑，宜充分利用工业建筑特有的空间及结构特征形成舒展且富有韵律的建筑形态，工业建筑立面构成宜简洁洗练，几何感强；外墙材质应体现现代工业建筑细腻的风貌特征，宜大胆创新</w:t>
      </w:r>
      <w:r>
        <w:rPr>
          <w:rFonts w:ascii="仿宋" w:eastAsia="仿宋" w:hAnsi="仿宋" w:cs="仿宋" w:hint="eastAsia"/>
          <w:color w:val="auto"/>
        </w:rPr>
        <w:t>(</w:t>
      </w:r>
      <w:r>
        <w:rPr>
          <w:rFonts w:ascii="仿宋" w:eastAsia="仿宋" w:hAnsi="仿宋" w:cs="仿宋" w:hint="eastAsia"/>
          <w:color w:val="auto"/>
        </w:rPr>
        <w:t>如半透明</w:t>
      </w:r>
      <w:r>
        <w:rPr>
          <w:rFonts w:ascii="仿宋" w:eastAsia="仿宋" w:hAnsi="仿宋" w:cs="仿宋" w:hint="eastAsia"/>
          <w:color w:val="auto"/>
        </w:rPr>
        <w:t>U</w:t>
      </w:r>
      <w:r>
        <w:rPr>
          <w:rFonts w:ascii="仿宋" w:eastAsia="仿宋" w:hAnsi="仿宋" w:cs="仿宋" w:hint="eastAsia"/>
          <w:color w:val="auto"/>
        </w:rPr>
        <w:t>型玻璃、穿孔金属板、丝网印刷玻璃等</w:t>
      </w:r>
      <w:r>
        <w:rPr>
          <w:rFonts w:ascii="仿宋" w:eastAsia="仿宋" w:hAnsi="仿宋" w:cs="仿宋" w:hint="eastAsia"/>
          <w:color w:val="auto"/>
        </w:rPr>
        <w:t>)</w:t>
      </w:r>
      <w:r>
        <w:rPr>
          <w:rFonts w:ascii="仿宋" w:eastAsia="仿宋" w:hAnsi="仿宋" w:cs="仿宋" w:hint="eastAsia"/>
          <w:color w:val="auto"/>
        </w:rPr>
        <w:t>。生产用房不得采用类似住宅套型设计，标准厂房项目的生产用房，其单层平面最小分隔单元的面积不得小于</w:t>
      </w:r>
      <w:r>
        <w:rPr>
          <w:rFonts w:ascii="仿宋" w:eastAsia="仿宋" w:hAnsi="仿宋" w:cs="仿宋" w:hint="eastAsia"/>
          <w:color w:val="auto"/>
        </w:rPr>
        <w:t>300</w:t>
      </w:r>
      <w:r>
        <w:rPr>
          <w:rFonts w:ascii="仿宋" w:eastAsia="仿宋" w:hAnsi="仿宋" w:cs="仿宋" w:hint="eastAsia"/>
          <w:color w:val="auto"/>
        </w:rPr>
        <w:t>平方米；楼宇产业园项目的生产用房，其单层面积最小分隔单元的套内面积不得小于</w:t>
      </w:r>
      <w:r>
        <w:rPr>
          <w:rFonts w:ascii="仿宋" w:eastAsia="仿宋" w:hAnsi="仿宋" w:cs="仿宋" w:hint="eastAsia"/>
          <w:color w:val="auto"/>
        </w:rPr>
        <w:t>150</w:t>
      </w:r>
      <w:r>
        <w:rPr>
          <w:rFonts w:ascii="仿宋" w:eastAsia="仿宋" w:hAnsi="仿宋" w:cs="仿宋" w:hint="eastAsia"/>
          <w:color w:val="auto"/>
        </w:rPr>
        <w:t>平方米。</w:t>
      </w:r>
    </w:p>
    <w:p w:rsidR="00925AC4" w:rsidRDefault="00285E1E">
      <w:pPr>
        <w:numPr>
          <w:ilvl w:val="0"/>
          <w:numId w:val="44"/>
        </w:numPr>
        <w:ind w:firstLine="560"/>
        <w:rPr>
          <w:rFonts w:ascii="仿宋" w:eastAsia="仿宋" w:hAnsi="仿宋" w:cs="仿宋"/>
          <w:color w:val="auto"/>
        </w:rPr>
      </w:pPr>
      <w:r>
        <w:rPr>
          <w:rFonts w:ascii="仿宋" w:eastAsia="仿宋" w:hAnsi="仿宋" w:cs="仿宋" w:hint="eastAsia"/>
          <w:color w:val="auto"/>
        </w:rPr>
        <w:t>开敞空间应当与城市道路或者岸线标高自然衔接、视线通透；高差过大的，应当采取绿化、浮雕等进行美化处理，体现生态文化理念。</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桥梁、立交桥、高架桥、人行天桥、滨江防洪堤岸等工程，应当进行建筑和景观设计，与城市空间形态和山水环境相协调，体现文化内涵和建筑艺术特色。</w:t>
      </w:r>
    </w:p>
    <w:p w:rsidR="00925AC4" w:rsidRDefault="00285E1E">
      <w:pPr>
        <w:numPr>
          <w:ilvl w:val="0"/>
          <w:numId w:val="44"/>
        </w:numPr>
        <w:ind w:firstLine="560"/>
        <w:rPr>
          <w:rFonts w:ascii="仿宋" w:eastAsia="仿宋" w:hAnsi="仿宋" w:cs="仿宋"/>
          <w:color w:val="auto"/>
        </w:rPr>
      </w:pPr>
      <w:r>
        <w:rPr>
          <w:rFonts w:ascii="仿宋" w:eastAsia="仿宋" w:hAnsi="仿宋" w:cs="仿宋" w:hint="eastAsia"/>
          <w:color w:val="auto"/>
        </w:rPr>
        <w:t>重要区域或路段应当编制专项城市景观规划或者城市设计。体现出城市整体文化风貌，及塑造城市天际轮廓线。</w:t>
      </w:r>
    </w:p>
    <w:p w:rsidR="00925AC4" w:rsidRDefault="00285E1E">
      <w:pPr>
        <w:numPr>
          <w:ilvl w:val="0"/>
          <w:numId w:val="44"/>
        </w:numPr>
        <w:ind w:firstLine="560"/>
        <w:rPr>
          <w:rFonts w:ascii="仿宋" w:eastAsia="仿宋" w:hAnsi="仿宋" w:cs="仿宋"/>
          <w:color w:val="auto"/>
        </w:rPr>
      </w:pPr>
      <w:r>
        <w:rPr>
          <w:rFonts w:ascii="仿宋" w:eastAsia="仿宋" w:hAnsi="仿宋" w:cs="仿宋" w:hint="eastAsia"/>
          <w:color w:val="auto"/>
        </w:rPr>
        <w:t>沿城市主干路的建筑临街一侧不宜布置卫生间、厨房。</w:t>
      </w:r>
    </w:p>
    <w:p w:rsidR="00925AC4" w:rsidRDefault="00285E1E">
      <w:pPr>
        <w:numPr>
          <w:ilvl w:val="0"/>
          <w:numId w:val="35"/>
        </w:numPr>
        <w:ind w:firstLine="560"/>
        <w:rPr>
          <w:rFonts w:ascii="仿宋" w:eastAsia="仿宋" w:hAnsi="仿宋" w:cs="仿宋"/>
          <w:color w:val="auto"/>
          <w:szCs w:val="31"/>
        </w:rPr>
      </w:pPr>
      <w:r>
        <w:rPr>
          <w:rFonts w:ascii="仿宋" w:eastAsia="仿宋" w:hAnsi="仿宋" w:cs="仿宋" w:hint="eastAsia"/>
          <w:color w:val="0000FF"/>
        </w:rPr>
        <w:t xml:space="preserve"> </w:t>
      </w:r>
      <w:r>
        <w:rPr>
          <w:rFonts w:ascii="仿宋" w:eastAsia="仿宋" w:hAnsi="仿宋" w:cs="仿宋" w:hint="eastAsia"/>
          <w:color w:val="auto"/>
        </w:rPr>
        <w:t>新建建筑形态、风貌除满足以上规定外，须满足</w:t>
      </w:r>
      <w:r>
        <w:rPr>
          <w:rFonts w:ascii="仿宋" w:eastAsia="仿宋" w:hAnsi="仿宋" w:cs="仿宋" w:hint="eastAsia"/>
          <w:color w:val="auto"/>
        </w:rPr>
        <w:t>万源市</w:t>
      </w:r>
      <w:r>
        <w:rPr>
          <w:rFonts w:ascii="仿宋" w:eastAsia="仿宋" w:hAnsi="仿宋" w:cs="仿宋" w:hint="eastAsia"/>
          <w:color w:val="auto"/>
        </w:rPr>
        <w:t>城市新区城市设计的相关控制要求。</w:t>
      </w:r>
    </w:p>
    <w:p w:rsidR="00925AC4" w:rsidRDefault="00285E1E">
      <w:pPr>
        <w:pStyle w:val="1"/>
        <w:rPr>
          <w:rFonts w:ascii="仿宋" w:eastAsia="仿宋" w:hAnsi="仿宋" w:cs="仿宋"/>
          <w:color w:val="auto"/>
          <w:sz w:val="32"/>
          <w:szCs w:val="32"/>
        </w:rPr>
      </w:pPr>
      <w:r>
        <w:rPr>
          <w:rFonts w:ascii="仿宋" w:eastAsia="仿宋" w:hAnsi="仿宋" w:cs="仿宋" w:hint="eastAsia"/>
          <w:color w:val="C00000"/>
          <w:sz w:val="21"/>
        </w:rPr>
        <w:br w:type="page"/>
      </w:r>
      <w:bookmarkStart w:id="50" w:name="_bookmark11"/>
      <w:bookmarkStart w:id="51" w:name="_bookmark10"/>
      <w:bookmarkStart w:id="52" w:name="_Toc22784"/>
      <w:bookmarkEnd w:id="50"/>
      <w:bookmarkEnd w:id="51"/>
      <w:r>
        <w:rPr>
          <w:rFonts w:ascii="仿宋" w:eastAsia="仿宋" w:hAnsi="仿宋" w:cs="仿宋" w:hint="eastAsia"/>
          <w:color w:val="auto"/>
          <w:sz w:val="32"/>
          <w:szCs w:val="32"/>
        </w:rPr>
        <w:lastRenderedPageBreak/>
        <w:t>第四章交通、市政、</w:t>
      </w:r>
      <w:r>
        <w:rPr>
          <w:rFonts w:ascii="仿宋" w:eastAsia="仿宋" w:hAnsi="仿宋" w:cs="仿宋" w:hint="eastAsia"/>
          <w:color w:val="auto"/>
          <w:sz w:val="32"/>
          <w:szCs w:val="32"/>
        </w:rPr>
        <w:t>消防、安防工程规划管理</w:t>
      </w:r>
      <w:bookmarkEnd w:id="52"/>
    </w:p>
    <w:p w:rsidR="00925AC4" w:rsidRDefault="00285E1E">
      <w:pPr>
        <w:pStyle w:val="2"/>
        <w:numPr>
          <w:ilvl w:val="0"/>
          <w:numId w:val="45"/>
        </w:numPr>
        <w:ind w:firstLine="562"/>
        <w:rPr>
          <w:rFonts w:ascii="仿宋" w:eastAsia="仿宋" w:hAnsi="仿宋" w:cs="仿宋"/>
          <w:color w:val="auto"/>
          <w:sz w:val="28"/>
          <w:szCs w:val="28"/>
        </w:rPr>
      </w:pPr>
      <w:r>
        <w:rPr>
          <w:rFonts w:ascii="仿宋" w:eastAsia="仿宋" w:hAnsi="仿宋" w:cs="仿宋" w:hint="eastAsia"/>
          <w:color w:val="0000FF"/>
          <w:sz w:val="28"/>
          <w:szCs w:val="28"/>
        </w:rPr>
        <w:t xml:space="preserve"> </w:t>
      </w:r>
      <w:bookmarkStart w:id="53" w:name="_Toc22624"/>
      <w:r>
        <w:rPr>
          <w:rFonts w:ascii="仿宋" w:eastAsia="仿宋" w:hAnsi="仿宋" w:cs="仿宋" w:hint="eastAsia"/>
          <w:color w:val="auto"/>
          <w:sz w:val="28"/>
          <w:szCs w:val="28"/>
        </w:rPr>
        <w:t>交通工程规划管理</w:t>
      </w:r>
      <w:bookmarkEnd w:id="53"/>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万源</w:t>
      </w:r>
      <w:r>
        <w:rPr>
          <w:rFonts w:ascii="仿宋" w:eastAsia="仿宋" w:hAnsi="仿宋" w:cs="仿宋" w:hint="eastAsia"/>
          <w:color w:val="auto"/>
        </w:rPr>
        <w:t>城市道路划分为四级，即快速路、主干路、次干路及支路；城市道路等级由国土空间总体规划、分区规划确定。</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城市各级道路规划指标宜按下表的规定执行：</w:t>
      </w:r>
    </w:p>
    <w:p w:rsidR="00925AC4" w:rsidRDefault="00285E1E">
      <w:pPr>
        <w:ind w:firstLineChars="0" w:firstLine="0"/>
        <w:jc w:val="center"/>
        <w:rPr>
          <w:rFonts w:ascii="仿宋" w:eastAsia="仿宋" w:hAnsi="仿宋" w:cs="仿宋"/>
          <w:color w:val="auto"/>
          <w:sz w:val="24"/>
          <w:szCs w:val="24"/>
        </w:rPr>
      </w:pPr>
      <w:r>
        <w:rPr>
          <w:rFonts w:ascii="仿宋" w:eastAsia="仿宋" w:hAnsi="仿宋" w:cs="仿宋" w:hint="eastAsia"/>
          <w:color w:val="auto"/>
          <w:sz w:val="24"/>
          <w:szCs w:val="24"/>
        </w:rPr>
        <w:t>表</w:t>
      </w:r>
      <w:r>
        <w:rPr>
          <w:rFonts w:ascii="仿宋" w:eastAsia="仿宋" w:hAnsi="仿宋" w:cs="仿宋" w:hint="eastAsia"/>
          <w:color w:val="auto"/>
          <w:sz w:val="24"/>
          <w:szCs w:val="24"/>
        </w:rPr>
        <w:t>4.1.1</w:t>
      </w:r>
      <w:r>
        <w:rPr>
          <w:rFonts w:ascii="仿宋" w:eastAsia="仿宋" w:hAnsi="仿宋" w:cs="仿宋" w:hint="eastAsia"/>
          <w:color w:val="auto"/>
          <w:sz w:val="24"/>
          <w:szCs w:val="24"/>
        </w:rPr>
        <w:t xml:space="preserve"> </w:t>
      </w:r>
      <w:r>
        <w:rPr>
          <w:rFonts w:ascii="仿宋" w:eastAsia="仿宋" w:hAnsi="仿宋" w:cs="仿宋" w:hint="eastAsia"/>
          <w:color w:val="auto"/>
          <w:sz w:val="24"/>
          <w:szCs w:val="24"/>
        </w:rPr>
        <w:t>城市各级道路规划指标</w:t>
      </w:r>
    </w:p>
    <w:tbl>
      <w:tblPr>
        <w:tblStyle w:val="TableNormal"/>
        <w:tblW w:w="88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298"/>
        <w:gridCol w:w="1329"/>
        <w:gridCol w:w="1369"/>
        <w:gridCol w:w="1648"/>
        <w:gridCol w:w="1249"/>
        <w:gridCol w:w="1403"/>
      </w:tblGrid>
      <w:tr w:rsidR="00925AC4">
        <w:trPr>
          <w:trHeight w:val="454"/>
        </w:trPr>
        <w:tc>
          <w:tcPr>
            <w:tcW w:w="1832" w:type="dxa"/>
            <w:gridSpan w:val="2"/>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类别</w:t>
            </w:r>
          </w:p>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道路</w:t>
            </w:r>
          </w:p>
        </w:tc>
        <w:tc>
          <w:tcPr>
            <w:tcW w:w="132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设计车速</w:t>
            </w:r>
          </w:p>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(km/h)</w:t>
            </w:r>
          </w:p>
        </w:tc>
        <w:tc>
          <w:tcPr>
            <w:tcW w:w="136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路网密度</w:t>
            </w:r>
            <w:r>
              <w:rPr>
                <w:rFonts w:ascii="仿宋" w:eastAsia="仿宋" w:hAnsi="仿宋" w:cs="仿宋"/>
                <w:color w:val="auto"/>
                <w:szCs w:val="24"/>
              </w:rPr>
              <w:t>(km/km</w:t>
            </w:r>
            <w:r>
              <w:rPr>
                <w:rFonts w:ascii="仿宋" w:eastAsia="仿宋" w:hAnsi="仿宋" w:cs="仿宋"/>
                <w:color w:val="auto"/>
                <w:szCs w:val="24"/>
              </w:rPr>
              <w:t>²</w:t>
            </w:r>
            <w:r>
              <w:rPr>
                <w:rFonts w:ascii="仿宋" w:eastAsia="仿宋" w:hAnsi="仿宋" w:cs="仿宋"/>
                <w:color w:val="auto"/>
                <w:szCs w:val="24"/>
              </w:rPr>
              <w:t>)</w:t>
            </w:r>
          </w:p>
        </w:tc>
        <w:tc>
          <w:tcPr>
            <w:tcW w:w="164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道路中机动车道条数</w:t>
            </w:r>
            <w:r>
              <w:rPr>
                <w:rFonts w:ascii="仿宋" w:eastAsia="仿宋" w:hAnsi="仿宋" w:cs="仿宋"/>
                <w:color w:val="auto"/>
                <w:szCs w:val="24"/>
              </w:rPr>
              <w:t>(</w:t>
            </w:r>
            <w:r>
              <w:rPr>
                <w:rFonts w:ascii="仿宋" w:eastAsia="仿宋" w:hAnsi="仿宋" w:cs="仿宋"/>
                <w:color w:val="auto"/>
                <w:szCs w:val="24"/>
              </w:rPr>
              <w:t>条</w:t>
            </w:r>
            <w:r>
              <w:rPr>
                <w:rFonts w:ascii="仿宋" w:eastAsia="仿宋" w:hAnsi="仿宋" w:cs="仿宋"/>
                <w:color w:val="auto"/>
                <w:szCs w:val="24"/>
              </w:rPr>
              <w:t>)</w:t>
            </w: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道路宽度</w:t>
            </w:r>
          </w:p>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(m)</w:t>
            </w:r>
          </w:p>
        </w:tc>
        <w:tc>
          <w:tcPr>
            <w:tcW w:w="1403"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每车道宽度</w:t>
            </w:r>
          </w:p>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(m)</w:t>
            </w:r>
          </w:p>
        </w:tc>
      </w:tr>
      <w:tr w:rsidR="00925AC4">
        <w:trPr>
          <w:trHeight w:val="454"/>
        </w:trPr>
        <w:tc>
          <w:tcPr>
            <w:tcW w:w="534" w:type="dxa"/>
            <w:vMerge w:val="restart"/>
            <w:tcBorders>
              <w:top w:val="nil"/>
            </w:tcBorders>
            <w:textDirection w:val="tbRlV"/>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城市道路</w:t>
            </w:r>
          </w:p>
        </w:tc>
        <w:tc>
          <w:tcPr>
            <w:tcW w:w="129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主干路</w:t>
            </w:r>
          </w:p>
        </w:tc>
        <w:tc>
          <w:tcPr>
            <w:tcW w:w="132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40</w:t>
            </w:r>
            <w:r>
              <w:rPr>
                <w:rFonts w:ascii="仿宋" w:eastAsia="仿宋" w:hAnsi="仿宋" w:cs="仿宋"/>
                <w:color w:val="auto"/>
                <w:szCs w:val="24"/>
              </w:rPr>
              <w:t>～</w:t>
            </w:r>
            <w:r>
              <w:rPr>
                <w:rFonts w:ascii="仿宋" w:eastAsia="仿宋" w:hAnsi="仿宋" w:cs="仿宋"/>
                <w:color w:val="auto"/>
                <w:szCs w:val="24"/>
              </w:rPr>
              <w:t>60</w:t>
            </w:r>
          </w:p>
        </w:tc>
        <w:tc>
          <w:tcPr>
            <w:tcW w:w="136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1.0</w:t>
            </w:r>
            <w:r>
              <w:rPr>
                <w:rFonts w:ascii="仿宋" w:eastAsia="仿宋" w:hAnsi="仿宋" w:cs="仿宋"/>
                <w:color w:val="auto"/>
                <w:szCs w:val="24"/>
              </w:rPr>
              <w:t>～</w:t>
            </w:r>
            <w:r>
              <w:rPr>
                <w:rFonts w:ascii="仿宋" w:eastAsia="仿宋" w:hAnsi="仿宋" w:cs="仿宋"/>
                <w:color w:val="auto"/>
                <w:szCs w:val="24"/>
              </w:rPr>
              <w:t>1.2</w:t>
            </w:r>
          </w:p>
        </w:tc>
        <w:tc>
          <w:tcPr>
            <w:tcW w:w="164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4</w:t>
            </w:r>
            <w:r>
              <w:rPr>
                <w:rFonts w:ascii="仿宋" w:eastAsia="仿宋" w:hAnsi="仿宋" w:cs="仿宋"/>
                <w:color w:val="auto"/>
                <w:szCs w:val="24"/>
              </w:rPr>
              <w:t>～</w:t>
            </w:r>
            <w:r>
              <w:rPr>
                <w:rFonts w:ascii="仿宋" w:eastAsia="仿宋" w:hAnsi="仿宋" w:cs="仿宋"/>
                <w:color w:val="auto"/>
                <w:szCs w:val="24"/>
              </w:rPr>
              <w:t>6</w:t>
            </w: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24</w:t>
            </w:r>
            <w:r>
              <w:rPr>
                <w:rFonts w:ascii="仿宋" w:eastAsia="仿宋" w:hAnsi="仿宋" w:cs="仿宋"/>
                <w:color w:val="auto"/>
                <w:szCs w:val="24"/>
              </w:rPr>
              <w:t>～</w:t>
            </w:r>
            <w:r>
              <w:rPr>
                <w:rFonts w:ascii="仿宋" w:eastAsia="仿宋" w:hAnsi="仿宋" w:cs="仿宋"/>
                <w:color w:val="auto"/>
                <w:szCs w:val="24"/>
              </w:rPr>
              <w:t>36</w:t>
            </w:r>
          </w:p>
        </w:tc>
        <w:tc>
          <w:tcPr>
            <w:tcW w:w="1403"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3.5</w:t>
            </w:r>
            <w:r>
              <w:rPr>
                <w:rFonts w:ascii="仿宋" w:eastAsia="仿宋" w:hAnsi="仿宋" w:cs="仿宋"/>
                <w:color w:val="auto"/>
                <w:szCs w:val="24"/>
              </w:rPr>
              <w:t>～</w:t>
            </w:r>
            <w:r>
              <w:rPr>
                <w:rFonts w:ascii="仿宋" w:eastAsia="仿宋" w:hAnsi="仿宋" w:cs="仿宋"/>
                <w:color w:val="auto"/>
                <w:szCs w:val="24"/>
              </w:rPr>
              <w:t>3.75</w:t>
            </w:r>
          </w:p>
        </w:tc>
      </w:tr>
      <w:tr w:rsidR="00925AC4">
        <w:trPr>
          <w:trHeight w:val="454"/>
        </w:trPr>
        <w:tc>
          <w:tcPr>
            <w:tcW w:w="534" w:type="dxa"/>
            <w:vMerge/>
            <w:tcBorders>
              <w:top w:val="nil"/>
              <w:bottom w:val="nil"/>
            </w:tcBorders>
            <w:textDirection w:val="tbRlV"/>
            <w:vAlign w:val="center"/>
          </w:tcPr>
          <w:p w:rsidR="00925AC4" w:rsidRDefault="00925AC4">
            <w:pPr>
              <w:pStyle w:val="ab"/>
              <w:jc w:val="center"/>
              <w:rPr>
                <w:rFonts w:ascii="仿宋" w:eastAsia="仿宋" w:hAnsi="仿宋" w:cs="仿宋" w:hint="default"/>
                <w:color w:val="auto"/>
                <w:szCs w:val="24"/>
              </w:rPr>
            </w:pPr>
          </w:p>
        </w:tc>
        <w:tc>
          <w:tcPr>
            <w:tcW w:w="129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次干路</w:t>
            </w:r>
          </w:p>
        </w:tc>
        <w:tc>
          <w:tcPr>
            <w:tcW w:w="132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40</w:t>
            </w:r>
          </w:p>
        </w:tc>
        <w:tc>
          <w:tcPr>
            <w:tcW w:w="136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1.2</w:t>
            </w:r>
            <w:r>
              <w:rPr>
                <w:rFonts w:ascii="仿宋" w:eastAsia="仿宋" w:hAnsi="仿宋" w:cs="仿宋"/>
                <w:color w:val="auto"/>
                <w:szCs w:val="24"/>
              </w:rPr>
              <w:t>～</w:t>
            </w:r>
            <w:r>
              <w:rPr>
                <w:rFonts w:ascii="仿宋" w:eastAsia="仿宋" w:hAnsi="仿宋" w:cs="仿宋"/>
                <w:color w:val="auto"/>
                <w:szCs w:val="24"/>
              </w:rPr>
              <w:t>1.4</w:t>
            </w:r>
          </w:p>
        </w:tc>
        <w:tc>
          <w:tcPr>
            <w:tcW w:w="164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2</w:t>
            </w:r>
            <w:r>
              <w:rPr>
                <w:rFonts w:ascii="仿宋" w:eastAsia="仿宋" w:hAnsi="仿宋" w:cs="仿宋"/>
                <w:color w:val="auto"/>
                <w:szCs w:val="24"/>
              </w:rPr>
              <w:t>～</w:t>
            </w:r>
            <w:r>
              <w:rPr>
                <w:rFonts w:ascii="仿宋" w:eastAsia="仿宋" w:hAnsi="仿宋" w:cs="仿宋"/>
                <w:color w:val="auto"/>
                <w:szCs w:val="24"/>
              </w:rPr>
              <w:t>4</w:t>
            </w: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14</w:t>
            </w:r>
            <w:r>
              <w:rPr>
                <w:rFonts w:ascii="仿宋" w:eastAsia="仿宋" w:hAnsi="仿宋" w:cs="仿宋"/>
                <w:color w:val="auto"/>
                <w:szCs w:val="24"/>
              </w:rPr>
              <w:t>～</w:t>
            </w:r>
            <w:r>
              <w:rPr>
                <w:rFonts w:ascii="仿宋" w:eastAsia="仿宋" w:hAnsi="仿宋" w:cs="仿宋"/>
                <w:color w:val="auto"/>
                <w:szCs w:val="24"/>
              </w:rPr>
              <w:t>20</w:t>
            </w:r>
          </w:p>
        </w:tc>
        <w:tc>
          <w:tcPr>
            <w:tcW w:w="1403"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3.5</w:t>
            </w:r>
          </w:p>
        </w:tc>
      </w:tr>
      <w:tr w:rsidR="00925AC4">
        <w:trPr>
          <w:trHeight w:val="454"/>
        </w:trPr>
        <w:tc>
          <w:tcPr>
            <w:tcW w:w="534" w:type="dxa"/>
            <w:vMerge/>
            <w:tcBorders>
              <w:top w:val="nil"/>
            </w:tcBorders>
            <w:textDirection w:val="tbRlV"/>
            <w:vAlign w:val="center"/>
          </w:tcPr>
          <w:p w:rsidR="00925AC4" w:rsidRDefault="00925AC4">
            <w:pPr>
              <w:pStyle w:val="ab"/>
              <w:jc w:val="center"/>
              <w:rPr>
                <w:rFonts w:ascii="仿宋" w:eastAsia="仿宋" w:hAnsi="仿宋" w:cs="仿宋" w:hint="default"/>
                <w:color w:val="auto"/>
                <w:szCs w:val="24"/>
              </w:rPr>
            </w:pPr>
          </w:p>
        </w:tc>
        <w:tc>
          <w:tcPr>
            <w:tcW w:w="129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支路</w:t>
            </w:r>
          </w:p>
        </w:tc>
        <w:tc>
          <w:tcPr>
            <w:tcW w:w="132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30</w:t>
            </w:r>
          </w:p>
        </w:tc>
        <w:tc>
          <w:tcPr>
            <w:tcW w:w="136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3.0</w:t>
            </w:r>
            <w:r>
              <w:rPr>
                <w:rFonts w:ascii="仿宋" w:eastAsia="仿宋" w:hAnsi="仿宋" w:cs="仿宋"/>
                <w:color w:val="auto"/>
                <w:szCs w:val="24"/>
              </w:rPr>
              <w:t>～</w:t>
            </w:r>
            <w:r>
              <w:rPr>
                <w:rFonts w:ascii="仿宋" w:eastAsia="仿宋" w:hAnsi="仿宋" w:cs="仿宋"/>
                <w:color w:val="auto"/>
                <w:szCs w:val="24"/>
              </w:rPr>
              <w:t>4.0</w:t>
            </w:r>
          </w:p>
        </w:tc>
        <w:tc>
          <w:tcPr>
            <w:tcW w:w="164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2</w:t>
            </w:r>
            <w:r>
              <w:rPr>
                <w:rFonts w:ascii="仿宋" w:eastAsia="仿宋" w:hAnsi="仿宋" w:cs="仿宋"/>
                <w:color w:val="auto"/>
                <w:szCs w:val="24"/>
              </w:rPr>
              <w:t>～</w:t>
            </w:r>
            <w:r>
              <w:rPr>
                <w:rFonts w:ascii="仿宋" w:eastAsia="仿宋" w:hAnsi="仿宋" w:cs="仿宋"/>
                <w:color w:val="auto"/>
                <w:szCs w:val="24"/>
              </w:rPr>
              <w:t>4</w:t>
            </w: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8</w:t>
            </w:r>
            <w:r>
              <w:rPr>
                <w:rFonts w:ascii="仿宋" w:eastAsia="仿宋" w:hAnsi="仿宋" w:cs="仿宋"/>
                <w:color w:val="auto"/>
                <w:szCs w:val="24"/>
              </w:rPr>
              <w:t>～</w:t>
            </w:r>
            <w:r>
              <w:rPr>
                <w:rFonts w:ascii="仿宋" w:eastAsia="仿宋" w:hAnsi="仿宋" w:cs="仿宋"/>
                <w:color w:val="auto"/>
                <w:szCs w:val="24"/>
              </w:rPr>
              <w:t>14</w:t>
            </w:r>
          </w:p>
        </w:tc>
        <w:tc>
          <w:tcPr>
            <w:tcW w:w="1403"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3.25</w:t>
            </w:r>
            <w:r>
              <w:rPr>
                <w:rFonts w:ascii="仿宋" w:eastAsia="仿宋" w:hAnsi="仿宋" w:cs="仿宋"/>
                <w:color w:val="auto"/>
                <w:szCs w:val="24"/>
              </w:rPr>
              <w:t>～</w:t>
            </w:r>
            <w:r>
              <w:rPr>
                <w:rFonts w:ascii="仿宋" w:eastAsia="仿宋" w:hAnsi="仿宋" w:cs="仿宋"/>
                <w:color w:val="auto"/>
                <w:szCs w:val="24"/>
              </w:rPr>
              <w:t>3.5</w:t>
            </w:r>
          </w:p>
        </w:tc>
      </w:tr>
      <w:tr w:rsidR="00925AC4">
        <w:trPr>
          <w:trHeight w:val="454"/>
        </w:trPr>
        <w:tc>
          <w:tcPr>
            <w:tcW w:w="534" w:type="dxa"/>
            <w:vMerge w:val="restart"/>
            <w:tcBorders>
              <w:bottom w:val="nil"/>
            </w:tcBorders>
            <w:textDirection w:val="tbRlV"/>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住宅区内道路</w:t>
            </w:r>
          </w:p>
        </w:tc>
        <w:tc>
          <w:tcPr>
            <w:tcW w:w="129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小区道路</w:t>
            </w:r>
          </w:p>
        </w:tc>
        <w:tc>
          <w:tcPr>
            <w:tcW w:w="132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20</w:t>
            </w:r>
          </w:p>
        </w:tc>
        <w:tc>
          <w:tcPr>
            <w:tcW w:w="1369" w:type="dxa"/>
            <w:vAlign w:val="center"/>
          </w:tcPr>
          <w:p w:rsidR="00925AC4" w:rsidRDefault="00925AC4">
            <w:pPr>
              <w:pStyle w:val="ab"/>
              <w:jc w:val="center"/>
              <w:rPr>
                <w:rFonts w:ascii="仿宋" w:eastAsia="仿宋" w:hAnsi="仿宋" w:cs="仿宋" w:hint="default"/>
                <w:color w:val="auto"/>
                <w:szCs w:val="24"/>
              </w:rPr>
            </w:pPr>
          </w:p>
        </w:tc>
        <w:tc>
          <w:tcPr>
            <w:tcW w:w="164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2</w:t>
            </w: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8</w:t>
            </w:r>
            <w:r>
              <w:rPr>
                <w:rFonts w:ascii="仿宋" w:eastAsia="仿宋" w:hAnsi="仿宋" w:cs="仿宋"/>
                <w:color w:val="auto"/>
                <w:szCs w:val="24"/>
              </w:rPr>
              <w:t>～</w:t>
            </w:r>
            <w:r>
              <w:rPr>
                <w:rFonts w:ascii="仿宋" w:eastAsia="仿宋" w:hAnsi="仿宋" w:cs="仿宋"/>
                <w:color w:val="auto"/>
                <w:szCs w:val="24"/>
              </w:rPr>
              <w:t>10</w:t>
            </w:r>
          </w:p>
        </w:tc>
        <w:tc>
          <w:tcPr>
            <w:tcW w:w="1403"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3.25</w:t>
            </w:r>
          </w:p>
        </w:tc>
      </w:tr>
      <w:tr w:rsidR="00925AC4">
        <w:trPr>
          <w:trHeight w:val="454"/>
        </w:trPr>
        <w:tc>
          <w:tcPr>
            <w:tcW w:w="534" w:type="dxa"/>
            <w:vMerge/>
            <w:tcBorders>
              <w:top w:val="nil"/>
              <w:bottom w:val="nil"/>
            </w:tcBorders>
            <w:textDirection w:val="tbRlV"/>
            <w:vAlign w:val="center"/>
          </w:tcPr>
          <w:p w:rsidR="00925AC4" w:rsidRDefault="00925AC4">
            <w:pPr>
              <w:pStyle w:val="ab"/>
              <w:jc w:val="center"/>
              <w:rPr>
                <w:rFonts w:ascii="仿宋" w:eastAsia="仿宋" w:hAnsi="仿宋" w:cs="仿宋" w:hint="default"/>
                <w:color w:val="auto"/>
                <w:szCs w:val="24"/>
              </w:rPr>
            </w:pPr>
          </w:p>
        </w:tc>
        <w:tc>
          <w:tcPr>
            <w:tcW w:w="129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组团道路</w:t>
            </w:r>
          </w:p>
        </w:tc>
        <w:tc>
          <w:tcPr>
            <w:tcW w:w="132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15</w:t>
            </w:r>
          </w:p>
        </w:tc>
        <w:tc>
          <w:tcPr>
            <w:tcW w:w="1369" w:type="dxa"/>
            <w:vAlign w:val="center"/>
          </w:tcPr>
          <w:p w:rsidR="00925AC4" w:rsidRDefault="00925AC4">
            <w:pPr>
              <w:pStyle w:val="ab"/>
              <w:jc w:val="center"/>
              <w:rPr>
                <w:rFonts w:ascii="仿宋" w:eastAsia="仿宋" w:hAnsi="仿宋" w:cs="仿宋" w:hint="default"/>
                <w:color w:val="auto"/>
                <w:szCs w:val="24"/>
              </w:rPr>
            </w:pPr>
          </w:p>
        </w:tc>
        <w:tc>
          <w:tcPr>
            <w:tcW w:w="164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1</w:t>
            </w:r>
            <w:r>
              <w:rPr>
                <w:rFonts w:ascii="仿宋" w:eastAsia="仿宋" w:hAnsi="仿宋" w:cs="仿宋"/>
                <w:color w:val="auto"/>
                <w:szCs w:val="24"/>
              </w:rPr>
              <w:t>～</w:t>
            </w:r>
            <w:r>
              <w:rPr>
                <w:rFonts w:ascii="仿宋" w:eastAsia="仿宋" w:hAnsi="仿宋" w:cs="仿宋"/>
                <w:color w:val="auto"/>
                <w:szCs w:val="24"/>
              </w:rPr>
              <w:t>2</w:t>
            </w: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6</w:t>
            </w:r>
            <w:r>
              <w:rPr>
                <w:rFonts w:ascii="仿宋" w:eastAsia="仿宋" w:hAnsi="仿宋" w:cs="仿宋"/>
                <w:color w:val="auto"/>
                <w:szCs w:val="24"/>
              </w:rPr>
              <w:t>～</w:t>
            </w:r>
            <w:r>
              <w:rPr>
                <w:rFonts w:ascii="仿宋" w:eastAsia="仿宋" w:hAnsi="仿宋" w:cs="仿宋"/>
                <w:color w:val="auto"/>
                <w:szCs w:val="24"/>
              </w:rPr>
              <w:t>8</w:t>
            </w:r>
          </w:p>
        </w:tc>
        <w:tc>
          <w:tcPr>
            <w:tcW w:w="1403"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3.25</w:t>
            </w:r>
          </w:p>
        </w:tc>
      </w:tr>
      <w:tr w:rsidR="00925AC4">
        <w:trPr>
          <w:trHeight w:val="564"/>
        </w:trPr>
        <w:tc>
          <w:tcPr>
            <w:tcW w:w="534" w:type="dxa"/>
            <w:vMerge/>
            <w:tcBorders>
              <w:top w:val="nil"/>
            </w:tcBorders>
            <w:textDirection w:val="tbRlV"/>
            <w:vAlign w:val="center"/>
          </w:tcPr>
          <w:p w:rsidR="00925AC4" w:rsidRDefault="00925AC4">
            <w:pPr>
              <w:pStyle w:val="ab"/>
              <w:jc w:val="center"/>
              <w:rPr>
                <w:rFonts w:ascii="仿宋" w:eastAsia="仿宋" w:hAnsi="仿宋" w:cs="仿宋" w:hint="default"/>
                <w:color w:val="auto"/>
                <w:szCs w:val="24"/>
              </w:rPr>
            </w:pPr>
          </w:p>
        </w:tc>
        <w:tc>
          <w:tcPr>
            <w:tcW w:w="1298"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宅间小路</w:t>
            </w:r>
          </w:p>
        </w:tc>
        <w:tc>
          <w:tcPr>
            <w:tcW w:w="1329" w:type="dxa"/>
            <w:vAlign w:val="center"/>
          </w:tcPr>
          <w:p w:rsidR="00925AC4" w:rsidRDefault="00925AC4">
            <w:pPr>
              <w:pStyle w:val="ab"/>
              <w:jc w:val="center"/>
              <w:rPr>
                <w:rFonts w:ascii="仿宋" w:eastAsia="仿宋" w:hAnsi="仿宋" w:cs="仿宋" w:hint="default"/>
                <w:color w:val="auto"/>
                <w:szCs w:val="24"/>
              </w:rPr>
            </w:pPr>
          </w:p>
        </w:tc>
        <w:tc>
          <w:tcPr>
            <w:tcW w:w="1369" w:type="dxa"/>
            <w:vAlign w:val="center"/>
          </w:tcPr>
          <w:p w:rsidR="00925AC4" w:rsidRDefault="00925AC4">
            <w:pPr>
              <w:pStyle w:val="ab"/>
              <w:jc w:val="center"/>
              <w:rPr>
                <w:rFonts w:ascii="仿宋" w:eastAsia="仿宋" w:hAnsi="仿宋" w:cs="仿宋" w:hint="default"/>
                <w:color w:val="auto"/>
                <w:szCs w:val="24"/>
              </w:rPr>
            </w:pPr>
          </w:p>
        </w:tc>
        <w:tc>
          <w:tcPr>
            <w:tcW w:w="1648" w:type="dxa"/>
            <w:vAlign w:val="center"/>
          </w:tcPr>
          <w:p w:rsidR="00925AC4" w:rsidRDefault="00925AC4">
            <w:pPr>
              <w:pStyle w:val="ab"/>
              <w:jc w:val="center"/>
              <w:rPr>
                <w:rFonts w:ascii="仿宋" w:eastAsia="仿宋" w:hAnsi="仿宋" w:cs="仿宋" w:hint="default"/>
                <w:color w:val="auto"/>
                <w:szCs w:val="24"/>
              </w:rPr>
            </w:pPr>
          </w:p>
        </w:tc>
        <w:tc>
          <w:tcPr>
            <w:tcW w:w="1249" w:type="dxa"/>
            <w:vAlign w:val="center"/>
          </w:tcPr>
          <w:p w:rsidR="00925AC4" w:rsidRDefault="00285E1E">
            <w:pPr>
              <w:pStyle w:val="ab"/>
              <w:jc w:val="center"/>
              <w:rPr>
                <w:rFonts w:ascii="仿宋" w:eastAsia="仿宋" w:hAnsi="仿宋" w:cs="仿宋" w:hint="default"/>
                <w:color w:val="auto"/>
                <w:szCs w:val="24"/>
              </w:rPr>
            </w:pPr>
            <w:r>
              <w:rPr>
                <w:rFonts w:ascii="仿宋" w:eastAsia="仿宋" w:hAnsi="仿宋" w:cs="仿宋"/>
                <w:color w:val="auto"/>
                <w:szCs w:val="24"/>
              </w:rPr>
              <w:t>2.5</w:t>
            </w:r>
            <w:r>
              <w:rPr>
                <w:rFonts w:ascii="仿宋" w:eastAsia="仿宋" w:hAnsi="仿宋" w:cs="仿宋"/>
                <w:color w:val="auto"/>
                <w:szCs w:val="24"/>
              </w:rPr>
              <w:t>～</w:t>
            </w:r>
            <w:r>
              <w:rPr>
                <w:rFonts w:ascii="仿宋" w:eastAsia="仿宋" w:hAnsi="仿宋" w:cs="仿宋"/>
                <w:color w:val="auto"/>
                <w:szCs w:val="24"/>
              </w:rPr>
              <w:t>4</w:t>
            </w:r>
          </w:p>
        </w:tc>
        <w:tc>
          <w:tcPr>
            <w:tcW w:w="1403" w:type="dxa"/>
            <w:vAlign w:val="center"/>
          </w:tcPr>
          <w:p w:rsidR="00925AC4" w:rsidRDefault="00925AC4">
            <w:pPr>
              <w:pStyle w:val="ab"/>
              <w:jc w:val="center"/>
              <w:rPr>
                <w:rFonts w:ascii="仿宋" w:eastAsia="仿宋" w:hAnsi="仿宋" w:cs="仿宋" w:hint="default"/>
                <w:color w:val="auto"/>
                <w:szCs w:val="24"/>
              </w:rPr>
            </w:pP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注：上表道路宽度不包括两侧绿化带宽度。</w:t>
      </w:r>
    </w:p>
    <w:p w:rsidR="00925AC4" w:rsidRDefault="00925AC4" w:rsidP="008E7712">
      <w:pPr>
        <w:pStyle w:val="ac"/>
        <w:ind w:firstLine="480"/>
        <w:rPr>
          <w:rFonts w:ascii="仿宋" w:eastAsia="仿宋" w:hAnsi="仿宋" w:cs="仿宋"/>
        </w:rPr>
      </w:pP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城市道路交叉口的形式宜按下表的规定执行。</w:t>
      </w:r>
    </w:p>
    <w:p w:rsidR="00925AC4" w:rsidRDefault="00285E1E">
      <w:pPr>
        <w:ind w:firstLineChars="0" w:firstLine="0"/>
        <w:jc w:val="center"/>
        <w:rPr>
          <w:rFonts w:ascii="仿宋" w:eastAsia="仿宋" w:hAnsi="仿宋" w:cs="仿宋"/>
          <w:color w:val="auto"/>
          <w:sz w:val="24"/>
          <w:szCs w:val="24"/>
        </w:rPr>
      </w:pPr>
      <w:r>
        <w:rPr>
          <w:rFonts w:ascii="仿宋" w:eastAsia="仿宋" w:hAnsi="仿宋" w:cs="仿宋" w:hint="eastAsia"/>
          <w:color w:val="auto"/>
          <w:sz w:val="24"/>
          <w:szCs w:val="24"/>
        </w:rPr>
        <w:t>表</w:t>
      </w:r>
      <w:r>
        <w:rPr>
          <w:rFonts w:ascii="仿宋" w:eastAsia="仿宋" w:hAnsi="仿宋" w:cs="仿宋" w:hint="eastAsia"/>
          <w:color w:val="auto"/>
          <w:sz w:val="24"/>
          <w:szCs w:val="24"/>
        </w:rPr>
        <w:t>4.1.2</w:t>
      </w:r>
      <w:r>
        <w:rPr>
          <w:rFonts w:ascii="仿宋" w:eastAsia="仿宋" w:hAnsi="仿宋" w:cs="仿宋" w:hint="eastAsia"/>
          <w:color w:val="auto"/>
          <w:sz w:val="24"/>
          <w:szCs w:val="24"/>
        </w:rPr>
        <w:t>城市道路交叉口形式控制</w:t>
      </w:r>
    </w:p>
    <w:tbl>
      <w:tblPr>
        <w:tblStyle w:val="TableNormal"/>
        <w:tblW w:w="8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3"/>
        <w:gridCol w:w="1768"/>
        <w:gridCol w:w="1768"/>
        <w:gridCol w:w="1778"/>
        <w:gridCol w:w="1773"/>
      </w:tblGrid>
      <w:tr w:rsidR="00925AC4">
        <w:trPr>
          <w:trHeight w:val="443"/>
        </w:trPr>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相交道路</w:t>
            </w:r>
          </w:p>
        </w:tc>
        <w:tc>
          <w:tcPr>
            <w:tcW w:w="17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快速路</w:t>
            </w:r>
          </w:p>
        </w:tc>
        <w:tc>
          <w:tcPr>
            <w:tcW w:w="17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主干路</w:t>
            </w:r>
          </w:p>
        </w:tc>
        <w:tc>
          <w:tcPr>
            <w:tcW w:w="17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次干路</w:t>
            </w:r>
          </w:p>
        </w:tc>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支路</w:t>
            </w:r>
          </w:p>
        </w:tc>
      </w:tr>
      <w:tr w:rsidR="00925AC4">
        <w:trPr>
          <w:trHeight w:val="448"/>
        </w:trPr>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快速路</w:t>
            </w:r>
          </w:p>
        </w:tc>
        <w:tc>
          <w:tcPr>
            <w:tcW w:w="17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p>
        </w:tc>
        <w:tc>
          <w:tcPr>
            <w:tcW w:w="17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p>
        </w:tc>
        <w:tc>
          <w:tcPr>
            <w:tcW w:w="17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r>
              <w:rPr>
                <w:rFonts w:ascii="仿宋" w:eastAsia="仿宋" w:hAnsi="仿宋" w:cs="仿宋"/>
                <w:color w:val="auto"/>
              </w:rPr>
              <w:t>、</w:t>
            </w:r>
            <w:r>
              <w:rPr>
                <w:rFonts w:ascii="仿宋" w:eastAsia="仿宋" w:hAnsi="仿宋" w:cs="仿宋"/>
                <w:color w:val="auto"/>
              </w:rPr>
              <w:t>B</w:t>
            </w:r>
          </w:p>
        </w:tc>
        <w:tc>
          <w:tcPr>
            <w:tcW w:w="1773" w:type="dxa"/>
            <w:vAlign w:val="center"/>
          </w:tcPr>
          <w:p w:rsidR="00925AC4" w:rsidRDefault="00925AC4">
            <w:pPr>
              <w:pStyle w:val="ab"/>
              <w:jc w:val="center"/>
              <w:rPr>
                <w:rFonts w:ascii="仿宋" w:eastAsia="仿宋" w:hAnsi="仿宋" w:cs="仿宋" w:hint="default"/>
                <w:color w:val="auto"/>
              </w:rPr>
            </w:pPr>
          </w:p>
        </w:tc>
      </w:tr>
      <w:tr w:rsidR="00925AC4">
        <w:trPr>
          <w:trHeight w:val="458"/>
        </w:trPr>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主干路</w:t>
            </w:r>
          </w:p>
        </w:tc>
        <w:tc>
          <w:tcPr>
            <w:tcW w:w="1768" w:type="dxa"/>
            <w:vAlign w:val="center"/>
          </w:tcPr>
          <w:p w:rsidR="00925AC4" w:rsidRDefault="00925AC4">
            <w:pPr>
              <w:pStyle w:val="ab"/>
              <w:jc w:val="center"/>
              <w:rPr>
                <w:rFonts w:ascii="仿宋" w:eastAsia="仿宋" w:hAnsi="仿宋" w:cs="仿宋" w:hint="default"/>
                <w:color w:val="auto"/>
              </w:rPr>
            </w:pPr>
          </w:p>
        </w:tc>
        <w:tc>
          <w:tcPr>
            <w:tcW w:w="176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r>
              <w:rPr>
                <w:rFonts w:ascii="仿宋" w:eastAsia="仿宋" w:hAnsi="仿宋" w:cs="仿宋"/>
                <w:color w:val="auto"/>
              </w:rPr>
              <w:t>、</w:t>
            </w:r>
            <w:r>
              <w:rPr>
                <w:rFonts w:ascii="仿宋" w:eastAsia="仿宋" w:hAnsi="仿宋" w:cs="仿宋"/>
                <w:color w:val="auto"/>
              </w:rPr>
              <w:t>B</w:t>
            </w:r>
          </w:p>
        </w:tc>
        <w:tc>
          <w:tcPr>
            <w:tcW w:w="17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B</w:t>
            </w:r>
            <w:r>
              <w:rPr>
                <w:rFonts w:ascii="仿宋" w:eastAsia="仿宋" w:hAnsi="仿宋" w:cs="仿宋"/>
                <w:color w:val="auto"/>
              </w:rPr>
              <w:t>、</w:t>
            </w:r>
            <w:r>
              <w:rPr>
                <w:rFonts w:ascii="仿宋" w:eastAsia="仿宋" w:hAnsi="仿宋" w:cs="仿宋"/>
                <w:color w:val="auto"/>
              </w:rPr>
              <w:t>C</w:t>
            </w:r>
          </w:p>
        </w:tc>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B</w:t>
            </w:r>
            <w:r>
              <w:rPr>
                <w:rFonts w:ascii="仿宋" w:eastAsia="仿宋" w:hAnsi="仿宋" w:cs="仿宋"/>
                <w:color w:val="auto"/>
              </w:rPr>
              <w:t>、</w:t>
            </w:r>
            <w:r>
              <w:rPr>
                <w:rFonts w:ascii="仿宋" w:eastAsia="仿宋" w:hAnsi="仿宋" w:cs="仿宋"/>
                <w:color w:val="auto"/>
              </w:rPr>
              <w:t>C</w:t>
            </w:r>
          </w:p>
        </w:tc>
      </w:tr>
      <w:tr w:rsidR="00925AC4">
        <w:trPr>
          <w:trHeight w:val="458"/>
        </w:trPr>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次干路</w:t>
            </w:r>
          </w:p>
        </w:tc>
        <w:tc>
          <w:tcPr>
            <w:tcW w:w="1768" w:type="dxa"/>
            <w:vAlign w:val="center"/>
          </w:tcPr>
          <w:p w:rsidR="00925AC4" w:rsidRDefault="00925AC4">
            <w:pPr>
              <w:pStyle w:val="ab"/>
              <w:jc w:val="center"/>
              <w:rPr>
                <w:rFonts w:ascii="仿宋" w:eastAsia="仿宋" w:hAnsi="仿宋" w:cs="仿宋" w:hint="default"/>
                <w:color w:val="auto"/>
              </w:rPr>
            </w:pPr>
          </w:p>
        </w:tc>
        <w:tc>
          <w:tcPr>
            <w:tcW w:w="1768" w:type="dxa"/>
            <w:vAlign w:val="center"/>
          </w:tcPr>
          <w:p w:rsidR="00925AC4" w:rsidRDefault="00925AC4">
            <w:pPr>
              <w:pStyle w:val="ab"/>
              <w:jc w:val="center"/>
              <w:rPr>
                <w:rFonts w:ascii="仿宋" w:eastAsia="仿宋" w:hAnsi="仿宋" w:cs="仿宋" w:hint="default"/>
                <w:color w:val="auto"/>
              </w:rPr>
            </w:pPr>
          </w:p>
        </w:tc>
        <w:tc>
          <w:tcPr>
            <w:tcW w:w="1778"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B</w:t>
            </w:r>
            <w:r>
              <w:rPr>
                <w:rFonts w:ascii="仿宋" w:eastAsia="仿宋" w:hAnsi="仿宋" w:cs="仿宋"/>
                <w:color w:val="auto"/>
              </w:rPr>
              <w:t>、</w:t>
            </w:r>
            <w:r>
              <w:rPr>
                <w:rFonts w:ascii="仿宋" w:eastAsia="仿宋" w:hAnsi="仿宋" w:cs="仿宋"/>
                <w:color w:val="auto"/>
              </w:rPr>
              <w:t>C</w:t>
            </w:r>
            <w:r>
              <w:rPr>
                <w:rFonts w:ascii="仿宋" w:eastAsia="仿宋" w:hAnsi="仿宋" w:cs="仿宋"/>
                <w:color w:val="auto"/>
              </w:rPr>
              <w:t>、</w:t>
            </w:r>
            <w:r>
              <w:rPr>
                <w:rFonts w:ascii="仿宋" w:eastAsia="仿宋" w:hAnsi="仿宋" w:cs="仿宋"/>
                <w:color w:val="auto"/>
              </w:rPr>
              <w:t>D</w:t>
            </w:r>
          </w:p>
        </w:tc>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C</w:t>
            </w:r>
            <w:r>
              <w:rPr>
                <w:rFonts w:ascii="仿宋" w:eastAsia="仿宋" w:hAnsi="仿宋" w:cs="仿宋"/>
                <w:color w:val="auto"/>
              </w:rPr>
              <w:t>、</w:t>
            </w:r>
            <w:r>
              <w:rPr>
                <w:rFonts w:ascii="仿宋" w:eastAsia="仿宋" w:hAnsi="仿宋" w:cs="仿宋"/>
                <w:color w:val="auto"/>
              </w:rPr>
              <w:t>D</w:t>
            </w:r>
          </w:p>
        </w:tc>
      </w:tr>
      <w:tr w:rsidR="00925AC4">
        <w:trPr>
          <w:trHeight w:val="453"/>
        </w:trPr>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支路</w:t>
            </w:r>
          </w:p>
        </w:tc>
        <w:tc>
          <w:tcPr>
            <w:tcW w:w="1768" w:type="dxa"/>
            <w:vAlign w:val="center"/>
          </w:tcPr>
          <w:p w:rsidR="00925AC4" w:rsidRDefault="00925AC4">
            <w:pPr>
              <w:pStyle w:val="ab"/>
              <w:jc w:val="center"/>
              <w:rPr>
                <w:rFonts w:ascii="仿宋" w:eastAsia="仿宋" w:hAnsi="仿宋" w:cs="仿宋" w:hint="default"/>
                <w:color w:val="auto"/>
              </w:rPr>
            </w:pPr>
          </w:p>
        </w:tc>
        <w:tc>
          <w:tcPr>
            <w:tcW w:w="1768" w:type="dxa"/>
            <w:vAlign w:val="center"/>
          </w:tcPr>
          <w:p w:rsidR="00925AC4" w:rsidRDefault="00925AC4">
            <w:pPr>
              <w:pStyle w:val="ab"/>
              <w:jc w:val="center"/>
              <w:rPr>
                <w:rFonts w:ascii="仿宋" w:eastAsia="仿宋" w:hAnsi="仿宋" w:cs="仿宋" w:hint="default"/>
                <w:color w:val="auto"/>
              </w:rPr>
            </w:pPr>
          </w:p>
        </w:tc>
        <w:tc>
          <w:tcPr>
            <w:tcW w:w="1778" w:type="dxa"/>
            <w:vAlign w:val="center"/>
          </w:tcPr>
          <w:p w:rsidR="00925AC4" w:rsidRDefault="00925AC4">
            <w:pPr>
              <w:pStyle w:val="ab"/>
              <w:jc w:val="center"/>
              <w:rPr>
                <w:rFonts w:ascii="仿宋" w:eastAsia="仿宋" w:hAnsi="仿宋" w:cs="仿宋" w:hint="default"/>
                <w:color w:val="auto"/>
              </w:rPr>
            </w:pPr>
          </w:p>
        </w:tc>
        <w:tc>
          <w:tcPr>
            <w:tcW w:w="177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D</w:t>
            </w:r>
            <w:r>
              <w:rPr>
                <w:rFonts w:ascii="仿宋" w:eastAsia="仿宋" w:hAnsi="仿宋" w:cs="仿宋"/>
                <w:color w:val="auto"/>
              </w:rPr>
              <w:t>、</w:t>
            </w:r>
            <w:r>
              <w:rPr>
                <w:rFonts w:ascii="仿宋" w:eastAsia="仿宋" w:hAnsi="仿宋" w:cs="仿宋"/>
                <w:color w:val="auto"/>
              </w:rPr>
              <w:t>E</w:t>
            </w:r>
          </w:p>
        </w:tc>
      </w:tr>
    </w:tbl>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注：</w:t>
      </w:r>
    </w:p>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A</w:t>
      </w:r>
      <w:r>
        <w:rPr>
          <w:rFonts w:ascii="仿宋" w:eastAsia="仿宋" w:hAnsi="仿宋" w:cs="仿宋" w:hint="eastAsia"/>
          <w:color w:val="auto"/>
          <w:szCs w:val="24"/>
        </w:rPr>
        <w:t>为立体交叉口；</w:t>
      </w:r>
      <w:r>
        <w:rPr>
          <w:rFonts w:ascii="仿宋" w:eastAsia="仿宋" w:hAnsi="仿宋" w:cs="仿宋" w:hint="eastAsia"/>
          <w:color w:val="auto"/>
          <w:szCs w:val="24"/>
        </w:rPr>
        <w:t>B</w:t>
      </w:r>
      <w:r>
        <w:rPr>
          <w:rFonts w:ascii="仿宋" w:eastAsia="仿宋" w:hAnsi="仿宋" w:cs="仿宋" w:hint="eastAsia"/>
          <w:color w:val="auto"/>
          <w:szCs w:val="24"/>
        </w:rPr>
        <w:t>为展宽式信号灯平面交叉口；</w:t>
      </w:r>
      <w:r>
        <w:rPr>
          <w:rFonts w:ascii="仿宋" w:eastAsia="仿宋" w:hAnsi="仿宋" w:cs="仿宋" w:hint="eastAsia"/>
          <w:color w:val="auto"/>
          <w:szCs w:val="24"/>
        </w:rPr>
        <w:t>C</w:t>
      </w:r>
      <w:r>
        <w:rPr>
          <w:rFonts w:ascii="仿宋" w:eastAsia="仿宋" w:hAnsi="仿宋" w:cs="仿宋" w:hint="eastAsia"/>
          <w:color w:val="auto"/>
          <w:szCs w:val="24"/>
        </w:rPr>
        <w:t>为平面环形交叉口；</w:t>
      </w:r>
    </w:p>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D</w:t>
      </w:r>
      <w:r>
        <w:rPr>
          <w:rFonts w:ascii="仿宋" w:eastAsia="仿宋" w:hAnsi="仿宋" w:cs="仿宋" w:hint="eastAsia"/>
          <w:color w:val="auto"/>
          <w:szCs w:val="24"/>
        </w:rPr>
        <w:t>为信号灯管理平面交叉口；</w:t>
      </w:r>
      <w:r>
        <w:rPr>
          <w:rFonts w:ascii="仿宋" w:eastAsia="仿宋" w:hAnsi="仿宋" w:cs="仿宋" w:hint="eastAsia"/>
          <w:color w:val="auto"/>
          <w:szCs w:val="24"/>
        </w:rPr>
        <w:t>E</w:t>
      </w:r>
      <w:r>
        <w:rPr>
          <w:rFonts w:ascii="仿宋" w:eastAsia="仿宋" w:hAnsi="仿宋" w:cs="仿宋" w:hint="eastAsia"/>
          <w:color w:val="auto"/>
          <w:szCs w:val="24"/>
        </w:rPr>
        <w:t>为不设信号灯的平面交叉口。根据《城市道路交叉口规划规范》</w:t>
      </w:r>
      <w:r>
        <w:rPr>
          <w:rFonts w:ascii="仿宋" w:eastAsia="仿宋" w:hAnsi="仿宋" w:cs="仿宋" w:hint="eastAsia"/>
          <w:color w:val="auto"/>
          <w:szCs w:val="24"/>
        </w:rPr>
        <w:t>(GB50647</w:t>
      </w:r>
      <w:r>
        <w:rPr>
          <w:rFonts w:ascii="仿宋" w:eastAsia="仿宋" w:hAnsi="仿宋" w:cs="仿宋" w:hint="eastAsia"/>
          <w:color w:val="auto"/>
          <w:szCs w:val="24"/>
        </w:rPr>
        <w:t>—</w:t>
      </w:r>
      <w:r>
        <w:rPr>
          <w:rFonts w:ascii="仿宋" w:eastAsia="仿宋" w:hAnsi="仿宋" w:cs="仿宋" w:hint="eastAsia"/>
          <w:color w:val="auto"/>
          <w:szCs w:val="24"/>
        </w:rPr>
        <w:t>2011),</w:t>
      </w:r>
      <w:r>
        <w:rPr>
          <w:rFonts w:ascii="仿宋" w:eastAsia="仿宋" w:hAnsi="仿宋" w:cs="仿宋" w:hint="eastAsia"/>
          <w:color w:val="auto"/>
          <w:szCs w:val="24"/>
        </w:rPr>
        <w:t>在详细规划、专业规划及专项规划阶段，立体交叉应明确分类。在城市道路系统内规划设计立体交叉必须有充分的论证，在中心城区规划建造立体交叉尤应慎重，且应尽量避免采用层数多、占地面积大、引道长的大型立交。在规划立交等级时要尽可能选建等级较低的立体交叉；在规划立交类别时，应按照第</w:t>
      </w:r>
      <w:r>
        <w:rPr>
          <w:rFonts w:ascii="仿宋" w:eastAsia="仿宋" w:hAnsi="仿宋" w:cs="仿宋" w:hint="eastAsia"/>
          <w:color w:val="auto"/>
          <w:szCs w:val="24"/>
        </w:rPr>
        <w:t>IV</w:t>
      </w:r>
      <w:r>
        <w:rPr>
          <w:rFonts w:ascii="仿宋" w:eastAsia="仿宋" w:hAnsi="仿宋" w:cs="仿宋" w:hint="eastAsia"/>
          <w:color w:val="auto"/>
          <w:szCs w:val="24"/>
        </w:rPr>
        <w:t>类</w:t>
      </w:r>
      <w:r>
        <w:rPr>
          <w:rFonts w:ascii="仿宋" w:eastAsia="仿宋" w:hAnsi="仿宋" w:cs="仿宋" w:hint="eastAsia"/>
          <w:color w:val="auto"/>
          <w:szCs w:val="24"/>
        </w:rPr>
        <w:t>(</w:t>
      </w:r>
      <w:r>
        <w:rPr>
          <w:rFonts w:ascii="仿宋" w:eastAsia="仿宋" w:hAnsi="仿宋" w:cs="仿宋" w:hint="eastAsia"/>
          <w:color w:val="auto"/>
          <w:szCs w:val="24"/>
        </w:rPr>
        <w:t>分离式立交</w:t>
      </w:r>
      <w:r>
        <w:rPr>
          <w:rFonts w:ascii="仿宋" w:eastAsia="仿宋" w:hAnsi="仿宋" w:cs="仿宋" w:hint="eastAsia"/>
          <w:color w:val="auto"/>
          <w:szCs w:val="24"/>
        </w:rPr>
        <w:t>)</w:t>
      </w:r>
      <w:r>
        <w:rPr>
          <w:rFonts w:ascii="仿宋" w:eastAsia="仿宋" w:hAnsi="仿宋" w:cs="仿宋" w:hint="eastAsia"/>
          <w:color w:val="auto"/>
          <w:szCs w:val="24"/>
        </w:rPr>
        <w:t>、第Ⅲ类</w:t>
      </w:r>
      <w:r>
        <w:rPr>
          <w:rFonts w:ascii="仿宋" w:eastAsia="仿宋" w:hAnsi="仿宋" w:cs="仿宋" w:hint="eastAsia"/>
          <w:color w:val="auto"/>
          <w:szCs w:val="24"/>
        </w:rPr>
        <w:t>(</w:t>
      </w:r>
      <w:r>
        <w:rPr>
          <w:rFonts w:ascii="仿宋" w:eastAsia="仿宋" w:hAnsi="仿宋" w:cs="仿宋" w:hint="eastAsia"/>
          <w:color w:val="auto"/>
          <w:szCs w:val="24"/>
        </w:rPr>
        <w:t>带平面交叉口式立交</w:t>
      </w:r>
      <w:r>
        <w:rPr>
          <w:rFonts w:ascii="仿宋" w:eastAsia="仿宋" w:hAnsi="仿宋" w:cs="仿宋" w:hint="eastAsia"/>
          <w:color w:val="auto"/>
          <w:szCs w:val="24"/>
        </w:rPr>
        <w:t>)</w:t>
      </w:r>
      <w:r>
        <w:rPr>
          <w:rFonts w:ascii="仿宋" w:eastAsia="仿宋" w:hAnsi="仿宋" w:cs="仿宋" w:hint="eastAsia"/>
          <w:color w:val="auto"/>
          <w:szCs w:val="24"/>
        </w:rPr>
        <w:t>第Ⅱ类</w:t>
      </w:r>
      <w:r>
        <w:rPr>
          <w:rFonts w:ascii="仿宋" w:eastAsia="仿宋" w:hAnsi="仿宋" w:cs="仿宋" w:hint="eastAsia"/>
          <w:color w:val="auto"/>
          <w:szCs w:val="24"/>
        </w:rPr>
        <w:t>(</w:t>
      </w:r>
      <w:r>
        <w:rPr>
          <w:rFonts w:ascii="仿宋" w:eastAsia="仿宋" w:hAnsi="仿宋" w:cs="仿宋" w:hint="eastAsia"/>
          <w:color w:val="auto"/>
          <w:szCs w:val="24"/>
        </w:rPr>
        <w:t>部分</w:t>
      </w:r>
      <w:r>
        <w:rPr>
          <w:rFonts w:ascii="仿宋" w:eastAsia="仿宋" w:hAnsi="仿宋" w:cs="仿宋" w:hint="eastAsia"/>
          <w:color w:val="auto"/>
          <w:szCs w:val="24"/>
        </w:rPr>
        <w:t>互通式立交</w:t>
      </w:r>
      <w:r>
        <w:rPr>
          <w:rFonts w:ascii="仿宋" w:eastAsia="仿宋" w:hAnsi="仿宋" w:cs="仿宋" w:hint="eastAsia"/>
          <w:color w:val="auto"/>
          <w:szCs w:val="24"/>
        </w:rPr>
        <w:t>)</w:t>
      </w:r>
      <w:r>
        <w:rPr>
          <w:rFonts w:ascii="仿宋" w:eastAsia="仿宋" w:hAnsi="仿宋" w:cs="仿宋" w:hint="eastAsia"/>
          <w:color w:val="auto"/>
          <w:szCs w:val="24"/>
        </w:rPr>
        <w:t>、第</w:t>
      </w:r>
      <w:r>
        <w:rPr>
          <w:rFonts w:ascii="仿宋" w:eastAsia="仿宋" w:hAnsi="仿宋" w:cs="仿宋" w:hint="eastAsia"/>
          <w:color w:val="auto"/>
          <w:szCs w:val="24"/>
        </w:rPr>
        <w:t>I</w:t>
      </w:r>
      <w:r>
        <w:rPr>
          <w:rFonts w:ascii="仿宋" w:eastAsia="仿宋" w:hAnsi="仿宋" w:cs="仿宋" w:hint="eastAsia"/>
          <w:color w:val="auto"/>
          <w:szCs w:val="24"/>
        </w:rPr>
        <w:t>类</w:t>
      </w:r>
      <w:r>
        <w:rPr>
          <w:rFonts w:ascii="仿宋" w:eastAsia="仿宋" w:hAnsi="仿宋" w:cs="仿宋" w:hint="eastAsia"/>
          <w:color w:val="auto"/>
          <w:szCs w:val="24"/>
        </w:rPr>
        <w:lastRenderedPageBreak/>
        <w:t>(</w:t>
      </w:r>
      <w:r>
        <w:rPr>
          <w:rFonts w:ascii="仿宋" w:eastAsia="仿宋" w:hAnsi="仿宋" w:cs="仿宋" w:hint="eastAsia"/>
          <w:color w:val="auto"/>
          <w:szCs w:val="24"/>
        </w:rPr>
        <w:t>完全互通式立交</w:t>
      </w:r>
      <w:r>
        <w:rPr>
          <w:rFonts w:ascii="仿宋" w:eastAsia="仿宋" w:hAnsi="仿宋" w:cs="仿宋" w:hint="eastAsia"/>
          <w:color w:val="auto"/>
          <w:szCs w:val="24"/>
        </w:rPr>
        <w:t>)</w:t>
      </w:r>
      <w:r>
        <w:rPr>
          <w:rFonts w:ascii="仿宋" w:eastAsia="仿宋" w:hAnsi="仿宋" w:cs="仿宋" w:hint="eastAsia"/>
          <w:color w:val="auto"/>
          <w:szCs w:val="24"/>
        </w:rPr>
        <w:t>的顺序依次比较，只有当比较简单的立交类别确实不能满足机动车交通需求时，才可以考虑选取较复杂的立交类别。</w:t>
      </w:r>
    </w:p>
    <w:p w:rsidR="00925AC4" w:rsidRDefault="00925AC4" w:rsidP="008E7712">
      <w:pPr>
        <w:pStyle w:val="ac"/>
        <w:ind w:firstLine="480"/>
        <w:rPr>
          <w:rFonts w:ascii="仿宋" w:eastAsia="仿宋" w:hAnsi="仿宋" w:cs="仿宋"/>
          <w:szCs w:val="24"/>
        </w:rPr>
      </w:pP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快速路与快速路、快速路与主干路相交时必须采用立体交叉，快速路与其他城市道路交叉应首选采用立体交叉，并应限制交叉口数量。高速公路、快速路、铁路、轨道交通等重要交通干线穿越城市的，两侧次干路及以上等级道路应当采用上跨或者下穿的方式保持连通。</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城市主、次干路平面交叉口的进出口原则上应设展宽段，增加车道条数；主干路展宽段最小长度</w:t>
      </w:r>
      <w:r>
        <w:rPr>
          <w:rFonts w:ascii="仿宋" w:eastAsia="仿宋" w:hAnsi="仿宋" w:cs="仿宋" w:hint="eastAsia"/>
          <w:color w:val="auto"/>
        </w:rPr>
        <w:t>70</w:t>
      </w:r>
      <w:r>
        <w:rPr>
          <w:rFonts w:ascii="仿宋" w:eastAsia="仿宋" w:hAnsi="仿宋" w:cs="仿宋" w:hint="eastAsia"/>
          <w:color w:val="auto"/>
        </w:rPr>
        <w:t>米—</w:t>
      </w:r>
      <w:r>
        <w:rPr>
          <w:rFonts w:ascii="仿宋" w:eastAsia="仿宋" w:hAnsi="仿宋" w:cs="仿宋" w:hint="eastAsia"/>
          <w:color w:val="auto"/>
        </w:rPr>
        <w:t>90</w:t>
      </w:r>
      <w:r>
        <w:rPr>
          <w:rFonts w:ascii="仿宋" w:eastAsia="仿宋" w:hAnsi="仿宋" w:cs="仿宋" w:hint="eastAsia"/>
          <w:color w:val="auto"/>
        </w:rPr>
        <w:t>米，次干路展宽段最小长度</w:t>
      </w:r>
      <w:r>
        <w:rPr>
          <w:rFonts w:ascii="仿宋" w:eastAsia="仿宋" w:hAnsi="仿宋" w:cs="仿宋" w:hint="eastAsia"/>
          <w:color w:val="auto"/>
        </w:rPr>
        <w:t>50</w:t>
      </w:r>
      <w:r>
        <w:rPr>
          <w:rFonts w:ascii="仿宋" w:eastAsia="仿宋" w:hAnsi="仿宋" w:cs="仿宋" w:hint="eastAsia"/>
          <w:color w:val="auto"/>
        </w:rPr>
        <w:t>米—</w:t>
      </w:r>
      <w:r>
        <w:rPr>
          <w:rFonts w:ascii="仿宋" w:eastAsia="仿宋" w:hAnsi="仿宋" w:cs="仿宋" w:hint="eastAsia"/>
          <w:color w:val="auto"/>
        </w:rPr>
        <w:t>7</w:t>
      </w:r>
      <w:r>
        <w:rPr>
          <w:rFonts w:ascii="仿宋" w:eastAsia="仿宋" w:hAnsi="仿宋" w:cs="仿宋" w:hint="eastAsia"/>
          <w:color w:val="auto"/>
        </w:rPr>
        <w:t>0</w:t>
      </w:r>
      <w:r>
        <w:rPr>
          <w:rFonts w:ascii="仿宋" w:eastAsia="仿宋" w:hAnsi="仿宋" w:cs="仿宋" w:hint="eastAsia"/>
          <w:color w:val="auto"/>
        </w:rPr>
        <w:t>米，支路展宽段最小长度</w:t>
      </w:r>
      <w:r>
        <w:rPr>
          <w:rFonts w:ascii="仿宋" w:eastAsia="仿宋" w:hAnsi="仿宋" w:cs="仿宋" w:hint="eastAsia"/>
          <w:color w:val="auto"/>
        </w:rPr>
        <w:t>30</w:t>
      </w:r>
      <w:r>
        <w:rPr>
          <w:rFonts w:ascii="仿宋" w:eastAsia="仿宋" w:hAnsi="仿宋" w:cs="仿宋" w:hint="eastAsia"/>
          <w:color w:val="auto"/>
        </w:rPr>
        <w:t>米—</w:t>
      </w:r>
      <w:r>
        <w:rPr>
          <w:rFonts w:ascii="仿宋" w:eastAsia="仿宋" w:hAnsi="仿宋" w:cs="仿宋" w:hint="eastAsia"/>
          <w:color w:val="auto"/>
        </w:rPr>
        <w:t>40</w:t>
      </w:r>
      <w:r>
        <w:rPr>
          <w:rFonts w:ascii="仿宋" w:eastAsia="仿宋" w:hAnsi="仿宋" w:cs="仿宋" w:hint="eastAsia"/>
          <w:color w:val="auto"/>
        </w:rPr>
        <w:t>米。出口道展宽应视具体情况而定，出口道展宽段长度可按</w:t>
      </w:r>
      <w:r>
        <w:rPr>
          <w:rFonts w:ascii="仿宋" w:eastAsia="仿宋" w:hAnsi="仿宋" w:cs="仿宋" w:hint="eastAsia"/>
          <w:color w:val="auto"/>
        </w:rPr>
        <w:t>30</w:t>
      </w:r>
      <w:r>
        <w:rPr>
          <w:rFonts w:ascii="仿宋" w:eastAsia="仿宋" w:hAnsi="仿宋" w:cs="仿宋" w:hint="eastAsia"/>
          <w:color w:val="auto"/>
        </w:rPr>
        <w:t>米—</w:t>
      </w:r>
      <w:r>
        <w:rPr>
          <w:rFonts w:ascii="仿宋" w:eastAsia="仿宋" w:hAnsi="仿宋" w:cs="仿宋" w:hint="eastAsia"/>
          <w:color w:val="auto"/>
        </w:rPr>
        <w:t>60</w:t>
      </w:r>
      <w:r>
        <w:rPr>
          <w:rFonts w:ascii="仿宋" w:eastAsia="仿宋" w:hAnsi="仿宋" w:cs="仿宋" w:hint="eastAsia"/>
          <w:color w:val="auto"/>
        </w:rPr>
        <w:t>米控制，要确保出口道数量应与进口道数量匹配。</w:t>
      </w:r>
    </w:p>
    <w:p w:rsidR="00925AC4" w:rsidRDefault="00285E1E" w:rsidP="008E7712">
      <w:pPr>
        <w:ind w:firstLine="560"/>
        <w:rPr>
          <w:rFonts w:ascii="仿宋" w:eastAsia="仿宋" w:hAnsi="仿宋" w:cs="仿宋"/>
          <w:color w:val="0000FF"/>
        </w:rPr>
      </w:pPr>
      <w:r>
        <w:rPr>
          <w:rFonts w:ascii="仿宋" w:eastAsia="仿宋" w:hAnsi="仿宋" w:cs="仿宋" w:hint="eastAsia"/>
          <w:color w:val="auto"/>
        </w:rPr>
        <w:t>平面交叉口规划范围应包括构成该平面交叉口各条道路的相交部分和进口道、出口道及其向外延伸</w:t>
      </w:r>
      <w:r>
        <w:rPr>
          <w:rFonts w:ascii="仿宋" w:eastAsia="仿宋" w:hAnsi="仿宋" w:cs="仿宋" w:hint="eastAsia"/>
          <w:color w:val="auto"/>
        </w:rPr>
        <w:t>10</w:t>
      </w:r>
      <w:r>
        <w:rPr>
          <w:rFonts w:ascii="仿宋" w:eastAsia="仿宋" w:hAnsi="仿宋" w:cs="仿宋" w:hint="eastAsia"/>
          <w:color w:val="auto"/>
        </w:rPr>
        <w:t>米—</w:t>
      </w:r>
      <w:r>
        <w:rPr>
          <w:rFonts w:ascii="仿宋" w:eastAsia="仿宋" w:hAnsi="仿宋" w:cs="仿宋" w:hint="eastAsia"/>
          <w:color w:val="auto"/>
        </w:rPr>
        <w:t>20</w:t>
      </w:r>
      <w:r>
        <w:rPr>
          <w:rFonts w:ascii="仿宋" w:eastAsia="仿宋" w:hAnsi="仿宋" w:cs="仿宋" w:hint="eastAsia"/>
          <w:color w:val="auto"/>
        </w:rPr>
        <w:t>米的路段所共同用成的空间。新建、改建交通工程规划中的平面交叉口规划，必须对交叉口规划范围内规划道路及相交道路的进口道、出口道各组成部分作整体规划。</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城市主干路不宜采用环形交叉口，若采用环形交叉口，当机动车与非机动车混行时，环道总宽度宜为</w:t>
      </w:r>
      <w:r>
        <w:rPr>
          <w:rFonts w:ascii="仿宋" w:eastAsia="仿宋" w:hAnsi="仿宋" w:cs="仿宋" w:hint="eastAsia"/>
          <w:color w:val="auto"/>
        </w:rPr>
        <w:t>18</w:t>
      </w:r>
      <w:r>
        <w:rPr>
          <w:rFonts w:ascii="仿宋" w:eastAsia="仿宋" w:hAnsi="仿宋" w:cs="仿宋" w:hint="eastAsia"/>
          <w:color w:val="auto"/>
        </w:rPr>
        <w:t>米</w:t>
      </w:r>
      <w:r>
        <w:rPr>
          <w:rFonts w:ascii="仿宋" w:eastAsia="仿宋" w:hAnsi="仿宋" w:cs="仿宋" w:hint="eastAsia"/>
          <w:color w:val="auto"/>
        </w:rPr>
        <w:t>~20</w:t>
      </w:r>
      <w:r>
        <w:rPr>
          <w:rFonts w:ascii="仿宋" w:eastAsia="仿宋" w:hAnsi="仿宋" w:cs="仿宋" w:hint="eastAsia"/>
          <w:color w:val="auto"/>
        </w:rPr>
        <w:t>米，中心岛直径宜取</w:t>
      </w:r>
      <w:r>
        <w:rPr>
          <w:rFonts w:ascii="仿宋" w:eastAsia="仿宋" w:hAnsi="仿宋" w:cs="仿宋" w:hint="eastAsia"/>
          <w:color w:val="auto"/>
        </w:rPr>
        <w:t>3</w:t>
      </w:r>
      <w:r>
        <w:rPr>
          <w:rFonts w:ascii="仿宋" w:eastAsia="仿宋" w:hAnsi="仿宋" w:cs="仿宋" w:hint="eastAsia"/>
          <w:color w:val="auto"/>
        </w:rPr>
        <w:t>0</w:t>
      </w:r>
      <w:r>
        <w:rPr>
          <w:rFonts w:ascii="仿宋" w:eastAsia="仿宋" w:hAnsi="仿宋" w:cs="仿宋" w:hint="eastAsia"/>
          <w:color w:val="auto"/>
        </w:rPr>
        <w:t>米—</w:t>
      </w:r>
      <w:r>
        <w:rPr>
          <w:rFonts w:ascii="仿宋" w:eastAsia="仿宋" w:hAnsi="仿宋" w:cs="仿宋" w:hint="eastAsia"/>
          <w:color w:val="auto"/>
        </w:rPr>
        <w:t>50</w:t>
      </w:r>
      <w:r>
        <w:rPr>
          <w:rFonts w:ascii="仿宋" w:eastAsia="仿宋" w:hAnsi="仿宋" w:cs="仿宋" w:hint="eastAsia"/>
          <w:color w:val="auto"/>
        </w:rPr>
        <w:t>米。</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环形交叉口的中心岛绿化不得遮挡交通的视线。</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规划中的交叉口规划应对总体规划阶段确定的平面交叉口间距、形状进行优化调整，并应符合下列规定：</w:t>
      </w:r>
    </w:p>
    <w:p w:rsidR="00925AC4" w:rsidRDefault="00285E1E">
      <w:pPr>
        <w:numPr>
          <w:ilvl w:val="0"/>
          <w:numId w:val="47"/>
        </w:numPr>
        <w:ind w:firstLine="560"/>
        <w:rPr>
          <w:rFonts w:ascii="仿宋" w:eastAsia="仿宋" w:hAnsi="仿宋" w:cs="仿宋"/>
          <w:color w:val="auto"/>
        </w:rPr>
      </w:pPr>
      <w:r>
        <w:rPr>
          <w:rFonts w:ascii="仿宋" w:eastAsia="仿宋" w:hAnsi="仿宋" w:cs="仿宋" w:hint="eastAsia"/>
          <w:color w:val="auto"/>
        </w:rPr>
        <w:t>新建道路交通网规划中，规划干路交叉口不应规划超过</w:t>
      </w:r>
      <w:r>
        <w:rPr>
          <w:rFonts w:ascii="仿宋" w:eastAsia="仿宋" w:hAnsi="仿宋" w:cs="仿宋" w:hint="eastAsia"/>
          <w:color w:val="auto"/>
        </w:rPr>
        <w:t>4</w:t>
      </w:r>
      <w:r>
        <w:rPr>
          <w:rFonts w:ascii="仿宋" w:eastAsia="仿宋" w:hAnsi="仿宋" w:cs="仿宋" w:hint="eastAsia"/>
          <w:color w:val="auto"/>
        </w:rPr>
        <w:t>条进口道的多路交叉口、错位交叉口、畸形交叉口；相交道路的交角不应小于</w:t>
      </w:r>
      <w:r>
        <w:rPr>
          <w:rFonts w:ascii="仿宋" w:eastAsia="仿宋" w:hAnsi="仿宋" w:cs="仿宋" w:hint="eastAsia"/>
          <w:color w:val="auto"/>
        </w:rPr>
        <w:t>70</w:t>
      </w:r>
      <w:r>
        <w:rPr>
          <w:rFonts w:ascii="仿宋" w:eastAsia="仿宋" w:hAnsi="仿宋" w:cs="仿宋" w:hint="eastAsia"/>
          <w:color w:val="auto"/>
        </w:rPr>
        <w:t>°</w:t>
      </w:r>
      <w:r>
        <w:rPr>
          <w:rFonts w:ascii="仿宋" w:eastAsia="仿宋" w:hAnsi="仿宋" w:cs="仿宋" w:hint="eastAsia"/>
          <w:color w:val="auto"/>
        </w:rPr>
        <w:t>,</w:t>
      </w:r>
      <w:r>
        <w:rPr>
          <w:rFonts w:ascii="仿宋" w:eastAsia="仿宋" w:hAnsi="仿宋" w:cs="仿宋" w:hint="eastAsia"/>
          <w:color w:val="auto"/>
        </w:rPr>
        <w:t>地形条件特殊困难时，不应小于</w:t>
      </w:r>
      <w:r>
        <w:rPr>
          <w:rFonts w:ascii="仿宋" w:eastAsia="仿宋" w:hAnsi="仿宋" w:cs="仿宋" w:hint="eastAsia"/>
          <w:color w:val="auto"/>
        </w:rPr>
        <w:t>45</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47"/>
        </w:numPr>
        <w:ind w:firstLine="560"/>
        <w:rPr>
          <w:rFonts w:ascii="仿宋" w:eastAsia="仿宋" w:hAnsi="仿宋" w:cs="仿宋"/>
          <w:color w:val="auto"/>
        </w:rPr>
      </w:pPr>
      <w:r>
        <w:rPr>
          <w:rFonts w:ascii="仿宋" w:eastAsia="仿宋" w:hAnsi="仿宋" w:cs="仿宋" w:hint="eastAsia"/>
          <w:color w:val="auto"/>
        </w:rPr>
        <w:t>交通信号控制的各平面交叉口间距宜相等。</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lastRenderedPageBreak/>
        <w:t>快速路和主干路上的公共交通停靠站应采用港湾式布置，不应占用车行道；港湾式停靠站长度应不少于两个停车位，宽度不小于</w:t>
      </w:r>
      <w:r>
        <w:rPr>
          <w:rFonts w:ascii="仿宋" w:eastAsia="仿宋" w:hAnsi="仿宋" w:cs="仿宋" w:hint="eastAsia"/>
          <w:color w:val="auto"/>
        </w:rPr>
        <w:t>3</w:t>
      </w:r>
      <w:r>
        <w:rPr>
          <w:rFonts w:ascii="仿宋" w:eastAsia="仿宋" w:hAnsi="仿宋" w:cs="仿宋" w:hint="eastAsia"/>
          <w:color w:val="auto"/>
        </w:rPr>
        <w:t>米。</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快速路公交停靠站及加油</w:t>
      </w:r>
      <w:r>
        <w:rPr>
          <w:rFonts w:ascii="仿宋" w:eastAsia="仿宋" w:hAnsi="仿宋" w:cs="仿宋" w:hint="eastAsia"/>
          <w:color w:val="auto"/>
        </w:rPr>
        <w:t>(</w:t>
      </w:r>
      <w:r>
        <w:rPr>
          <w:rFonts w:ascii="仿宋" w:eastAsia="仿宋" w:hAnsi="仿宋" w:cs="仿宋" w:hint="eastAsia"/>
          <w:color w:val="auto"/>
        </w:rPr>
        <w:t>气</w:t>
      </w:r>
      <w:r>
        <w:rPr>
          <w:rFonts w:ascii="仿宋" w:eastAsia="仿宋" w:hAnsi="仿宋" w:cs="仿宋" w:hint="eastAsia"/>
          <w:color w:val="auto"/>
        </w:rPr>
        <w:t>)</w:t>
      </w:r>
      <w:r>
        <w:rPr>
          <w:rFonts w:ascii="仿宋" w:eastAsia="仿宋" w:hAnsi="仿宋" w:cs="仿宋" w:hint="eastAsia"/>
          <w:color w:val="auto"/>
        </w:rPr>
        <w:t>站应当</w:t>
      </w:r>
      <w:r>
        <w:rPr>
          <w:rFonts w:ascii="仿宋" w:eastAsia="仿宋" w:hAnsi="仿宋" w:cs="仿宋" w:hint="eastAsia"/>
          <w:color w:val="auto"/>
        </w:rPr>
        <w:t>临辅路设置；确需临主路设置的，应当设置在与主路分离的停靠区内，停靠区车行出入口应当满足快速路出入口最小间距的规定；</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增加次干路公共交通停靠站应采用港湾式布置。</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交叉口附近设置的公交交通停靠站，一般设在出交叉口方向，距路缘石圆角切点不小于</w:t>
      </w:r>
      <w:r>
        <w:rPr>
          <w:rFonts w:ascii="仿宋" w:eastAsia="仿宋" w:hAnsi="仿宋" w:cs="仿宋" w:hint="eastAsia"/>
          <w:color w:val="auto"/>
        </w:rPr>
        <w:t>50</w:t>
      </w:r>
      <w:r>
        <w:rPr>
          <w:rFonts w:ascii="仿宋" w:eastAsia="仿宋" w:hAnsi="仿宋" w:cs="仿宋" w:hint="eastAsia"/>
          <w:color w:val="auto"/>
        </w:rPr>
        <w:t>米。</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在路段上，同向换乘距离不宜大于</w:t>
      </w:r>
      <w:r>
        <w:rPr>
          <w:rFonts w:ascii="仿宋" w:eastAsia="仿宋" w:hAnsi="仿宋" w:cs="仿宋" w:hint="eastAsia"/>
          <w:color w:val="auto"/>
        </w:rPr>
        <w:t>50</w:t>
      </w:r>
      <w:r>
        <w:rPr>
          <w:rFonts w:ascii="仿宋" w:eastAsia="仿宋" w:hAnsi="仿宋" w:cs="仿宋" w:hint="eastAsia"/>
          <w:color w:val="auto"/>
        </w:rPr>
        <w:t>米，异向换乘距离不宜大于</w:t>
      </w:r>
      <w:r>
        <w:rPr>
          <w:rFonts w:ascii="仿宋" w:eastAsia="仿宋" w:hAnsi="仿宋" w:cs="仿宋" w:hint="eastAsia"/>
          <w:color w:val="auto"/>
        </w:rPr>
        <w:t>100</w:t>
      </w:r>
      <w:r>
        <w:rPr>
          <w:rFonts w:ascii="仿宋" w:eastAsia="仿宋" w:hAnsi="仿宋" w:cs="仿宋" w:hint="eastAsia"/>
          <w:color w:val="auto"/>
        </w:rPr>
        <w:t>米；对置设站，当道路未设中央分隔带时，应在车辆前进方向迎面错开</w:t>
      </w:r>
      <w:r>
        <w:rPr>
          <w:rFonts w:ascii="仿宋" w:eastAsia="仿宋" w:hAnsi="仿宋" w:cs="仿宋" w:hint="eastAsia"/>
          <w:color w:val="auto"/>
        </w:rPr>
        <w:t>30</w:t>
      </w:r>
      <w:r>
        <w:rPr>
          <w:rFonts w:ascii="仿宋" w:eastAsia="仿宋" w:hAnsi="仿宋" w:cs="仿宋" w:hint="eastAsia"/>
          <w:color w:val="auto"/>
        </w:rPr>
        <w:t>米；</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在道路平面交叉口和立体交叉口上设置的车站，换乘距离不宜大于</w:t>
      </w:r>
      <w:r>
        <w:rPr>
          <w:rFonts w:ascii="仿宋" w:eastAsia="仿宋" w:hAnsi="仿宋" w:cs="仿宋" w:hint="eastAsia"/>
          <w:color w:val="auto"/>
        </w:rPr>
        <w:t>150</w:t>
      </w:r>
      <w:r>
        <w:rPr>
          <w:rFonts w:ascii="仿宋" w:eastAsia="仿宋" w:hAnsi="仿宋" w:cs="仿宋" w:hint="eastAsia"/>
          <w:color w:val="auto"/>
        </w:rPr>
        <w:t>米，并不得大于</w:t>
      </w:r>
      <w:r>
        <w:rPr>
          <w:rFonts w:ascii="仿宋" w:eastAsia="仿宋" w:hAnsi="仿宋" w:cs="仿宋" w:hint="eastAsia"/>
          <w:color w:val="auto"/>
        </w:rPr>
        <w:t>200</w:t>
      </w:r>
      <w:r>
        <w:rPr>
          <w:rFonts w:ascii="仿宋" w:eastAsia="仿宋" w:hAnsi="仿宋" w:cs="仿宋" w:hint="eastAsia"/>
          <w:color w:val="auto"/>
        </w:rPr>
        <w:t>米；</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长途客运汽车站、火车站、客运码头宜考虑联合车站，公共交通车站换乘距离宜在</w:t>
      </w:r>
      <w:r>
        <w:rPr>
          <w:rFonts w:ascii="仿宋" w:eastAsia="仿宋" w:hAnsi="仿宋" w:cs="仿宋" w:hint="eastAsia"/>
          <w:color w:val="auto"/>
        </w:rPr>
        <w:t>50</w:t>
      </w:r>
      <w:r>
        <w:rPr>
          <w:rFonts w:ascii="仿宋" w:eastAsia="仿宋" w:hAnsi="仿宋" w:cs="仿宋" w:hint="eastAsia"/>
          <w:color w:val="auto"/>
        </w:rPr>
        <w:t>米范围内。</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在城市商业文化中心开辟的商业步行区距城市次干路距离不宜大于</w:t>
      </w:r>
      <w:r>
        <w:rPr>
          <w:rFonts w:ascii="仿宋" w:eastAsia="仿宋" w:hAnsi="仿宋" w:cs="仿宋" w:hint="eastAsia"/>
          <w:color w:val="auto"/>
        </w:rPr>
        <w:t>200</w:t>
      </w:r>
      <w:r>
        <w:rPr>
          <w:rFonts w:ascii="仿宋" w:eastAsia="仿宋" w:hAnsi="仿宋" w:cs="仿宋" w:hint="eastAsia"/>
          <w:color w:val="auto"/>
        </w:rPr>
        <w:t>米，步行区进出口距公共交通停靠站的距离不宜大于</w:t>
      </w:r>
      <w:r>
        <w:rPr>
          <w:rFonts w:ascii="仿宋" w:eastAsia="仿宋" w:hAnsi="仿宋" w:cs="仿宋" w:hint="eastAsia"/>
          <w:color w:val="auto"/>
        </w:rPr>
        <w:t>100</w:t>
      </w:r>
      <w:r>
        <w:rPr>
          <w:rFonts w:ascii="仿宋" w:eastAsia="仿宋" w:hAnsi="仿宋" w:cs="仿宋" w:hint="eastAsia"/>
          <w:color w:val="auto"/>
        </w:rPr>
        <w:t>米，在步行区外</w:t>
      </w:r>
      <w:r>
        <w:rPr>
          <w:rFonts w:ascii="仿宋" w:eastAsia="仿宋" w:hAnsi="仿宋" w:cs="仿宋" w:hint="eastAsia"/>
          <w:color w:val="auto"/>
        </w:rPr>
        <w:t>100</w:t>
      </w:r>
      <w:r>
        <w:rPr>
          <w:rFonts w:ascii="仿宋" w:eastAsia="仿宋" w:hAnsi="仿宋" w:cs="仿宋" w:hint="eastAsia"/>
          <w:color w:val="auto"/>
        </w:rPr>
        <w:t>米范围之内，应设机动车和非机动车停车场</w:t>
      </w:r>
      <w:r>
        <w:rPr>
          <w:rFonts w:ascii="仿宋" w:eastAsia="仿宋" w:hAnsi="仿宋" w:cs="仿宋" w:hint="eastAsia"/>
          <w:color w:val="auto"/>
        </w:rPr>
        <w:t>(</w:t>
      </w:r>
      <w:r>
        <w:rPr>
          <w:rFonts w:ascii="仿宋" w:eastAsia="仿宋" w:hAnsi="仿宋" w:cs="仿宋" w:hint="eastAsia"/>
          <w:color w:val="auto"/>
        </w:rPr>
        <w:t>库</w:t>
      </w:r>
      <w:r>
        <w:rPr>
          <w:rFonts w:ascii="仿宋" w:eastAsia="仿宋" w:hAnsi="仿宋" w:cs="仿宋" w:hint="eastAsia"/>
          <w:color w:val="auto"/>
        </w:rPr>
        <w:t>)</w:t>
      </w:r>
      <w:r>
        <w:rPr>
          <w:rFonts w:ascii="仿宋" w:eastAsia="仿宋" w:hAnsi="仿宋" w:cs="仿宋" w:hint="eastAsia"/>
          <w:color w:val="auto"/>
        </w:rPr>
        <w:t>。</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商业步行区的道路应满足送货车、清扫车和消防车通行的要求。道路的宽度可采用</w:t>
      </w:r>
      <w:r>
        <w:rPr>
          <w:rFonts w:ascii="仿宋" w:eastAsia="仿宋" w:hAnsi="仿宋" w:cs="仿宋" w:hint="eastAsia"/>
          <w:color w:val="auto"/>
        </w:rPr>
        <w:t>10</w:t>
      </w:r>
      <w:r>
        <w:rPr>
          <w:rFonts w:ascii="仿宋" w:eastAsia="仿宋" w:hAnsi="仿宋" w:cs="仿宋" w:hint="eastAsia"/>
          <w:color w:val="auto"/>
        </w:rPr>
        <w:t>米—</w:t>
      </w:r>
      <w:r>
        <w:rPr>
          <w:rFonts w:ascii="仿宋" w:eastAsia="仿宋" w:hAnsi="仿宋" w:cs="仿宋" w:hint="eastAsia"/>
          <w:color w:val="auto"/>
        </w:rPr>
        <w:t>15</w:t>
      </w:r>
      <w:r>
        <w:rPr>
          <w:rFonts w:ascii="仿宋" w:eastAsia="仿宋" w:hAnsi="仿宋" w:cs="仿宋" w:hint="eastAsia"/>
          <w:color w:val="auto"/>
        </w:rPr>
        <w:t>米，其间可配置小型广场。</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新建项目建筑基地出入口布置应满足控规和城市交通管理部门的规定，未做明确规定时应符合以下要求：</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t>主干路两侧不宜设置居住用地的车行出入口，主、次干路交叉口及其展宽段内不宜设置公共建筑和居住建筑的车行出入口；</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lastRenderedPageBreak/>
        <w:t>建筑基地的出入口通道与城市道路应尽量采用正交布置，如斜交则不宜小于</w:t>
      </w:r>
      <w:r>
        <w:rPr>
          <w:rFonts w:ascii="仿宋" w:eastAsia="仿宋" w:hAnsi="仿宋" w:cs="仿宋" w:hint="eastAsia"/>
          <w:color w:val="auto"/>
        </w:rPr>
        <w:t>60</w:t>
      </w:r>
      <w:r>
        <w:rPr>
          <w:rFonts w:ascii="仿宋" w:eastAsia="仿宋" w:hAnsi="仿宋" w:cs="仿宋" w:hint="eastAsia"/>
          <w:color w:val="auto"/>
        </w:rPr>
        <w:t>度；</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t>各类人流密集场所建筑基地出入口距离城市干道交叉口</w:t>
      </w:r>
      <w:r>
        <w:rPr>
          <w:rFonts w:ascii="仿宋" w:eastAsia="仿宋" w:hAnsi="仿宋" w:cs="仿宋" w:hint="eastAsia"/>
          <w:color w:val="auto"/>
        </w:rPr>
        <w:t>(</w:t>
      </w:r>
      <w:r>
        <w:rPr>
          <w:rFonts w:ascii="仿宋" w:eastAsia="仿宋" w:hAnsi="仿宋" w:cs="仿宋" w:hint="eastAsia"/>
          <w:color w:val="auto"/>
        </w:rPr>
        <w:t>路缘石圆弧与直线段交点处，以下同</w:t>
      </w:r>
      <w:r>
        <w:rPr>
          <w:rFonts w:ascii="仿宋" w:eastAsia="仿宋" w:hAnsi="仿宋" w:cs="仿宋" w:hint="eastAsia"/>
          <w:color w:val="auto"/>
        </w:rPr>
        <w:t>)</w:t>
      </w:r>
      <w:r>
        <w:rPr>
          <w:rFonts w:ascii="仿宋" w:eastAsia="仿宋" w:hAnsi="仿宋" w:cs="仿宋" w:hint="eastAsia"/>
          <w:color w:val="auto"/>
        </w:rPr>
        <w:t>不应小于</w:t>
      </w:r>
      <w:r>
        <w:rPr>
          <w:rFonts w:ascii="仿宋" w:eastAsia="仿宋" w:hAnsi="仿宋" w:cs="仿宋" w:hint="eastAsia"/>
          <w:color w:val="auto"/>
        </w:rPr>
        <w:t>70</w:t>
      </w:r>
      <w:r>
        <w:rPr>
          <w:rFonts w:ascii="仿宋" w:eastAsia="仿宋" w:hAnsi="仿宋" w:cs="仿宋" w:hint="eastAsia"/>
          <w:color w:val="auto"/>
        </w:rPr>
        <w:t>米，距离次干路交叉口不应小于</w:t>
      </w:r>
      <w:r>
        <w:rPr>
          <w:rFonts w:ascii="仿宋" w:eastAsia="仿宋" w:hAnsi="仿宋" w:cs="仿宋" w:hint="eastAsia"/>
          <w:color w:val="auto"/>
        </w:rPr>
        <w:t>50</w:t>
      </w:r>
      <w:r>
        <w:rPr>
          <w:rFonts w:ascii="仿宋" w:eastAsia="仿宋" w:hAnsi="仿宋" w:cs="仿宋" w:hint="eastAsia"/>
          <w:color w:val="auto"/>
        </w:rPr>
        <w:t>米，距支路的起止线的距离不应小于</w:t>
      </w:r>
      <w:r>
        <w:rPr>
          <w:rFonts w:ascii="仿宋" w:eastAsia="仿宋" w:hAnsi="仿宋" w:cs="仿宋" w:hint="eastAsia"/>
          <w:color w:val="auto"/>
        </w:rPr>
        <w:t>30</w:t>
      </w:r>
      <w:r>
        <w:rPr>
          <w:rFonts w:ascii="仿宋" w:eastAsia="仿宋" w:hAnsi="仿宋" w:cs="仿宋" w:hint="eastAsia"/>
          <w:color w:val="auto"/>
        </w:rPr>
        <w:t>米；距</w:t>
      </w:r>
      <w:r>
        <w:rPr>
          <w:rFonts w:ascii="仿宋" w:eastAsia="仿宋" w:hAnsi="仿宋" w:cs="仿宋" w:hint="eastAsia"/>
          <w:color w:val="auto"/>
        </w:rPr>
        <w:t>人行横道、人行天桥、人行地道</w:t>
      </w:r>
      <w:r>
        <w:rPr>
          <w:rFonts w:ascii="仿宋" w:eastAsia="仿宋" w:hAnsi="仿宋" w:cs="仿宋" w:hint="eastAsia"/>
          <w:color w:val="auto"/>
        </w:rPr>
        <w:t>(</w:t>
      </w:r>
      <w:r>
        <w:rPr>
          <w:rFonts w:ascii="仿宋" w:eastAsia="仿宋" w:hAnsi="仿宋" w:cs="仿宋" w:hint="eastAsia"/>
          <w:color w:val="auto"/>
        </w:rPr>
        <w:t>包括引道、引桥</w:t>
      </w:r>
      <w:r>
        <w:rPr>
          <w:rFonts w:ascii="仿宋" w:eastAsia="仿宋" w:hAnsi="仿宋" w:cs="仿宋" w:hint="eastAsia"/>
          <w:color w:val="auto"/>
        </w:rPr>
        <w:t>)</w:t>
      </w:r>
      <w:r>
        <w:rPr>
          <w:rFonts w:ascii="仿宋" w:eastAsia="仿宋" w:hAnsi="仿宋" w:cs="仿宋" w:hint="eastAsia"/>
          <w:color w:val="auto"/>
        </w:rPr>
        <w:t>的最近边缘线不应小于</w:t>
      </w:r>
      <w:r>
        <w:rPr>
          <w:rFonts w:ascii="仿宋" w:eastAsia="仿宋" w:hAnsi="仿宋" w:cs="仿宋" w:hint="eastAsia"/>
          <w:color w:val="auto"/>
        </w:rPr>
        <w:t>5</w:t>
      </w:r>
      <w:r>
        <w:rPr>
          <w:rFonts w:ascii="仿宋" w:eastAsia="仿宋" w:hAnsi="仿宋" w:cs="仿宋" w:hint="eastAsia"/>
          <w:color w:val="auto"/>
        </w:rPr>
        <w:t>米；距公共交通站台边缘不应小于</w:t>
      </w:r>
      <w:r>
        <w:rPr>
          <w:rFonts w:ascii="仿宋" w:eastAsia="仿宋" w:hAnsi="仿宋" w:cs="仿宋" w:hint="eastAsia"/>
          <w:color w:val="auto"/>
        </w:rPr>
        <w:t>15</w:t>
      </w:r>
      <w:r>
        <w:rPr>
          <w:rFonts w:ascii="仿宋" w:eastAsia="仿宋" w:hAnsi="仿宋" w:cs="仿宋" w:hint="eastAsia"/>
          <w:color w:val="auto"/>
        </w:rPr>
        <w:t>米；距公园、学校及有儿童、老年人、残疾人使用建筑的出入</w:t>
      </w:r>
      <w:r>
        <w:rPr>
          <w:rFonts w:ascii="仿宋" w:eastAsia="仿宋" w:hAnsi="仿宋" w:cs="仿宋" w:hint="eastAsia"/>
          <w:color w:val="auto"/>
        </w:rPr>
        <w:t>口最近边缘不应小于</w:t>
      </w:r>
      <w:r>
        <w:rPr>
          <w:rFonts w:ascii="仿宋" w:eastAsia="仿宋" w:hAnsi="仿宋" w:cs="仿宋" w:hint="eastAsia"/>
          <w:color w:val="auto"/>
        </w:rPr>
        <w:t>20</w:t>
      </w:r>
      <w:r>
        <w:rPr>
          <w:rFonts w:ascii="仿宋" w:eastAsia="仿宋" w:hAnsi="仿宋" w:cs="仿宋" w:hint="eastAsia"/>
          <w:color w:val="auto"/>
        </w:rPr>
        <w:t>米；</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t>建筑基地位于两条以上道路交叉口时，机动车主要出入口宜设置在级别较低的道路上；</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t>城市快速路两侧应严格控制开设机动车出入口，如特殊情况确需开设，则开口只能接辅道并禁止左转；</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t>建筑基地开设机动车出入口，单车道开口宽度可为</w:t>
      </w:r>
      <w:r>
        <w:rPr>
          <w:rFonts w:ascii="仿宋" w:eastAsia="仿宋" w:hAnsi="仿宋" w:cs="仿宋" w:hint="eastAsia"/>
          <w:color w:val="auto"/>
        </w:rPr>
        <w:t>3</w:t>
      </w:r>
      <w:r>
        <w:rPr>
          <w:rFonts w:ascii="仿宋" w:eastAsia="仿宋" w:hAnsi="仿宋" w:cs="仿宋" w:hint="eastAsia"/>
          <w:color w:val="auto"/>
        </w:rPr>
        <w:t>米—</w:t>
      </w:r>
      <w:r>
        <w:rPr>
          <w:rFonts w:ascii="仿宋" w:eastAsia="仿宋" w:hAnsi="仿宋" w:cs="仿宋" w:hint="eastAsia"/>
          <w:color w:val="auto"/>
        </w:rPr>
        <w:t>5</w:t>
      </w:r>
      <w:r>
        <w:rPr>
          <w:rFonts w:ascii="仿宋" w:eastAsia="仿宋" w:hAnsi="仿宋" w:cs="仿宋" w:hint="eastAsia"/>
          <w:color w:val="auto"/>
        </w:rPr>
        <w:t>米，双车道开口宽度可为</w:t>
      </w:r>
      <w:r>
        <w:rPr>
          <w:rFonts w:ascii="仿宋" w:eastAsia="仿宋" w:hAnsi="仿宋" w:cs="仿宋" w:hint="eastAsia"/>
          <w:color w:val="auto"/>
        </w:rPr>
        <w:t>6</w:t>
      </w:r>
      <w:r>
        <w:rPr>
          <w:rFonts w:ascii="仿宋" w:eastAsia="仿宋" w:hAnsi="仿宋" w:cs="仿宋" w:hint="eastAsia"/>
          <w:color w:val="auto"/>
        </w:rPr>
        <w:t>米—</w:t>
      </w:r>
      <w:r>
        <w:rPr>
          <w:rFonts w:ascii="仿宋" w:eastAsia="仿宋" w:hAnsi="仿宋" w:cs="仿宋" w:hint="eastAsia"/>
          <w:color w:val="auto"/>
        </w:rPr>
        <w:t>8</w:t>
      </w:r>
      <w:r>
        <w:rPr>
          <w:rFonts w:ascii="仿宋" w:eastAsia="仿宋" w:hAnsi="仿宋" w:cs="仿宋" w:hint="eastAsia"/>
          <w:color w:val="auto"/>
        </w:rPr>
        <w:t>米，开口宽度最大不应大于</w:t>
      </w:r>
      <w:r>
        <w:rPr>
          <w:rFonts w:ascii="仿宋" w:eastAsia="仿宋" w:hAnsi="仿宋" w:cs="仿宋" w:hint="eastAsia"/>
          <w:color w:val="auto"/>
        </w:rPr>
        <w:t>12</w:t>
      </w:r>
      <w:r>
        <w:rPr>
          <w:rFonts w:ascii="仿宋" w:eastAsia="仿宋" w:hAnsi="仿宋" w:cs="仿宋" w:hint="eastAsia"/>
          <w:color w:val="auto"/>
        </w:rPr>
        <w:t>米。出入口数量应满足国家相关规范和标准的要求；</w:t>
      </w:r>
    </w:p>
    <w:p w:rsidR="00925AC4" w:rsidRDefault="00285E1E">
      <w:pPr>
        <w:numPr>
          <w:ilvl w:val="0"/>
          <w:numId w:val="48"/>
        </w:numPr>
        <w:ind w:firstLine="560"/>
        <w:rPr>
          <w:rFonts w:ascii="仿宋" w:eastAsia="仿宋" w:hAnsi="仿宋" w:cs="仿宋"/>
          <w:color w:val="auto"/>
        </w:rPr>
      </w:pPr>
      <w:r>
        <w:rPr>
          <w:rFonts w:ascii="仿宋" w:eastAsia="仿宋" w:hAnsi="仿宋" w:cs="仿宋" w:hint="eastAsia"/>
          <w:color w:val="auto"/>
        </w:rPr>
        <w:t>机动车停车场的出入口应有良好的视野，符合行车视距要求，并宜右转出入车道。</w:t>
      </w:r>
    </w:p>
    <w:p w:rsidR="00925AC4" w:rsidRDefault="00285E1E">
      <w:pPr>
        <w:numPr>
          <w:ilvl w:val="0"/>
          <w:numId w:val="49"/>
        </w:numPr>
        <w:ind w:firstLine="560"/>
        <w:rPr>
          <w:rFonts w:ascii="仿宋" w:eastAsia="仿宋" w:hAnsi="仿宋" w:cs="仿宋"/>
          <w:color w:val="auto"/>
        </w:rPr>
      </w:pPr>
      <w:r>
        <w:rPr>
          <w:rFonts w:ascii="仿宋" w:eastAsia="仿宋" w:hAnsi="仿宋" w:cs="仿宋" w:hint="eastAsia"/>
          <w:color w:val="auto"/>
        </w:rPr>
        <w:t>当快速路需同时满足沿线机动车和非机动车出行需求时，应设置辅道。任何单位或个人不得设</w:t>
      </w:r>
      <w:r>
        <w:rPr>
          <w:rFonts w:ascii="仿宋" w:eastAsia="仿宋" w:hAnsi="仿宋" w:cs="仿宋" w:hint="eastAsia"/>
          <w:color w:val="auto"/>
        </w:rPr>
        <w:t>置直接通向快速路的路口，只允许通过周边路网进出快速路辅道。通过辅道进出快速路主车道的出入口数量应加以限制：设置进口时应在主道上设置加速车道，设置出口时应在主道上设置减速车道；</w:t>
      </w:r>
    </w:p>
    <w:p w:rsidR="00925AC4" w:rsidRDefault="00285E1E">
      <w:pPr>
        <w:numPr>
          <w:ilvl w:val="0"/>
          <w:numId w:val="49"/>
        </w:numPr>
        <w:ind w:firstLine="560"/>
        <w:rPr>
          <w:rFonts w:ascii="仿宋" w:eastAsia="仿宋" w:hAnsi="仿宋" w:cs="仿宋"/>
          <w:color w:val="auto"/>
        </w:rPr>
      </w:pPr>
      <w:r>
        <w:rPr>
          <w:rFonts w:ascii="仿宋" w:eastAsia="仿宋" w:hAnsi="仿宋" w:cs="仿宋" w:hint="eastAsia"/>
          <w:color w:val="auto"/>
        </w:rPr>
        <w:t>主干路两侧应控制开设机动车出入口，旧城改造区域、重要地段主干路两侧应控制开设机动车出入口，旧城改造区域、重要地段重要节</w:t>
      </w:r>
      <w:r>
        <w:rPr>
          <w:rFonts w:ascii="仿宋" w:eastAsia="仿宋" w:hAnsi="仿宋" w:cs="仿宋" w:hint="eastAsia"/>
          <w:color w:val="auto"/>
        </w:rPr>
        <w:lastRenderedPageBreak/>
        <w:t>点及其它特殊区域确需开设的，应当进行专项交通影响评价，有条件的，应当通过设置辅道开口，但人行道宽度不得减少；</w:t>
      </w:r>
    </w:p>
    <w:p w:rsidR="00925AC4" w:rsidRDefault="00285E1E">
      <w:pPr>
        <w:numPr>
          <w:ilvl w:val="0"/>
          <w:numId w:val="49"/>
        </w:numPr>
        <w:ind w:firstLine="560"/>
        <w:rPr>
          <w:rFonts w:ascii="仿宋" w:eastAsia="仿宋" w:hAnsi="仿宋" w:cs="仿宋"/>
          <w:color w:val="auto"/>
        </w:rPr>
      </w:pPr>
      <w:r>
        <w:rPr>
          <w:rFonts w:ascii="仿宋" w:eastAsia="仿宋" w:hAnsi="仿宋" w:cs="仿宋" w:hint="eastAsia"/>
          <w:color w:val="auto"/>
        </w:rPr>
        <w:t>主、次干路交叉口及其展宽段内不应设置公共建筑和居住建筑的车行出入口；</w:t>
      </w:r>
    </w:p>
    <w:p w:rsidR="00925AC4" w:rsidRDefault="00285E1E">
      <w:pPr>
        <w:numPr>
          <w:ilvl w:val="0"/>
          <w:numId w:val="49"/>
        </w:numPr>
        <w:ind w:firstLine="560"/>
        <w:rPr>
          <w:rFonts w:ascii="仿宋" w:eastAsia="仿宋" w:hAnsi="仿宋" w:cs="仿宋"/>
          <w:color w:val="auto"/>
        </w:rPr>
      </w:pPr>
      <w:r>
        <w:rPr>
          <w:rFonts w:ascii="仿宋" w:eastAsia="仿宋" w:hAnsi="仿宋" w:cs="仿宋" w:hint="eastAsia"/>
          <w:color w:val="auto"/>
        </w:rPr>
        <w:t>地下室机动车进出口坡道起坡点到道路红线</w:t>
      </w:r>
      <w:r>
        <w:rPr>
          <w:rFonts w:ascii="仿宋" w:eastAsia="仿宋" w:hAnsi="仿宋" w:cs="仿宋" w:hint="eastAsia"/>
          <w:color w:val="auto"/>
        </w:rPr>
        <w:t>的车道长度不小应于</w:t>
      </w:r>
      <w:r>
        <w:rPr>
          <w:rFonts w:ascii="仿宋" w:eastAsia="仿宋" w:hAnsi="仿宋" w:cs="仿宋" w:hint="eastAsia"/>
          <w:color w:val="auto"/>
        </w:rPr>
        <w:t>7.5</w:t>
      </w:r>
      <w:r>
        <w:rPr>
          <w:rFonts w:ascii="仿宋" w:eastAsia="仿宋" w:hAnsi="仿宋" w:cs="仿宋" w:hint="eastAsia"/>
          <w:color w:val="auto"/>
        </w:rPr>
        <w:t>米，有条件时车库应尽量将匝机设置在地下车库内，且不得利用规划道路组织用地内部交通；</w:t>
      </w:r>
    </w:p>
    <w:p w:rsidR="00925AC4" w:rsidRDefault="00285E1E">
      <w:pPr>
        <w:numPr>
          <w:ilvl w:val="0"/>
          <w:numId w:val="49"/>
        </w:numPr>
        <w:ind w:firstLine="560"/>
        <w:rPr>
          <w:rFonts w:ascii="仿宋" w:eastAsia="仿宋" w:hAnsi="仿宋" w:cs="仿宋"/>
          <w:color w:val="auto"/>
        </w:rPr>
      </w:pPr>
      <w:r>
        <w:rPr>
          <w:rFonts w:ascii="仿宋" w:eastAsia="仿宋" w:hAnsi="仿宋" w:cs="仿宋" w:hint="eastAsia"/>
          <w:color w:val="auto"/>
        </w:rPr>
        <w:t>加油站、加气站一般设置一个入口和一个出口；特殊情况，在符合消防安全要求的条件下，可设一个出入口：在保证加油站、加气站内部通行和不影响临近道路交通的情况下，可增设一个入口或一个出口。</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城市停车场包括外来机动车和市内机动车的社会公共停车场，其设置应遵循以下原则：</w:t>
      </w:r>
    </w:p>
    <w:p w:rsidR="00925AC4" w:rsidRDefault="00285E1E">
      <w:pPr>
        <w:numPr>
          <w:ilvl w:val="0"/>
          <w:numId w:val="50"/>
        </w:numPr>
        <w:ind w:firstLine="560"/>
        <w:rPr>
          <w:rFonts w:ascii="仿宋" w:eastAsia="仿宋" w:hAnsi="仿宋" w:cs="仿宋"/>
          <w:color w:val="auto"/>
        </w:rPr>
      </w:pPr>
      <w:r>
        <w:rPr>
          <w:rFonts w:ascii="仿宋" w:eastAsia="仿宋" w:hAnsi="仿宋" w:cs="仿宋" w:hint="eastAsia"/>
          <w:color w:val="auto"/>
        </w:rPr>
        <w:t>外来机动车公共停车场应设置在城市出入口道路附近或其它适当地点；</w:t>
      </w:r>
    </w:p>
    <w:p w:rsidR="00925AC4" w:rsidRDefault="00285E1E">
      <w:pPr>
        <w:numPr>
          <w:ilvl w:val="0"/>
          <w:numId w:val="50"/>
        </w:numPr>
        <w:ind w:firstLine="560"/>
        <w:rPr>
          <w:rFonts w:ascii="仿宋" w:eastAsia="仿宋" w:hAnsi="仿宋" w:cs="仿宋"/>
          <w:color w:val="auto"/>
        </w:rPr>
      </w:pPr>
      <w:r>
        <w:rPr>
          <w:rFonts w:ascii="仿宋" w:eastAsia="仿宋" w:hAnsi="仿宋" w:cs="仿宋" w:hint="eastAsia"/>
          <w:color w:val="auto"/>
        </w:rPr>
        <w:t>地面停车场用地面积宜为每个停车位</w:t>
      </w:r>
      <w:r>
        <w:rPr>
          <w:rFonts w:ascii="仿宋" w:eastAsia="仿宋" w:hAnsi="仿宋" w:cs="仿宋" w:hint="eastAsia"/>
          <w:color w:val="auto"/>
        </w:rPr>
        <w:t>25</w:t>
      </w:r>
      <w:r>
        <w:rPr>
          <w:rFonts w:ascii="仿宋" w:eastAsia="仿宋" w:hAnsi="仿宋" w:cs="仿宋" w:hint="eastAsia"/>
          <w:color w:val="auto"/>
        </w:rPr>
        <w:t>平方米</w:t>
      </w:r>
      <w:r>
        <w:rPr>
          <w:rFonts w:ascii="仿宋" w:eastAsia="仿宋" w:hAnsi="仿宋" w:cs="仿宋" w:hint="eastAsia"/>
          <w:color w:val="auto"/>
        </w:rPr>
        <w:t>至</w:t>
      </w:r>
      <w:r>
        <w:rPr>
          <w:rFonts w:ascii="仿宋" w:eastAsia="仿宋" w:hAnsi="仿宋" w:cs="仿宋" w:hint="eastAsia"/>
          <w:color w:val="auto"/>
        </w:rPr>
        <w:t>30</w:t>
      </w:r>
      <w:r>
        <w:rPr>
          <w:rFonts w:ascii="仿宋" w:eastAsia="仿宋" w:hAnsi="仿宋" w:cs="仿宋" w:hint="eastAsia"/>
          <w:color w:val="auto"/>
        </w:rPr>
        <w:t>平方米；</w:t>
      </w:r>
    </w:p>
    <w:p w:rsidR="00925AC4" w:rsidRDefault="00285E1E">
      <w:pPr>
        <w:numPr>
          <w:ilvl w:val="0"/>
          <w:numId w:val="50"/>
        </w:numPr>
        <w:ind w:firstLine="560"/>
        <w:rPr>
          <w:rFonts w:ascii="仿宋" w:eastAsia="仿宋" w:hAnsi="仿宋" w:cs="仿宋"/>
          <w:color w:val="auto"/>
        </w:rPr>
      </w:pPr>
      <w:r>
        <w:rPr>
          <w:rFonts w:ascii="仿宋" w:eastAsia="仿宋" w:hAnsi="仿宋" w:cs="仿宋" w:hint="eastAsia"/>
          <w:color w:val="auto"/>
        </w:rPr>
        <w:t>地下停车场出入口设施应</w:t>
      </w:r>
      <w:r>
        <w:rPr>
          <w:rFonts w:ascii="仿宋" w:eastAsia="仿宋" w:hAnsi="仿宋" w:cs="仿宋" w:hint="eastAsia"/>
          <w:color w:val="auto"/>
        </w:rPr>
        <w:t>满足相关国家规范要求，兼顾人民防空功能的地下停车场出入口按人防工程战术技术要求设置。</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加油站、加气站</w:t>
      </w:r>
    </w:p>
    <w:p w:rsidR="00925AC4" w:rsidRDefault="00285E1E">
      <w:pPr>
        <w:numPr>
          <w:ilvl w:val="0"/>
          <w:numId w:val="51"/>
        </w:numPr>
        <w:ind w:firstLine="560"/>
        <w:rPr>
          <w:rFonts w:ascii="仿宋" w:eastAsia="仿宋" w:hAnsi="仿宋" w:cs="仿宋"/>
          <w:color w:val="auto"/>
        </w:rPr>
      </w:pPr>
      <w:r>
        <w:rPr>
          <w:rFonts w:ascii="仿宋" w:eastAsia="仿宋" w:hAnsi="仿宋" w:cs="仿宋" w:hint="eastAsia"/>
          <w:color w:val="auto"/>
        </w:rPr>
        <w:t>加油站、加气站的站址选择，应符合国土空间规划、环境保护、防火安全、防雷安全、交通便利和相关专业技术规范要求；市区的加油站应邻近城市交通主干路或出入方便的次干路，其服务半径不宜大于</w:t>
      </w:r>
      <w:r>
        <w:rPr>
          <w:rFonts w:ascii="仿宋" w:eastAsia="仿宋" w:hAnsi="仿宋" w:cs="仿宋" w:hint="eastAsia"/>
          <w:color w:val="auto"/>
        </w:rPr>
        <w:t>2</w:t>
      </w:r>
      <w:r>
        <w:rPr>
          <w:rFonts w:ascii="仿宋" w:eastAsia="仿宋" w:hAnsi="仿宋" w:cs="仿宋" w:hint="eastAsia"/>
          <w:color w:val="auto"/>
        </w:rPr>
        <w:t>公里，并应满足以下要求：</w:t>
      </w:r>
    </w:p>
    <w:p w:rsidR="00925AC4" w:rsidRDefault="00285E1E">
      <w:pPr>
        <w:numPr>
          <w:ilvl w:val="0"/>
          <w:numId w:val="52"/>
        </w:numPr>
        <w:ind w:firstLine="560"/>
        <w:rPr>
          <w:rFonts w:ascii="仿宋" w:eastAsia="仿宋" w:hAnsi="仿宋" w:cs="仿宋"/>
          <w:color w:val="auto"/>
        </w:rPr>
      </w:pPr>
      <w:r>
        <w:rPr>
          <w:rFonts w:ascii="仿宋" w:eastAsia="仿宋" w:hAnsi="仿宋" w:cs="仿宋" w:hint="eastAsia"/>
          <w:color w:val="auto"/>
        </w:rPr>
        <w:t>加油站出入口与中小学、消防队及医院等单位的主要出入口距离应在</w:t>
      </w:r>
      <w:r>
        <w:rPr>
          <w:rFonts w:ascii="仿宋" w:eastAsia="仿宋" w:hAnsi="仿宋" w:cs="仿宋" w:hint="eastAsia"/>
          <w:color w:val="auto"/>
        </w:rPr>
        <w:t>50</w:t>
      </w:r>
      <w:r>
        <w:rPr>
          <w:rFonts w:ascii="仿宋" w:eastAsia="仿宋" w:hAnsi="仿宋" w:cs="仿宋" w:hint="eastAsia"/>
          <w:color w:val="auto"/>
        </w:rPr>
        <w:t>米以上，距居住建筑和公共建筑的距离不应小于</w:t>
      </w:r>
      <w:r>
        <w:rPr>
          <w:rFonts w:ascii="仿宋" w:eastAsia="仿宋" w:hAnsi="仿宋" w:cs="仿宋" w:hint="eastAsia"/>
          <w:color w:val="auto"/>
        </w:rPr>
        <w:t>25</w:t>
      </w:r>
      <w:r>
        <w:rPr>
          <w:rFonts w:ascii="仿宋" w:eastAsia="仿宋" w:hAnsi="仿宋" w:cs="仿宋" w:hint="eastAsia"/>
          <w:color w:val="auto"/>
        </w:rPr>
        <w:t>米；</w:t>
      </w:r>
    </w:p>
    <w:p w:rsidR="00925AC4" w:rsidRDefault="00285E1E">
      <w:pPr>
        <w:numPr>
          <w:ilvl w:val="0"/>
          <w:numId w:val="52"/>
        </w:numPr>
        <w:ind w:firstLine="560"/>
        <w:rPr>
          <w:rFonts w:ascii="仿宋" w:eastAsia="仿宋" w:hAnsi="仿宋" w:cs="仿宋"/>
          <w:color w:val="auto"/>
        </w:rPr>
      </w:pPr>
      <w:r>
        <w:rPr>
          <w:rFonts w:ascii="仿宋" w:eastAsia="仿宋" w:hAnsi="仿宋" w:cs="仿宋" w:hint="eastAsia"/>
          <w:color w:val="auto"/>
        </w:rPr>
        <w:lastRenderedPageBreak/>
        <w:t>加油站出入口与军事设施、桥梁引道口、隧道口、铁路平交道口、堤防水利设施的距离应在</w:t>
      </w:r>
      <w:r>
        <w:rPr>
          <w:rFonts w:ascii="仿宋" w:eastAsia="仿宋" w:hAnsi="仿宋" w:cs="仿宋" w:hint="eastAsia"/>
          <w:color w:val="auto"/>
        </w:rPr>
        <w:t>100</w:t>
      </w:r>
      <w:r>
        <w:rPr>
          <w:rFonts w:ascii="仿宋" w:eastAsia="仿宋" w:hAnsi="仿宋" w:cs="仿宋" w:hint="eastAsia"/>
          <w:color w:val="auto"/>
        </w:rPr>
        <w:t>米以上。</w:t>
      </w:r>
    </w:p>
    <w:p w:rsidR="00925AC4" w:rsidRDefault="00285E1E">
      <w:pPr>
        <w:numPr>
          <w:ilvl w:val="0"/>
          <w:numId w:val="51"/>
        </w:numPr>
        <w:ind w:firstLine="560"/>
        <w:rPr>
          <w:rFonts w:ascii="仿宋" w:eastAsia="仿宋" w:hAnsi="仿宋" w:cs="仿宋"/>
          <w:color w:val="auto"/>
        </w:rPr>
      </w:pPr>
      <w:r>
        <w:rPr>
          <w:rFonts w:ascii="仿宋" w:eastAsia="仿宋" w:hAnsi="仿宋" w:cs="仿宋" w:hint="eastAsia"/>
          <w:color w:val="auto"/>
        </w:rPr>
        <w:t>郊区加油站，应邻近公路或市区的交通出入口；</w:t>
      </w:r>
    </w:p>
    <w:p w:rsidR="00925AC4" w:rsidRDefault="00285E1E">
      <w:pPr>
        <w:numPr>
          <w:ilvl w:val="0"/>
          <w:numId w:val="51"/>
        </w:numPr>
        <w:ind w:firstLine="560"/>
        <w:rPr>
          <w:rFonts w:ascii="仿宋" w:eastAsia="仿宋" w:hAnsi="仿宋" w:cs="仿宋"/>
          <w:color w:val="auto"/>
        </w:rPr>
      </w:pPr>
      <w:r>
        <w:rPr>
          <w:rFonts w:ascii="仿宋" w:eastAsia="仿宋" w:hAnsi="仿宋" w:cs="仿宋" w:hint="eastAsia"/>
          <w:color w:val="auto"/>
        </w:rPr>
        <w:t>加油站的等级划分应符合国家有关规定，在城市内的布局应以小型站为主，大、中、小相结合；</w:t>
      </w:r>
    </w:p>
    <w:p w:rsidR="00925AC4" w:rsidRDefault="00285E1E">
      <w:pPr>
        <w:numPr>
          <w:ilvl w:val="0"/>
          <w:numId w:val="51"/>
        </w:numPr>
        <w:ind w:firstLine="560"/>
        <w:rPr>
          <w:rFonts w:ascii="仿宋" w:eastAsia="仿宋" w:hAnsi="仿宋" w:cs="仿宋"/>
          <w:color w:val="auto"/>
        </w:rPr>
      </w:pPr>
      <w:r>
        <w:rPr>
          <w:rFonts w:ascii="仿宋" w:eastAsia="仿宋" w:hAnsi="仿宋" w:cs="仿宋" w:hint="eastAsia"/>
          <w:color w:val="auto"/>
        </w:rPr>
        <w:t>加油站、加油加气合建站的油罐，加油机和通气管管口与站外建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筑物的防火距离应符合《汽车加油加气站设计和施工规范》</w:t>
      </w:r>
      <w:r>
        <w:rPr>
          <w:rFonts w:ascii="仿宋" w:eastAsia="仿宋" w:hAnsi="仿宋" w:cs="仿宋" w:hint="eastAsia"/>
          <w:color w:val="auto"/>
        </w:rPr>
        <w:t>GB50156</w:t>
      </w:r>
      <w:r>
        <w:rPr>
          <w:rFonts w:ascii="仿宋" w:eastAsia="仿宋" w:hAnsi="仿宋" w:cs="仿宋" w:hint="eastAsia"/>
          <w:color w:val="auto"/>
        </w:rPr>
        <w:t>—</w:t>
      </w:r>
      <w:r>
        <w:rPr>
          <w:rFonts w:ascii="仿宋" w:eastAsia="仿宋" w:hAnsi="仿宋" w:cs="仿宋" w:hint="eastAsia"/>
          <w:color w:val="auto"/>
        </w:rPr>
        <w:t>2012(2014</w:t>
      </w:r>
      <w:r>
        <w:rPr>
          <w:rFonts w:ascii="仿宋" w:eastAsia="仿宋" w:hAnsi="仿宋" w:cs="仿宋" w:hint="eastAsia"/>
          <w:color w:val="auto"/>
        </w:rPr>
        <w:t>年版</w:t>
      </w:r>
      <w:r>
        <w:rPr>
          <w:rFonts w:ascii="仿宋" w:eastAsia="仿宋" w:hAnsi="仿宋" w:cs="仿宋" w:hint="eastAsia"/>
          <w:color w:val="auto"/>
        </w:rPr>
        <w:t>)</w:t>
      </w:r>
      <w:r>
        <w:rPr>
          <w:rFonts w:ascii="仿宋" w:eastAsia="仿宋" w:hAnsi="仿宋" w:cs="仿宋" w:hint="eastAsia"/>
          <w:color w:val="auto"/>
        </w:rPr>
        <w:t>的要求。</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慢行交通系统规划要求</w:t>
      </w:r>
    </w:p>
    <w:p w:rsidR="00925AC4" w:rsidRDefault="00285E1E">
      <w:pPr>
        <w:numPr>
          <w:ilvl w:val="0"/>
          <w:numId w:val="53"/>
        </w:numPr>
        <w:ind w:firstLine="560"/>
        <w:rPr>
          <w:rFonts w:ascii="仿宋" w:eastAsia="仿宋" w:hAnsi="仿宋" w:cs="仿宋"/>
          <w:color w:val="auto"/>
        </w:rPr>
      </w:pPr>
      <w:r>
        <w:rPr>
          <w:rFonts w:ascii="仿宋" w:eastAsia="仿宋" w:hAnsi="仿宋" w:cs="仿宋" w:hint="eastAsia"/>
          <w:color w:val="auto"/>
        </w:rPr>
        <w:t>新建道路宜设置摩托车、电瓶车、三轮车专用通道，宽度不应小于</w:t>
      </w:r>
      <w:r>
        <w:rPr>
          <w:rFonts w:ascii="仿宋" w:eastAsia="仿宋" w:hAnsi="仿宋" w:cs="仿宋" w:hint="eastAsia"/>
          <w:color w:val="auto"/>
        </w:rPr>
        <w:t>2</w:t>
      </w:r>
      <w:r>
        <w:rPr>
          <w:rFonts w:ascii="仿宋" w:eastAsia="仿宋" w:hAnsi="仿宋" w:cs="仿宋" w:hint="eastAsia"/>
          <w:color w:val="auto"/>
        </w:rPr>
        <w:t>米，已建成的规划道路满足条件的可考虑增</w:t>
      </w:r>
      <w:r>
        <w:rPr>
          <w:rFonts w:ascii="仿宋" w:eastAsia="仿宋" w:hAnsi="仿宋" w:cs="仿宋" w:hint="eastAsia"/>
          <w:color w:val="auto"/>
        </w:rPr>
        <w:t>设；</w:t>
      </w:r>
    </w:p>
    <w:p w:rsidR="00925AC4" w:rsidRDefault="00285E1E">
      <w:pPr>
        <w:numPr>
          <w:ilvl w:val="0"/>
          <w:numId w:val="53"/>
        </w:numPr>
        <w:ind w:firstLine="560"/>
        <w:rPr>
          <w:rFonts w:ascii="仿宋" w:eastAsia="仿宋" w:hAnsi="仿宋" w:cs="仿宋"/>
          <w:color w:val="auto"/>
        </w:rPr>
      </w:pPr>
      <w:r>
        <w:rPr>
          <w:rFonts w:ascii="仿宋" w:eastAsia="仿宋" w:hAnsi="仿宋" w:cs="仿宋" w:hint="eastAsia"/>
          <w:color w:val="auto"/>
        </w:rPr>
        <w:t>人行道宽度必须满足行人安全顺畅通过的要求，并应设置无障碍设施。各级道路人行道应连续贯通，在路侧若有宽度≥</w:t>
      </w:r>
      <w:r>
        <w:rPr>
          <w:rFonts w:ascii="仿宋" w:eastAsia="仿宋" w:hAnsi="仿宋" w:cs="仿宋" w:hint="eastAsia"/>
          <w:color w:val="auto"/>
        </w:rPr>
        <w:t>8</w:t>
      </w:r>
      <w:r>
        <w:rPr>
          <w:rFonts w:ascii="仿宋" w:eastAsia="仿宋" w:hAnsi="仿宋" w:cs="仿宋" w:hint="eastAsia"/>
          <w:color w:val="auto"/>
        </w:rPr>
        <w:t>米的规划绿化带时，人行道可结合绿化带统筹布置；</w:t>
      </w:r>
    </w:p>
    <w:p w:rsidR="00925AC4" w:rsidRDefault="00285E1E">
      <w:pPr>
        <w:numPr>
          <w:ilvl w:val="0"/>
          <w:numId w:val="53"/>
        </w:numPr>
        <w:ind w:firstLine="560"/>
        <w:rPr>
          <w:rFonts w:ascii="仿宋" w:eastAsia="仿宋" w:hAnsi="仿宋" w:cs="仿宋"/>
          <w:color w:val="auto"/>
        </w:rPr>
      </w:pPr>
      <w:r>
        <w:rPr>
          <w:rFonts w:ascii="仿宋" w:eastAsia="仿宋" w:hAnsi="仿宋" w:cs="仿宋" w:hint="eastAsia"/>
          <w:color w:val="auto"/>
        </w:rPr>
        <w:t>道路中间分隔带绿化应起阻挡眩光的作用，两侧分隔带绿化应起防护隔离和美化街景的功能。人行道绿带应以种植行道树为主并与地被植物相结合，为行人和非机动车驾驶者庇荫和美化街景；</w:t>
      </w:r>
    </w:p>
    <w:p w:rsidR="00925AC4" w:rsidRDefault="00285E1E">
      <w:pPr>
        <w:numPr>
          <w:ilvl w:val="0"/>
          <w:numId w:val="53"/>
        </w:numPr>
        <w:ind w:firstLine="560"/>
        <w:rPr>
          <w:rFonts w:ascii="仿宋" w:eastAsia="仿宋" w:hAnsi="仿宋" w:cs="仿宋"/>
          <w:color w:val="auto"/>
        </w:rPr>
      </w:pPr>
      <w:r>
        <w:rPr>
          <w:rFonts w:ascii="仿宋" w:eastAsia="仿宋" w:hAnsi="仿宋" w:cs="仿宋" w:hint="eastAsia"/>
          <w:color w:val="auto"/>
        </w:rPr>
        <w:t>沿人行道设置行道树，公共交通停靠站和候车亭、公用电话亭等设施时，不得妨碍行人的正常运行；</w:t>
      </w:r>
    </w:p>
    <w:p w:rsidR="00925AC4" w:rsidRDefault="00285E1E">
      <w:pPr>
        <w:numPr>
          <w:ilvl w:val="0"/>
          <w:numId w:val="53"/>
        </w:numPr>
        <w:ind w:firstLine="560"/>
        <w:rPr>
          <w:rFonts w:ascii="仿宋" w:eastAsia="仿宋" w:hAnsi="仿宋" w:cs="仿宋"/>
          <w:color w:val="auto"/>
        </w:rPr>
      </w:pPr>
      <w:r>
        <w:rPr>
          <w:rFonts w:ascii="仿宋" w:eastAsia="仿宋" w:hAnsi="仿宋" w:cs="仿宋" w:hint="eastAsia"/>
          <w:color w:val="auto"/>
        </w:rPr>
        <w:t>城市道路、河道两侧绿化保护带可与非机动车道及人行道等城市慢行交通结合，鼓励规划设置城市绿道，</w:t>
      </w:r>
      <w:r>
        <w:rPr>
          <w:rFonts w:ascii="仿宋" w:eastAsia="仿宋" w:hAnsi="仿宋" w:cs="仿宋" w:hint="eastAsia"/>
          <w:color w:val="auto"/>
        </w:rPr>
        <w:t>保障慢行空间的安全、便利和可达性。各类城市防护绿地、公园绿地等宜与非机动车道及人行道等城市慢行空间相联通，形成完善的慢行交通系统。</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人行过街设施规划</w:t>
      </w:r>
    </w:p>
    <w:p w:rsidR="00925AC4" w:rsidRDefault="00285E1E">
      <w:pPr>
        <w:numPr>
          <w:ilvl w:val="0"/>
          <w:numId w:val="54"/>
        </w:numPr>
        <w:ind w:firstLine="560"/>
        <w:rPr>
          <w:rFonts w:ascii="仿宋" w:eastAsia="仿宋" w:hAnsi="仿宋" w:cs="仿宋"/>
          <w:color w:val="auto"/>
        </w:rPr>
      </w:pPr>
      <w:r>
        <w:rPr>
          <w:rFonts w:ascii="仿宋" w:eastAsia="仿宋" w:hAnsi="仿宋" w:cs="仿宋" w:hint="eastAsia"/>
          <w:color w:val="auto"/>
        </w:rPr>
        <w:lastRenderedPageBreak/>
        <w:t>城市地面快速路宜设过街人行天桥或地下通道，且满足非机动车通行需要；</w:t>
      </w:r>
    </w:p>
    <w:p w:rsidR="00925AC4" w:rsidRDefault="00285E1E">
      <w:pPr>
        <w:numPr>
          <w:ilvl w:val="0"/>
          <w:numId w:val="54"/>
        </w:numPr>
        <w:ind w:firstLine="560"/>
        <w:rPr>
          <w:rFonts w:ascii="仿宋" w:eastAsia="仿宋" w:hAnsi="仿宋" w:cs="仿宋"/>
          <w:color w:val="auto"/>
        </w:rPr>
      </w:pPr>
      <w:r>
        <w:rPr>
          <w:rFonts w:ascii="仿宋" w:eastAsia="仿宋" w:hAnsi="仿宋" w:cs="仿宋" w:hint="eastAsia"/>
          <w:color w:val="auto"/>
        </w:rPr>
        <w:t>确定人行道通行能力，应按其可通行的人行步道实际净宽度计算；</w:t>
      </w:r>
    </w:p>
    <w:p w:rsidR="00925AC4" w:rsidRDefault="00285E1E">
      <w:pPr>
        <w:numPr>
          <w:ilvl w:val="0"/>
          <w:numId w:val="54"/>
        </w:numPr>
        <w:ind w:firstLine="560"/>
        <w:rPr>
          <w:rFonts w:ascii="仿宋" w:eastAsia="仿宋" w:hAnsi="仿宋" w:cs="仿宋"/>
          <w:color w:val="auto"/>
        </w:rPr>
      </w:pPr>
      <w:r>
        <w:rPr>
          <w:rFonts w:ascii="仿宋" w:eastAsia="仿宋" w:hAnsi="仿宋" w:cs="仿宋" w:hint="eastAsia"/>
          <w:color w:val="auto"/>
        </w:rPr>
        <w:t>人行道宽度应按人行带的倍数计算，最小净宽不得小于</w:t>
      </w:r>
      <w:r>
        <w:rPr>
          <w:rFonts w:ascii="仿宋" w:eastAsia="仿宋" w:hAnsi="仿宋" w:cs="仿宋" w:hint="eastAsia"/>
          <w:color w:val="auto"/>
        </w:rPr>
        <w:t>1.5</w:t>
      </w:r>
      <w:r>
        <w:rPr>
          <w:rFonts w:ascii="仿宋" w:eastAsia="仿宋" w:hAnsi="仿宋" w:cs="仿宋" w:hint="eastAsia"/>
          <w:color w:val="auto"/>
        </w:rPr>
        <w:t>米；</w:t>
      </w:r>
    </w:p>
    <w:p w:rsidR="00925AC4" w:rsidRDefault="00285E1E">
      <w:pPr>
        <w:numPr>
          <w:ilvl w:val="0"/>
          <w:numId w:val="54"/>
        </w:numPr>
        <w:ind w:firstLine="560"/>
        <w:rPr>
          <w:rFonts w:ascii="仿宋" w:eastAsia="仿宋" w:hAnsi="仿宋" w:cs="仿宋"/>
          <w:color w:val="auto"/>
        </w:rPr>
      </w:pPr>
      <w:r>
        <w:rPr>
          <w:rFonts w:ascii="仿宋" w:eastAsia="仿宋" w:hAnsi="仿宋" w:cs="仿宋" w:hint="eastAsia"/>
          <w:color w:val="auto"/>
        </w:rPr>
        <w:t>主、次干道灯具的密度按照</w:t>
      </w:r>
      <w:r>
        <w:rPr>
          <w:rFonts w:ascii="仿宋" w:eastAsia="仿宋" w:hAnsi="仿宋" w:cs="仿宋" w:hint="eastAsia"/>
          <w:color w:val="auto"/>
        </w:rPr>
        <w:t>50</w:t>
      </w:r>
      <w:r>
        <w:rPr>
          <w:rFonts w:ascii="仿宋" w:eastAsia="仿宋" w:hAnsi="仿宋" w:cs="仿宋" w:hint="eastAsia"/>
          <w:color w:val="auto"/>
        </w:rPr>
        <w:t>米间距设置，按照灯杆高度的</w:t>
      </w:r>
      <w:r>
        <w:rPr>
          <w:rFonts w:ascii="仿宋" w:eastAsia="仿宋" w:hAnsi="仿宋" w:cs="仿宋" w:hint="eastAsia"/>
          <w:color w:val="auto"/>
        </w:rPr>
        <w:t>5</w:t>
      </w:r>
      <w:r>
        <w:rPr>
          <w:rFonts w:ascii="仿宋" w:eastAsia="仿宋" w:hAnsi="仿宋" w:cs="仿宋" w:hint="eastAsia"/>
          <w:color w:val="auto"/>
        </w:rPr>
        <w:t>倍计算间距；</w:t>
      </w:r>
    </w:p>
    <w:p w:rsidR="00925AC4" w:rsidRDefault="00285E1E">
      <w:pPr>
        <w:numPr>
          <w:ilvl w:val="0"/>
          <w:numId w:val="54"/>
        </w:numPr>
        <w:ind w:firstLine="560"/>
        <w:rPr>
          <w:rFonts w:ascii="仿宋" w:eastAsia="仿宋" w:hAnsi="仿宋" w:cs="仿宋"/>
          <w:color w:val="auto"/>
        </w:rPr>
      </w:pPr>
      <w:r>
        <w:rPr>
          <w:rFonts w:ascii="仿宋" w:eastAsia="仿宋" w:hAnsi="仿宋" w:cs="仿宋" w:hint="eastAsia"/>
          <w:color w:val="auto"/>
        </w:rPr>
        <w:t>新建和改造的道路，杆管柜以灰色为主；</w:t>
      </w:r>
    </w:p>
    <w:p w:rsidR="00925AC4" w:rsidRDefault="00285E1E">
      <w:pPr>
        <w:numPr>
          <w:ilvl w:val="0"/>
          <w:numId w:val="54"/>
        </w:numPr>
        <w:ind w:firstLine="560"/>
        <w:rPr>
          <w:rFonts w:ascii="仿宋" w:eastAsia="仿宋" w:hAnsi="仿宋" w:cs="仿宋"/>
          <w:color w:val="auto"/>
        </w:rPr>
      </w:pPr>
      <w:r>
        <w:rPr>
          <w:rFonts w:ascii="仿宋" w:eastAsia="仿宋" w:hAnsi="仿宋" w:cs="仿宋" w:hint="eastAsia"/>
          <w:color w:val="auto"/>
        </w:rPr>
        <w:t>人行横道或过街通道的间距应符合以下要求。</w:t>
      </w:r>
    </w:p>
    <w:p w:rsidR="00925AC4" w:rsidRDefault="00285E1E">
      <w:pPr>
        <w:numPr>
          <w:ilvl w:val="0"/>
          <w:numId w:val="55"/>
        </w:numPr>
        <w:ind w:firstLine="560"/>
        <w:rPr>
          <w:rFonts w:ascii="仿宋" w:eastAsia="仿宋" w:hAnsi="仿宋" w:cs="仿宋"/>
          <w:color w:val="auto"/>
        </w:rPr>
      </w:pPr>
      <w:r>
        <w:rPr>
          <w:rFonts w:ascii="仿宋" w:eastAsia="仿宋" w:hAnsi="仿宋" w:cs="仿宋" w:hint="eastAsia"/>
          <w:color w:val="auto"/>
        </w:rPr>
        <w:t>快速路上间距范围</w:t>
      </w:r>
      <w:r>
        <w:rPr>
          <w:rFonts w:ascii="仿宋" w:eastAsia="仿宋" w:hAnsi="仿宋" w:cs="仿宋" w:hint="eastAsia"/>
          <w:color w:val="auto"/>
        </w:rPr>
        <w:t>400</w:t>
      </w:r>
      <w:r>
        <w:rPr>
          <w:rFonts w:ascii="仿宋" w:eastAsia="仿宋" w:hAnsi="仿宋" w:cs="仿宋" w:hint="eastAsia"/>
          <w:color w:val="auto"/>
        </w:rPr>
        <w:t>米—</w:t>
      </w:r>
      <w:r>
        <w:rPr>
          <w:rFonts w:ascii="仿宋" w:eastAsia="仿宋" w:hAnsi="仿宋" w:cs="仿宋" w:hint="eastAsia"/>
          <w:color w:val="auto"/>
        </w:rPr>
        <w:t>700</w:t>
      </w:r>
      <w:r>
        <w:rPr>
          <w:rFonts w:ascii="仿宋" w:eastAsia="仿宋" w:hAnsi="仿宋" w:cs="仿宋" w:hint="eastAsia"/>
          <w:color w:val="auto"/>
        </w:rPr>
        <w:t>米；</w:t>
      </w:r>
    </w:p>
    <w:p w:rsidR="00925AC4" w:rsidRDefault="00285E1E">
      <w:pPr>
        <w:numPr>
          <w:ilvl w:val="0"/>
          <w:numId w:val="55"/>
        </w:numPr>
        <w:ind w:firstLine="560"/>
        <w:rPr>
          <w:rFonts w:ascii="仿宋" w:eastAsia="仿宋" w:hAnsi="仿宋" w:cs="仿宋"/>
          <w:color w:val="auto"/>
        </w:rPr>
      </w:pPr>
      <w:r>
        <w:rPr>
          <w:rFonts w:ascii="仿宋" w:eastAsia="仿宋" w:hAnsi="仿宋" w:cs="仿宋" w:hint="eastAsia"/>
          <w:color w:val="auto"/>
        </w:rPr>
        <w:t>城市一般地区主次干道上间距</w:t>
      </w:r>
      <w:r>
        <w:rPr>
          <w:rFonts w:ascii="仿宋" w:eastAsia="仿宋" w:hAnsi="仿宋" w:cs="仿宋" w:hint="eastAsia"/>
          <w:color w:val="auto"/>
        </w:rPr>
        <w:t>300</w:t>
      </w:r>
      <w:r>
        <w:rPr>
          <w:rFonts w:ascii="仿宋" w:eastAsia="仿宋" w:hAnsi="仿宋" w:cs="仿宋" w:hint="eastAsia"/>
          <w:color w:val="auto"/>
        </w:rPr>
        <w:t>米—</w:t>
      </w:r>
      <w:r>
        <w:rPr>
          <w:rFonts w:ascii="仿宋" w:eastAsia="仿宋" w:hAnsi="仿宋" w:cs="仿宋" w:hint="eastAsia"/>
          <w:color w:val="auto"/>
        </w:rPr>
        <w:t>400</w:t>
      </w:r>
      <w:r>
        <w:rPr>
          <w:rFonts w:ascii="仿宋" w:eastAsia="仿宋" w:hAnsi="仿宋" w:cs="仿宋" w:hint="eastAsia"/>
          <w:color w:val="auto"/>
        </w:rPr>
        <w:t>米；</w:t>
      </w:r>
    </w:p>
    <w:p w:rsidR="00925AC4" w:rsidRDefault="00285E1E">
      <w:pPr>
        <w:numPr>
          <w:ilvl w:val="0"/>
          <w:numId w:val="55"/>
        </w:numPr>
        <w:ind w:firstLine="560"/>
        <w:rPr>
          <w:rFonts w:ascii="仿宋" w:eastAsia="仿宋" w:hAnsi="仿宋" w:cs="仿宋"/>
          <w:color w:val="auto"/>
        </w:rPr>
      </w:pPr>
      <w:r>
        <w:rPr>
          <w:rFonts w:ascii="仿宋" w:eastAsia="仿宋" w:hAnsi="仿宋" w:cs="仿宋" w:hint="eastAsia"/>
          <w:color w:val="auto"/>
        </w:rPr>
        <w:t>城市边缘地区主次干道上间距</w:t>
      </w:r>
      <w:r>
        <w:rPr>
          <w:rFonts w:ascii="仿宋" w:eastAsia="仿宋" w:hAnsi="仿宋" w:cs="仿宋" w:hint="eastAsia"/>
          <w:color w:val="auto"/>
        </w:rPr>
        <w:t>400</w:t>
      </w:r>
      <w:r>
        <w:rPr>
          <w:rFonts w:ascii="仿宋" w:eastAsia="仿宋" w:hAnsi="仿宋" w:cs="仿宋" w:hint="eastAsia"/>
          <w:color w:val="auto"/>
        </w:rPr>
        <w:t>米—</w:t>
      </w:r>
      <w:r>
        <w:rPr>
          <w:rFonts w:ascii="仿宋" w:eastAsia="仿宋" w:hAnsi="仿宋" w:cs="仿宋" w:hint="eastAsia"/>
          <w:color w:val="auto"/>
        </w:rPr>
        <w:t>700</w:t>
      </w:r>
      <w:r>
        <w:rPr>
          <w:rFonts w:ascii="仿宋" w:eastAsia="仿宋" w:hAnsi="仿宋" w:cs="仿宋" w:hint="eastAsia"/>
          <w:color w:val="auto"/>
        </w:rPr>
        <w:t>米；</w:t>
      </w:r>
    </w:p>
    <w:p w:rsidR="00925AC4" w:rsidRDefault="00285E1E">
      <w:pPr>
        <w:numPr>
          <w:ilvl w:val="0"/>
          <w:numId w:val="55"/>
        </w:numPr>
        <w:ind w:firstLine="560"/>
        <w:rPr>
          <w:rFonts w:ascii="仿宋" w:eastAsia="仿宋" w:hAnsi="仿宋" w:cs="仿宋"/>
          <w:color w:val="auto"/>
        </w:rPr>
      </w:pPr>
      <w:r>
        <w:rPr>
          <w:rFonts w:ascii="仿宋" w:eastAsia="仿宋" w:hAnsi="仿宋" w:cs="仿宋" w:hint="eastAsia"/>
          <w:color w:val="auto"/>
        </w:rPr>
        <w:t>区级商业中心主次干道上间距</w:t>
      </w:r>
      <w:r>
        <w:rPr>
          <w:rFonts w:ascii="仿宋" w:eastAsia="仿宋" w:hAnsi="仿宋" w:cs="仿宋" w:hint="eastAsia"/>
          <w:color w:val="auto"/>
        </w:rPr>
        <w:t>150</w:t>
      </w:r>
      <w:r>
        <w:rPr>
          <w:rFonts w:ascii="仿宋" w:eastAsia="仿宋" w:hAnsi="仿宋" w:cs="仿宋" w:hint="eastAsia"/>
          <w:color w:val="auto"/>
        </w:rPr>
        <w:t>米—</w:t>
      </w:r>
      <w:r>
        <w:rPr>
          <w:rFonts w:ascii="仿宋" w:eastAsia="仿宋" w:hAnsi="仿宋" w:cs="仿宋" w:hint="eastAsia"/>
          <w:color w:val="auto"/>
        </w:rPr>
        <w:t>250</w:t>
      </w:r>
      <w:r>
        <w:rPr>
          <w:rFonts w:ascii="仿宋" w:eastAsia="仿宋" w:hAnsi="仿宋" w:cs="仿宋" w:hint="eastAsia"/>
          <w:color w:val="auto"/>
        </w:rPr>
        <w:t>米；</w:t>
      </w:r>
    </w:p>
    <w:p w:rsidR="00925AC4" w:rsidRDefault="00285E1E">
      <w:pPr>
        <w:numPr>
          <w:ilvl w:val="0"/>
          <w:numId w:val="55"/>
        </w:numPr>
        <w:ind w:firstLine="560"/>
        <w:rPr>
          <w:rFonts w:ascii="仿宋" w:eastAsia="仿宋" w:hAnsi="仿宋" w:cs="仿宋"/>
          <w:color w:val="auto"/>
        </w:rPr>
      </w:pPr>
      <w:r>
        <w:rPr>
          <w:rFonts w:ascii="仿宋" w:eastAsia="仿宋" w:hAnsi="仿宋" w:cs="仿宋" w:hint="eastAsia"/>
          <w:color w:val="auto"/>
        </w:rPr>
        <w:t>社区和乡镇商业中心主次干道上间距</w:t>
      </w:r>
      <w:r>
        <w:rPr>
          <w:rFonts w:ascii="仿宋" w:eastAsia="仿宋" w:hAnsi="仿宋" w:cs="仿宋" w:hint="eastAsia"/>
          <w:color w:val="auto"/>
        </w:rPr>
        <w:t>250</w:t>
      </w:r>
      <w:r>
        <w:rPr>
          <w:rFonts w:ascii="仿宋" w:eastAsia="仿宋" w:hAnsi="仿宋" w:cs="仿宋" w:hint="eastAsia"/>
          <w:color w:val="auto"/>
        </w:rPr>
        <w:t>米—</w:t>
      </w:r>
      <w:r>
        <w:rPr>
          <w:rFonts w:ascii="仿宋" w:eastAsia="仿宋" w:hAnsi="仿宋" w:cs="仿宋" w:hint="eastAsia"/>
          <w:color w:val="auto"/>
        </w:rPr>
        <w:t>350</w:t>
      </w:r>
      <w:r>
        <w:rPr>
          <w:rFonts w:ascii="仿宋" w:eastAsia="仿宋" w:hAnsi="仿宋" w:cs="仿宋" w:hint="eastAsia"/>
          <w:color w:val="auto"/>
        </w:rPr>
        <w:t>米。</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规划的区域交通影响评估</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根据四川省工程建设项目审批制度改革实施方案，在各类经济开发区、新区、产业聚集区、特色小镇以及县级以上政府确定的其他区域，除特殊工程和重大工程外，区域内工程建设项目交通影响评价不再单独编报评估评审。交通影响评价改为区域评估，各地在土地出让或划拨前，将相关建设要求告知建设单位。因此，详细规划、专业规划及专项规划阶段，应对规划片区交通影响评价进行区域评估，通过自然资源规划、住房城乡建设、交通运输、公安等部门的并联审查方可实施。</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区域交通影响评价与单体交评相比，区域交通影响评价的用途主要为：</w:t>
      </w:r>
    </w:p>
    <w:p w:rsidR="00925AC4" w:rsidRDefault="00285E1E">
      <w:pPr>
        <w:numPr>
          <w:ilvl w:val="0"/>
          <w:numId w:val="56"/>
        </w:numPr>
        <w:ind w:firstLine="560"/>
        <w:rPr>
          <w:rFonts w:ascii="仿宋" w:eastAsia="仿宋" w:hAnsi="仿宋" w:cs="仿宋"/>
          <w:color w:val="auto"/>
        </w:rPr>
      </w:pPr>
      <w:r>
        <w:rPr>
          <w:rFonts w:ascii="仿宋" w:eastAsia="仿宋" w:hAnsi="仿宋" w:cs="仿宋" w:hint="eastAsia"/>
          <w:color w:val="auto"/>
        </w:rPr>
        <w:t>核算城市道路用地占城市</w:t>
      </w:r>
      <w:r>
        <w:rPr>
          <w:rFonts w:ascii="仿宋" w:eastAsia="仿宋" w:hAnsi="仿宋" w:cs="仿宋" w:hint="eastAsia"/>
          <w:color w:val="auto"/>
        </w:rPr>
        <w:t>建设用地比值和人均道路面积值。其中，城市中心区道路用地面积应占建设用地</w:t>
      </w:r>
      <w:r>
        <w:rPr>
          <w:rFonts w:ascii="仿宋" w:eastAsia="仿宋" w:hAnsi="仿宋" w:cs="仿宋" w:hint="eastAsia"/>
          <w:color w:val="auto"/>
        </w:rPr>
        <w:t>15%</w:t>
      </w:r>
      <w:r>
        <w:rPr>
          <w:rFonts w:ascii="仿宋" w:eastAsia="仿宋" w:hAnsi="仿宋" w:cs="仿宋" w:hint="eastAsia"/>
          <w:color w:val="auto"/>
        </w:rPr>
        <w:t>—</w:t>
      </w:r>
      <w:r>
        <w:rPr>
          <w:rFonts w:ascii="仿宋" w:eastAsia="仿宋" w:hAnsi="仿宋" w:cs="仿宋" w:hint="eastAsia"/>
          <w:color w:val="auto"/>
        </w:rPr>
        <w:t>20%,</w:t>
      </w:r>
      <w:r>
        <w:rPr>
          <w:rFonts w:ascii="仿宋" w:eastAsia="仿宋" w:hAnsi="仿宋" w:cs="仿宋" w:hint="eastAsia"/>
          <w:color w:val="auto"/>
        </w:rPr>
        <w:t>次中心区域宜为</w:t>
      </w:r>
      <w:r>
        <w:rPr>
          <w:rFonts w:ascii="仿宋" w:eastAsia="仿宋" w:hAnsi="仿宋" w:cs="仿宋" w:hint="eastAsia"/>
          <w:color w:val="auto"/>
        </w:rPr>
        <w:t>10%</w:t>
      </w:r>
      <w:r>
        <w:rPr>
          <w:rFonts w:ascii="仿宋" w:eastAsia="仿宋" w:hAnsi="仿宋" w:cs="仿宋" w:hint="eastAsia"/>
          <w:color w:val="auto"/>
        </w:rPr>
        <w:t>—</w:t>
      </w:r>
      <w:r>
        <w:rPr>
          <w:rFonts w:ascii="仿宋" w:eastAsia="仿宋" w:hAnsi="仿宋" w:cs="仿宋" w:hint="eastAsia"/>
          <w:color w:val="auto"/>
        </w:rPr>
        <w:lastRenderedPageBreak/>
        <w:t>15%,</w:t>
      </w:r>
      <w:r>
        <w:rPr>
          <w:rFonts w:ascii="仿宋" w:eastAsia="仿宋" w:hAnsi="仿宋" w:cs="仿宋" w:hint="eastAsia"/>
          <w:color w:val="auto"/>
        </w:rPr>
        <w:t>外围区域宜为</w:t>
      </w:r>
      <w:r>
        <w:rPr>
          <w:rFonts w:ascii="仿宋" w:eastAsia="仿宋" w:hAnsi="仿宋" w:cs="仿宋" w:hint="eastAsia"/>
          <w:color w:val="auto"/>
        </w:rPr>
        <w:t>8%</w:t>
      </w:r>
      <w:r>
        <w:rPr>
          <w:rFonts w:ascii="仿宋" w:eastAsia="仿宋" w:hAnsi="仿宋" w:cs="仿宋" w:hint="eastAsia"/>
          <w:color w:val="auto"/>
        </w:rPr>
        <w:t>—</w:t>
      </w:r>
      <w:r>
        <w:rPr>
          <w:rFonts w:ascii="仿宋" w:eastAsia="仿宋" w:hAnsi="仿宋" w:cs="仿宋" w:hint="eastAsia"/>
          <w:color w:val="auto"/>
        </w:rPr>
        <w:t>15%</w:t>
      </w:r>
      <w:r>
        <w:rPr>
          <w:rFonts w:ascii="仿宋" w:eastAsia="仿宋" w:hAnsi="仿宋" w:cs="仿宋" w:hint="eastAsia"/>
          <w:color w:val="auto"/>
        </w:rPr>
        <w:t>。规划城市人均占道路用地面积的值，城区宜为</w:t>
      </w:r>
      <w:r>
        <w:rPr>
          <w:rFonts w:ascii="仿宋" w:eastAsia="仿宋" w:hAnsi="仿宋" w:cs="仿宋" w:hint="eastAsia"/>
          <w:color w:val="auto"/>
        </w:rPr>
        <w:t>10</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人—</w:t>
      </w:r>
      <w:r>
        <w:rPr>
          <w:rFonts w:ascii="仿宋" w:eastAsia="仿宋" w:hAnsi="仿宋" w:cs="仿宋" w:hint="eastAsia"/>
          <w:color w:val="auto"/>
        </w:rPr>
        <w:t>15</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人，次中心区域宜为</w:t>
      </w:r>
      <w:r>
        <w:rPr>
          <w:rFonts w:ascii="仿宋" w:eastAsia="仿宋" w:hAnsi="仿宋" w:cs="仿宋" w:hint="eastAsia"/>
          <w:color w:val="auto"/>
        </w:rPr>
        <w:t>7</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人—</w:t>
      </w:r>
      <w:r>
        <w:rPr>
          <w:rFonts w:ascii="仿宋" w:eastAsia="仿宋" w:hAnsi="仿宋" w:cs="仿宋" w:hint="eastAsia"/>
          <w:color w:val="auto"/>
        </w:rPr>
        <w:t>15</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人，外围区域宜为</w:t>
      </w:r>
      <w:r>
        <w:rPr>
          <w:rFonts w:ascii="仿宋" w:eastAsia="仿宋" w:hAnsi="仿宋" w:cs="仿宋" w:hint="eastAsia"/>
          <w:color w:val="auto"/>
        </w:rPr>
        <w:t>7</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人—</w:t>
      </w:r>
      <w:r>
        <w:rPr>
          <w:rFonts w:ascii="仿宋" w:eastAsia="仿宋" w:hAnsi="仿宋" w:cs="仿宋" w:hint="eastAsia"/>
          <w:color w:val="auto"/>
        </w:rPr>
        <w:t>10</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人；</w:t>
      </w:r>
    </w:p>
    <w:p w:rsidR="00925AC4" w:rsidRDefault="00285E1E">
      <w:pPr>
        <w:numPr>
          <w:ilvl w:val="0"/>
          <w:numId w:val="56"/>
        </w:numPr>
        <w:ind w:firstLine="560"/>
        <w:rPr>
          <w:rFonts w:ascii="仿宋" w:eastAsia="仿宋" w:hAnsi="仿宋" w:cs="仿宋"/>
          <w:color w:val="auto"/>
        </w:rPr>
      </w:pPr>
      <w:r>
        <w:rPr>
          <w:rFonts w:ascii="仿宋" w:eastAsia="仿宋" w:hAnsi="仿宋" w:cs="仿宋" w:hint="eastAsia"/>
          <w:color w:val="auto"/>
        </w:rPr>
        <w:t>评价目标年区域道路网能否承受计划的土地开发量，并反馈规划等相关部门；同时，该评价应对道路横断面宽度进行校准和控制，为道路方案设计提供依据和参考。在道路控制红线范围内，道路横断面布置形式和车道数可根据道路交通预测</w:t>
      </w:r>
      <w:r>
        <w:rPr>
          <w:rFonts w:ascii="仿宋" w:eastAsia="仿宋" w:hAnsi="仿宋" w:cs="仿宋" w:hint="eastAsia"/>
          <w:color w:val="auto"/>
        </w:rPr>
        <w:t>的结果在方案阶段进一步调整优化；</w:t>
      </w:r>
    </w:p>
    <w:p w:rsidR="00925AC4" w:rsidRDefault="00285E1E">
      <w:pPr>
        <w:numPr>
          <w:ilvl w:val="0"/>
          <w:numId w:val="56"/>
        </w:numPr>
        <w:ind w:firstLine="560"/>
        <w:rPr>
          <w:rFonts w:ascii="仿宋" w:eastAsia="仿宋" w:hAnsi="仿宋" w:cs="仿宋"/>
          <w:color w:val="auto"/>
        </w:rPr>
      </w:pPr>
      <w:r>
        <w:rPr>
          <w:rFonts w:ascii="仿宋" w:eastAsia="仿宋" w:hAnsi="仿宋" w:cs="仿宋" w:hint="eastAsia"/>
          <w:color w:val="auto"/>
        </w:rPr>
        <w:t>在目标年规划的道路交通设施条件下，预测区域内每一地块容许的土地开发量</w:t>
      </w:r>
      <w:r>
        <w:rPr>
          <w:rFonts w:ascii="仿宋" w:eastAsia="仿宋" w:hAnsi="仿宋" w:cs="仿宋" w:hint="eastAsia"/>
          <w:color w:val="auto"/>
        </w:rPr>
        <w:t>(</w:t>
      </w:r>
      <w:r>
        <w:rPr>
          <w:rFonts w:ascii="仿宋" w:eastAsia="仿宋" w:hAnsi="仿宋" w:cs="仿宋" w:hint="eastAsia"/>
          <w:color w:val="auto"/>
        </w:rPr>
        <w:t>交通产生</w:t>
      </w:r>
      <w:r>
        <w:rPr>
          <w:rFonts w:ascii="仿宋" w:eastAsia="仿宋" w:hAnsi="仿宋" w:cs="仿宋" w:hint="eastAsia"/>
          <w:color w:val="auto"/>
        </w:rPr>
        <w:t>/</w:t>
      </w:r>
      <w:r>
        <w:rPr>
          <w:rFonts w:ascii="仿宋" w:eastAsia="仿宋" w:hAnsi="仿宋" w:cs="仿宋" w:hint="eastAsia"/>
          <w:color w:val="auto"/>
        </w:rPr>
        <w:t>吸引量</w:t>
      </w:r>
      <w:r>
        <w:rPr>
          <w:rFonts w:ascii="仿宋" w:eastAsia="仿宋" w:hAnsi="仿宋" w:cs="仿宋" w:hint="eastAsia"/>
          <w:color w:val="auto"/>
        </w:rPr>
        <w:t>)</w:t>
      </w:r>
      <w:r>
        <w:rPr>
          <w:rFonts w:ascii="仿宋" w:eastAsia="仿宋" w:hAnsi="仿宋" w:cs="仿宋" w:hint="eastAsia"/>
          <w:color w:val="auto"/>
        </w:rPr>
        <w:t>及可能的土地开发组合；</w:t>
      </w:r>
    </w:p>
    <w:p w:rsidR="00925AC4" w:rsidRDefault="00285E1E">
      <w:pPr>
        <w:numPr>
          <w:ilvl w:val="0"/>
          <w:numId w:val="56"/>
        </w:numPr>
        <w:ind w:firstLine="560"/>
        <w:rPr>
          <w:rFonts w:ascii="仿宋" w:eastAsia="仿宋" w:hAnsi="仿宋" w:cs="仿宋"/>
          <w:color w:val="auto"/>
        </w:rPr>
      </w:pPr>
      <w:r>
        <w:rPr>
          <w:rFonts w:ascii="仿宋" w:eastAsia="仿宋" w:hAnsi="仿宋" w:cs="仿宋" w:hint="eastAsia"/>
          <w:color w:val="auto"/>
        </w:rPr>
        <w:t>综合考虑区域土地开发的叠加效应，以目标年规划区内和相邻城市骨干道路的通过能力为前提，提出分区域开发控制量和优化的土地开发组合、及其在区内地块间的分布；</w:t>
      </w:r>
    </w:p>
    <w:p w:rsidR="00925AC4" w:rsidRDefault="00285E1E">
      <w:pPr>
        <w:numPr>
          <w:ilvl w:val="0"/>
          <w:numId w:val="56"/>
        </w:numPr>
        <w:ind w:firstLine="560"/>
        <w:rPr>
          <w:rFonts w:ascii="仿宋" w:eastAsia="仿宋" w:hAnsi="仿宋" w:cs="仿宋"/>
          <w:color w:val="auto"/>
        </w:rPr>
      </w:pPr>
      <w:r>
        <w:rPr>
          <w:rFonts w:ascii="仿宋" w:eastAsia="仿宋" w:hAnsi="仿宋" w:cs="仿宋" w:hint="eastAsia"/>
          <w:color w:val="auto"/>
        </w:rPr>
        <w:t>根据区域所处区位和容许土地开发量，测算目标年内区域的可开发程度</w:t>
      </w:r>
      <w:r>
        <w:rPr>
          <w:rFonts w:ascii="仿宋" w:eastAsia="仿宋" w:hAnsi="仿宋" w:cs="仿宋" w:hint="eastAsia"/>
          <w:color w:val="auto"/>
        </w:rPr>
        <w:t>(</w:t>
      </w:r>
      <w:r>
        <w:rPr>
          <w:rFonts w:ascii="仿宋" w:eastAsia="仿宋" w:hAnsi="仿宋" w:cs="仿宋" w:hint="eastAsia"/>
          <w:color w:val="auto"/>
        </w:rPr>
        <w:t>允许开发、适度开发、限制开发</w:t>
      </w:r>
      <w:r>
        <w:rPr>
          <w:rFonts w:ascii="仿宋" w:eastAsia="仿宋" w:hAnsi="仿宋" w:cs="仿宋" w:hint="eastAsia"/>
          <w:color w:val="auto"/>
        </w:rPr>
        <w:t>),</w:t>
      </w:r>
      <w:r>
        <w:rPr>
          <w:rFonts w:ascii="仿宋" w:eastAsia="仿宋" w:hAnsi="仿宋" w:cs="仿宋" w:hint="eastAsia"/>
          <w:color w:val="auto"/>
        </w:rPr>
        <w:t>为区域土地开发审批提供指导意见；</w:t>
      </w:r>
    </w:p>
    <w:p w:rsidR="00925AC4" w:rsidRDefault="00285E1E">
      <w:pPr>
        <w:numPr>
          <w:ilvl w:val="0"/>
          <w:numId w:val="56"/>
        </w:numPr>
        <w:ind w:firstLine="560"/>
        <w:rPr>
          <w:rFonts w:ascii="仿宋" w:eastAsia="仿宋" w:hAnsi="仿宋" w:cs="仿宋"/>
          <w:color w:val="auto"/>
        </w:rPr>
      </w:pPr>
      <w:r>
        <w:rPr>
          <w:rFonts w:ascii="仿宋" w:eastAsia="仿宋" w:hAnsi="仿宋" w:cs="仿宋" w:hint="eastAsia"/>
          <w:color w:val="auto"/>
        </w:rPr>
        <w:t>根据区域交通影响评估的结果，对地块开口方向，出入口位置，坡道共用措施等提出可行性措施</w:t>
      </w:r>
      <w:r>
        <w:rPr>
          <w:rFonts w:ascii="仿宋" w:eastAsia="仿宋" w:hAnsi="仿宋" w:cs="仿宋" w:hint="eastAsia"/>
          <w:color w:val="auto"/>
        </w:rPr>
        <w:t>和规划控制条件。</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道路信息管理系统：</w:t>
      </w:r>
    </w:p>
    <w:p w:rsidR="00925AC4" w:rsidRDefault="00285E1E">
      <w:pPr>
        <w:numPr>
          <w:ilvl w:val="0"/>
          <w:numId w:val="57"/>
        </w:numPr>
        <w:ind w:firstLine="560"/>
        <w:rPr>
          <w:rFonts w:ascii="仿宋" w:eastAsia="仿宋" w:hAnsi="仿宋" w:cs="仿宋"/>
          <w:color w:val="auto"/>
        </w:rPr>
      </w:pPr>
      <w:r>
        <w:rPr>
          <w:rFonts w:ascii="仿宋" w:eastAsia="仿宋" w:hAnsi="仿宋" w:cs="仿宋" w:hint="eastAsia"/>
          <w:color w:val="auto"/>
        </w:rPr>
        <w:t>主城区范围内道路，应分期、分区逐步完善智能道路交通监控和执法系统；</w:t>
      </w:r>
    </w:p>
    <w:p w:rsidR="00925AC4" w:rsidRDefault="00285E1E">
      <w:pPr>
        <w:numPr>
          <w:ilvl w:val="0"/>
          <w:numId w:val="57"/>
        </w:numPr>
        <w:ind w:firstLine="560"/>
        <w:rPr>
          <w:rFonts w:ascii="仿宋" w:eastAsia="仿宋" w:hAnsi="仿宋" w:cs="仿宋"/>
          <w:color w:val="auto"/>
        </w:rPr>
      </w:pPr>
      <w:r>
        <w:rPr>
          <w:rFonts w:ascii="仿宋" w:eastAsia="仿宋" w:hAnsi="仿宋" w:cs="仿宋" w:hint="eastAsia"/>
          <w:color w:val="auto"/>
        </w:rPr>
        <w:t>新规划</w:t>
      </w:r>
      <w:r>
        <w:rPr>
          <w:rFonts w:ascii="仿宋" w:eastAsia="仿宋" w:hAnsi="仿宋" w:cs="仿宋" w:hint="eastAsia"/>
          <w:color w:val="auto"/>
        </w:rPr>
        <w:t>D</w:t>
      </w:r>
      <w:r>
        <w:rPr>
          <w:rFonts w:ascii="仿宋" w:eastAsia="仿宋" w:hAnsi="仿宋" w:cs="仿宋" w:hint="eastAsia"/>
          <w:color w:val="auto"/>
        </w:rPr>
        <w:t>级以上平面交叉路口，应设置交通指示信号系统和人行过街信号系统。并在设计阶段同步考虑接入市交通信号管理平台；</w:t>
      </w:r>
    </w:p>
    <w:p w:rsidR="00925AC4" w:rsidRDefault="00285E1E">
      <w:pPr>
        <w:numPr>
          <w:ilvl w:val="0"/>
          <w:numId w:val="57"/>
        </w:numPr>
        <w:ind w:firstLine="560"/>
        <w:rPr>
          <w:rFonts w:ascii="仿宋" w:eastAsia="仿宋" w:hAnsi="仿宋" w:cs="仿宋"/>
          <w:color w:val="auto"/>
        </w:rPr>
      </w:pPr>
      <w:r>
        <w:rPr>
          <w:rFonts w:ascii="仿宋" w:eastAsia="仿宋" w:hAnsi="仿宋" w:cs="仿宋" w:hint="eastAsia"/>
          <w:color w:val="auto"/>
        </w:rPr>
        <w:t>主城区已形成路网的区域，应进一步完善智能交通控制网络体系。</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auto"/>
        </w:rPr>
        <w:t>交叉口净空管理</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lastRenderedPageBreak/>
        <w:t>城市道路交叉口范围内的规划最小净高应与道路规划最小净高一致，并应根据规划道路通行车辆的类型，按下列规定确定：</w:t>
      </w:r>
    </w:p>
    <w:p w:rsidR="00925AC4" w:rsidRDefault="00285E1E">
      <w:pPr>
        <w:numPr>
          <w:ilvl w:val="0"/>
          <w:numId w:val="58"/>
        </w:numPr>
        <w:ind w:firstLine="560"/>
        <w:rPr>
          <w:rFonts w:ascii="仿宋" w:eastAsia="仿宋" w:hAnsi="仿宋" w:cs="仿宋"/>
          <w:color w:val="auto"/>
        </w:rPr>
      </w:pPr>
      <w:r>
        <w:rPr>
          <w:rFonts w:ascii="仿宋" w:eastAsia="仿宋" w:hAnsi="仿宋" w:cs="仿宋" w:hint="eastAsia"/>
          <w:color w:val="auto"/>
        </w:rPr>
        <w:t>通行一般机动车的道路，规划最小净高应为</w:t>
      </w:r>
      <w:r>
        <w:rPr>
          <w:rFonts w:ascii="仿宋" w:eastAsia="仿宋" w:hAnsi="仿宋" w:cs="仿宋" w:hint="eastAsia"/>
          <w:color w:val="auto"/>
        </w:rPr>
        <w:t>4.5</w:t>
      </w:r>
      <w:r>
        <w:rPr>
          <w:rFonts w:ascii="仿宋" w:eastAsia="仿宋" w:hAnsi="仿宋" w:cs="仿宋" w:hint="eastAsia"/>
          <w:color w:val="auto"/>
        </w:rPr>
        <w:t>米—</w:t>
      </w:r>
      <w:r>
        <w:rPr>
          <w:rFonts w:ascii="仿宋" w:eastAsia="仿宋" w:hAnsi="仿宋" w:cs="仿宋" w:hint="eastAsia"/>
          <w:color w:val="auto"/>
        </w:rPr>
        <w:t>5.0</w:t>
      </w:r>
      <w:r>
        <w:rPr>
          <w:rFonts w:ascii="仿宋" w:eastAsia="仿宋" w:hAnsi="仿宋" w:cs="仿宋" w:hint="eastAsia"/>
          <w:color w:val="auto"/>
        </w:rPr>
        <w:t>米，主干路应为</w:t>
      </w:r>
      <w:r>
        <w:rPr>
          <w:rFonts w:ascii="仿宋" w:eastAsia="仿宋" w:hAnsi="仿宋" w:cs="仿宋" w:hint="eastAsia"/>
          <w:color w:val="auto"/>
        </w:rPr>
        <w:t>5</w:t>
      </w:r>
      <w:r>
        <w:rPr>
          <w:rFonts w:ascii="仿宋" w:eastAsia="仿宋" w:hAnsi="仿宋" w:cs="仿宋" w:hint="eastAsia"/>
          <w:color w:val="auto"/>
        </w:rPr>
        <w:t>米；</w:t>
      </w:r>
    </w:p>
    <w:p w:rsidR="00925AC4" w:rsidRDefault="00285E1E">
      <w:pPr>
        <w:numPr>
          <w:ilvl w:val="0"/>
          <w:numId w:val="58"/>
        </w:numPr>
        <w:ind w:firstLine="560"/>
        <w:rPr>
          <w:rFonts w:ascii="仿宋" w:eastAsia="仿宋" w:hAnsi="仿宋" w:cs="仿宋"/>
          <w:color w:val="auto"/>
        </w:rPr>
      </w:pPr>
      <w:r>
        <w:rPr>
          <w:rFonts w:ascii="仿宋" w:eastAsia="仿宋" w:hAnsi="仿宋" w:cs="仿宋" w:hint="eastAsia"/>
          <w:color w:val="auto"/>
        </w:rPr>
        <w:t>通行超高车辆的道路，规划最</w:t>
      </w:r>
      <w:r>
        <w:rPr>
          <w:rFonts w:ascii="仿宋" w:eastAsia="仿宋" w:hAnsi="仿宋" w:cs="仿宋" w:hint="eastAsia"/>
          <w:color w:val="auto"/>
        </w:rPr>
        <w:t>小净高应根据通行的超高车辆类型确定；</w:t>
      </w:r>
    </w:p>
    <w:p w:rsidR="00925AC4" w:rsidRDefault="00285E1E">
      <w:pPr>
        <w:numPr>
          <w:ilvl w:val="0"/>
          <w:numId w:val="58"/>
        </w:numPr>
        <w:ind w:firstLine="560"/>
        <w:rPr>
          <w:rFonts w:ascii="仿宋" w:eastAsia="仿宋" w:hAnsi="仿宋" w:cs="仿宋"/>
          <w:color w:val="auto"/>
        </w:rPr>
      </w:pPr>
      <w:r>
        <w:rPr>
          <w:rFonts w:ascii="仿宋" w:eastAsia="仿宋" w:hAnsi="仿宋" w:cs="仿宋" w:hint="eastAsia"/>
          <w:color w:val="auto"/>
        </w:rPr>
        <w:t>通行行人和自行车的道路，规划最小净高应为</w:t>
      </w:r>
      <w:r>
        <w:rPr>
          <w:rFonts w:ascii="仿宋" w:eastAsia="仿宋" w:hAnsi="仿宋" w:cs="仿宋" w:hint="eastAsia"/>
          <w:color w:val="auto"/>
        </w:rPr>
        <w:t>2.5</w:t>
      </w:r>
      <w:r>
        <w:rPr>
          <w:rFonts w:ascii="仿宋" w:eastAsia="仿宋" w:hAnsi="仿宋" w:cs="仿宋" w:hint="eastAsia"/>
          <w:color w:val="auto"/>
        </w:rPr>
        <w:t>米；</w:t>
      </w:r>
    </w:p>
    <w:p w:rsidR="00925AC4" w:rsidRDefault="00285E1E">
      <w:pPr>
        <w:numPr>
          <w:ilvl w:val="0"/>
          <w:numId w:val="58"/>
        </w:numPr>
        <w:ind w:firstLine="560"/>
        <w:rPr>
          <w:rFonts w:ascii="仿宋" w:eastAsia="仿宋" w:hAnsi="仿宋" w:cs="仿宋"/>
          <w:color w:val="auto"/>
        </w:rPr>
      </w:pPr>
      <w:r>
        <w:rPr>
          <w:rFonts w:ascii="仿宋" w:eastAsia="仿宋" w:hAnsi="仿宋" w:cs="仿宋" w:hint="eastAsia"/>
          <w:color w:val="auto"/>
        </w:rPr>
        <w:t>当地形条件受到限制时，支路降低规划最小净高须经技术、经济论证，但不得小于</w:t>
      </w:r>
      <w:r>
        <w:rPr>
          <w:rFonts w:ascii="仿宋" w:eastAsia="仿宋" w:hAnsi="仿宋" w:cs="仿宋" w:hint="eastAsia"/>
          <w:color w:val="auto"/>
        </w:rPr>
        <w:t>2.5</w:t>
      </w:r>
      <w:r>
        <w:rPr>
          <w:rFonts w:ascii="仿宋" w:eastAsia="仿宋" w:hAnsi="仿宋" w:cs="仿宋" w:hint="eastAsia"/>
          <w:color w:val="auto"/>
        </w:rPr>
        <w:t>米；当通行公交车辆时，不得小于</w:t>
      </w:r>
      <w:r>
        <w:rPr>
          <w:rFonts w:ascii="仿宋" w:eastAsia="仿宋" w:hAnsi="仿宋" w:cs="仿宋" w:hint="eastAsia"/>
          <w:color w:val="auto"/>
        </w:rPr>
        <w:t>3.5</w:t>
      </w:r>
      <w:r>
        <w:rPr>
          <w:rFonts w:ascii="仿宋" w:eastAsia="仿宋" w:hAnsi="仿宋" w:cs="仿宋" w:hint="eastAsia"/>
          <w:color w:val="auto"/>
        </w:rPr>
        <w:t>米。支路规划最小净高降低后，应保证大于规划净高的车辆有绕行的道路，支路规划最小净高处应采取保护措施。</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货物流通中心</w:t>
      </w:r>
    </w:p>
    <w:p w:rsidR="00925AC4" w:rsidRDefault="00285E1E">
      <w:pPr>
        <w:numPr>
          <w:ilvl w:val="0"/>
          <w:numId w:val="59"/>
        </w:numPr>
        <w:ind w:firstLine="560"/>
        <w:rPr>
          <w:rFonts w:ascii="仿宋" w:eastAsia="仿宋" w:hAnsi="仿宋" w:cs="仿宋"/>
          <w:color w:val="auto"/>
        </w:rPr>
      </w:pPr>
      <w:r>
        <w:rPr>
          <w:rFonts w:ascii="仿宋" w:eastAsia="仿宋" w:hAnsi="仿宋" w:cs="仿宋" w:hint="eastAsia"/>
          <w:color w:val="auto"/>
        </w:rPr>
        <w:t>货运交通规划应组织储、运、销为一体的社会化运输网络；</w:t>
      </w:r>
    </w:p>
    <w:p w:rsidR="00925AC4" w:rsidRDefault="00285E1E">
      <w:pPr>
        <w:numPr>
          <w:ilvl w:val="0"/>
          <w:numId w:val="59"/>
        </w:numPr>
        <w:ind w:firstLine="560"/>
        <w:rPr>
          <w:rFonts w:ascii="仿宋" w:eastAsia="仿宋" w:hAnsi="仿宋" w:cs="仿宋"/>
          <w:color w:val="auto"/>
        </w:rPr>
      </w:pPr>
      <w:r>
        <w:rPr>
          <w:rFonts w:ascii="仿宋" w:eastAsia="仿宋" w:hAnsi="仿宋" w:cs="仿宋" w:hint="eastAsia"/>
          <w:color w:val="auto"/>
        </w:rPr>
        <w:t>货物流通中心用地总面积不宜大于城市规划用地总面积的</w:t>
      </w:r>
      <w:r>
        <w:rPr>
          <w:rFonts w:ascii="仿宋" w:eastAsia="仿宋" w:hAnsi="仿宋" w:cs="仿宋" w:hint="eastAsia"/>
          <w:color w:val="auto"/>
        </w:rPr>
        <w:t>2%;</w:t>
      </w:r>
    </w:p>
    <w:p w:rsidR="00925AC4" w:rsidRDefault="00285E1E">
      <w:pPr>
        <w:numPr>
          <w:ilvl w:val="0"/>
          <w:numId w:val="59"/>
        </w:numPr>
        <w:ind w:firstLine="560"/>
        <w:rPr>
          <w:rFonts w:ascii="仿宋" w:eastAsia="仿宋" w:hAnsi="仿宋" w:cs="仿宋"/>
          <w:color w:val="auto"/>
        </w:rPr>
      </w:pPr>
      <w:r>
        <w:rPr>
          <w:rFonts w:ascii="仿宋" w:eastAsia="仿宋" w:hAnsi="仿宋" w:cs="仿宋" w:hint="eastAsia"/>
          <w:color w:val="auto"/>
        </w:rPr>
        <w:t>市域中心城市、区域性中心城市的地区性货物流通中心应布置在城市边缘地区，其数量不宜少于两处；每处用地面积宜为</w:t>
      </w:r>
      <w:r>
        <w:rPr>
          <w:rFonts w:ascii="仿宋" w:eastAsia="仿宋" w:hAnsi="仿宋" w:cs="仿宋" w:hint="eastAsia"/>
          <w:color w:val="auto"/>
        </w:rPr>
        <w:t>50</w:t>
      </w:r>
      <w:r>
        <w:rPr>
          <w:rFonts w:ascii="仿宋" w:eastAsia="仿宋" w:hAnsi="仿宋" w:cs="仿宋" w:hint="eastAsia"/>
          <w:color w:val="auto"/>
        </w:rPr>
        <w:t>万平方米—</w:t>
      </w:r>
      <w:r>
        <w:rPr>
          <w:rFonts w:ascii="仿宋" w:eastAsia="仿宋" w:hAnsi="仿宋" w:cs="仿宋" w:hint="eastAsia"/>
          <w:color w:val="auto"/>
        </w:rPr>
        <w:t>60</w:t>
      </w:r>
      <w:r>
        <w:rPr>
          <w:rFonts w:ascii="仿宋" w:eastAsia="仿宋" w:hAnsi="仿宋" w:cs="仿宋" w:hint="eastAsia"/>
          <w:color w:val="auto"/>
        </w:rPr>
        <w:t>万平方米。次区域性中心城市、镇货物流通中心的数量和规模宜根据实际货运需要确定；</w:t>
      </w:r>
    </w:p>
    <w:p w:rsidR="00925AC4" w:rsidRDefault="00285E1E">
      <w:pPr>
        <w:numPr>
          <w:ilvl w:val="0"/>
          <w:numId w:val="59"/>
        </w:numPr>
        <w:ind w:firstLine="560"/>
        <w:rPr>
          <w:rFonts w:ascii="仿宋" w:eastAsia="仿宋" w:hAnsi="仿宋" w:cs="仿宋"/>
          <w:color w:val="auto"/>
        </w:rPr>
      </w:pPr>
      <w:r>
        <w:rPr>
          <w:rFonts w:ascii="仿宋" w:eastAsia="仿宋" w:hAnsi="仿宋" w:cs="仿宋" w:hint="eastAsia"/>
          <w:color w:val="auto"/>
        </w:rPr>
        <w:t>综合物流基地应结合城市对外交通枢纽布置，其用地规模应根据储运货物的工作量计算确定；</w:t>
      </w:r>
    </w:p>
    <w:p w:rsidR="00925AC4" w:rsidRDefault="00285E1E">
      <w:pPr>
        <w:numPr>
          <w:ilvl w:val="0"/>
          <w:numId w:val="59"/>
        </w:numPr>
        <w:ind w:firstLine="560"/>
        <w:rPr>
          <w:rFonts w:ascii="仿宋" w:eastAsia="仿宋" w:hAnsi="仿宋" w:cs="仿宋"/>
          <w:color w:val="0000FF"/>
        </w:rPr>
      </w:pPr>
      <w:bookmarkStart w:id="54" w:name="_bookmark12"/>
      <w:bookmarkEnd w:id="54"/>
      <w:r>
        <w:rPr>
          <w:rFonts w:ascii="仿宋" w:eastAsia="仿宋" w:hAnsi="仿宋" w:cs="仿宋" w:hint="eastAsia"/>
          <w:color w:val="auto"/>
        </w:rPr>
        <w:t>综合物流区应依托交通，并服务于各自所在片区，满足城市生产生活需要布置，其用地规模应根据其服务的人口数量计算确定。</w:t>
      </w:r>
    </w:p>
    <w:p w:rsidR="00925AC4" w:rsidRDefault="00285E1E">
      <w:pPr>
        <w:numPr>
          <w:ilvl w:val="0"/>
          <w:numId w:val="46"/>
        </w:numPr>
        <w:ind w:firstLine="560"/>
        <w:rPr>
          <w:rFonts w:ascii="仿宋" w:eastAsia="仿宋" w:hAnsi="仿宋" w:cs="仿宋"/>
          <w:color w:val="auto"/>
        </w:rPr>
      </w:pPr>
      <w:r>
        <w:rPr>
          <w:rFonts w:ascii="仿宋" w:eastAsia="仿宋" w:hAnsi="仿宋" w:cs="仿宋" w:hint="eastAsia"/>
          <w:color w:val="0000FF"/>
        </w:rPr>
        <w:t xml:space="preserve"> </w:t>
      </w:r>
      <w:r>
        <w:rPr>
          <w:rFonts w:ascii="仿宋" w:eastAsia="仿宋" w:hAnsi="仿宋" w:cs="仿宋" w:hint="eastAsia"/>
          <w:color w:val="auto"/>
        </w:rPr>
        <w:t>城市道路竖向控制应符合下列规定：</w:t>
      </w:r>
    </w:p>
    <w:p w:rsidR="00925AC4" w:rsidRDefault="00285E1E">
      <w:pPr>
        <w:numPr>
          <w:ilvl w:val="0"/>
          <w:numId w:val="60"/>
        </w:numPr>
        <w:ind w:firstLine="560"/>
        <w:rPr>
          <w:rFonts w:ascii="仿宋" w:eastAsia="仿宋" w:hAnsi="仿宋" w:cs="仿宋"/>
          <w:color w:val="auto"/>
          <w:szCs w:val="33"/>
        </w:rPr>
      </w:pPr>
      <w:r>
        <w:rPr>
          <w:rFonts w:ascii="仿宋" w:eastAsia="仿宋" w:hAnsi="仿宋" w:cs="仿宋" w:hint="eastAsia"/>
          <w:color w:val="auto"/>
        </w:rPr>
        <w:t>道路竖向控制应符合国家相关规范要求，并应统筹考虑道路平面线形、已建道路、沿线建筑、河道防洪等多种因素；</w:t>
      </w:r>
    </w:p>
    <w:p w:rsidR="00925AC4" w:rsidRDefault="00285E1E">
      <w:pPr>
        <w:numPr>
          <w:ilvl w:val="0"/>
          <w:numId w:val="60"/>
        </w:numPr>
        <w:ind w:firstLine="560"/>
        <w:rPr>
          <w:rFonts w:ascii="仿宋" w:eastAsia="仿宋" w:hAnsi="仿宋" w:cs="仿宋"/>
          <w:color w:val="auto"/>
          <w:szCs w:val="33"/>
        </w:rPr>
      </w:pPr>
      <w:r>
        <w:rPr>
          <w:rFonts w:ascii="仿宋" w:eastAsia="仿宋" w:hAnsi="仿宋" w:cs="仿宋" w:hint="eastAsia"/>
          <w:color w:val="auto"/>
        </w:rPr>
        <w:lastRenderedPageBreak/>
        <w:t>道路竖向控制应综合考虑地形地貌、工程地质条件、管线埋设覆土等要求。</w:t>
      </w:r>
    </w:p>
    <w:p w:rsidR="00925AC4" w:rsidRDefault="00285E1E" w:rsidP="008E7712">
      <w:pPr>
        <w:pStyle w:val="2"/>
        <w:numPr>
          <w:ilvl w:val="0"/>
          <w:numId w:val="45"/>
        </w:numPr>
        <w:ind w:firstLine="562"/>
        <w:rPr>
          <w:rFonts w:ascii="仿宋" w:eastAsia="仿宋" w:hAnsi="仿宋" w:cs="仿宋"/>
          <w:color w:val="auto"/>
          <w:sz w:val="28"/>
          <w:szCs w:val="28"/>
        </w:rPr>
      </w:pPr>
      <w:r>
        <w:rPr>
          <w:rFonts w:ascii="仿宋" w:eastAsia="仿宋" w:hAnsi="仿宋" w:cs="仿宋" w:hint="eastAsia"/>
          <w:color w:val="0000FF"/>
          <w:sz w:val="28"/>
          <w:szCs w:val="28"/>
        </w:rPr>
        <w:t xml:space="preserve"> </w:t>
      </w:r>
      <w:bookmarkStart w:id="55" w:name="_Toc14106"/>
      <w:r>
        <w:rPr>
          <w:rFonts w:ascii="仿宋" w:eastAsia="仿宋" w:hAnsi="仿宋" w:cs="仿宋" w:hint="eastAsia"/>
          <w:color w:val="auto"/>
          <w:sz w:val="28"/>
          <w:szCs w:val="28"/>
        </w:rPr>
        <w:t>市政工程规划管理</w:t>
      </w:r>
      <w:bookmarkEnd w:id="55"/>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城市市政及公用设施主要包括给水、雨水、污水、燃气、电力、通讯、有线电视等各种地下管线、架空线及其相关设施，其规划建设必须符合相应的专业技术规范规定。</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城区管线工程规划和城市综合管廊建设应与城区道路发展规划相协调，沿城市道路设置的管线宜进入城市综合管廊或采取地埋的方式进行敷设，老城区地块改造时应将现有架空杆线改为地下敷设</w:t>
      </w:r>
      <w:r>
        <w:rPr>
          <w:rFonts w:ascii="仿宋" w:eastAsia="仿宋" w:hAnsi="仿宋" w:cs="仿宋" w:hint="eastAsia"/>
          <w:color w:val="auto"/>
        </w:rPr>
        <w:t>。</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城市排水应采用雨污分流制；对已形成合流的建成区和一些情况比较特殊的城区，可采用合流制或截留式合流制，但应预留远期分流的条件。</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市政道路、城市公园绿地建设应落实海绵城市理念，雨水管道的设计应尽量考虑雨水收集调蓄回收利用或自流排水，并充分利用河流、沟渠等自然水体。</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自然水体不应盖板，确需盖板的必须进行论证并经相关部门批准。</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新建、改建、扩建建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筑物的基础与现有燃气、给水、排水管道</w:t>
      </w:r>
      <w:r>
        <w:rPr>
          <w:rFonts w:ascii="仿宋" w:eastAsia="仿宋" w:hAnsi="仿宋" w:cs="仿宋" w:hint="eastAsia"/>
          <w:color w:val="auto"/>
        </w:rPr>
        <w:t>(</w:t>
      </w:r>
      <w:r>
        <w:rPr>
          <w:rFonts w:ascii="仿宋" w:eastAsia="仿宋" w:hAnsi="仿宋" w:cs="仿宋" w:hint="eastAsia"/>
          <w:color w:val="auto"/>
        </w:rPr>
        <w:t>沟</w:t>
      </w:r>
      <w:r>
        <w:rPr>
          <w:rFonts w:ascii="仿宋" w:eastAsia="仿宋" w:hAnsi="仿宋" w:cs="仿宋" w:hint="eastAsia"/>
          <w:color w:val="auto"/>
        </w:rPr>
        <w:t>)</w:t>
      </w:r>
      <w:r>
        <w:rPr>
          <w:rFonts w:ascii="仿宋" w:eastAsia="仿宋" w:hAnsi="仿宋" w:cs="仿宋" w:hint="eastAsia"/>
          <w:color w:val="auto"/>
        </w:rPr>
        <w:t>的净距不应小于</w:t>
      </w:r>
      <w:r>
        <w:rPr>
          <w:rFonts w:ascii="仿宋" w:eastAsia="仿宋" w:hAnsi="仿宋" w:cs="仿宋" w:hint="eastAsia"/>
          <w:color w:val="auto"/>
        </w:rPr>
        <w:t>3</w:t>
      </w:r>
      <w:r>
        <w:rPr>
          <w:rFonts w:ascii="仿宋" w:eastAsia="仿宋" w:hAnsi="仿宋" w:cs="仿宋" w:hint="eastAsia"/>
          <w:color w:val="auto"/>
        </w:rPr>
        <w:t>米；与已有的电力电缆或其管沟、通信电缆或其管沟的净距不应小于</w:t>
      </w:r>
      <w:r>
        <w:rPr>
          <w:rFonts w:ascii="仿宋" w:eastAsia="仿宋" w:hAnsi="仿宋" w:cs="仿宋" w:hint="eastAsia"/>
          <w:color w:val="auto"/>
        </w:rPr>
        <w:t>1.5</w:t>
      </w:r>
      <w:r>
        <w:rPr>
          <w:rFonts w:ascii="仿宋" w:eastAsia="仿宋" w:hAnsi="仿宋" w:cs="仿宋" w:hint="eastAsia"/>
          <w:color w:val="auto"/>
        </w:rPr>
        <w:t>米。</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架空电力线路</w:t>
      </w:r>
    </w:p>
    <w:p w:rsidR="00925AC4" w:rsidRDefault="00285E1E">
      <w:pPr>
        <w:numPr>
          <w:ilvl w:val="0"/>
          <w:numId w:val="62"/>
        </w:numPr>
        <w:ind w:firstLine="560"/>
        <w:rPr>
          <w:rFonts w:ascii="仿宋" w:eastAsia="仿宋" w:hAnsi="仿宋" w:cs="仿宋"/>
          <w:color w:val="auto"/>
        </w:rPr>
      </w:pPr>
      <w:r>
        <w:rPr>
          <w:rFonts w:ascii="仿宋" w:eastAsia="仿宋" w:hAnsi="仿宋" w:cs="仿宋" w:hint="eastAsia"/>
          <w:color w:val="auto"/>
        </w:rPr>
        <w:t>新建、改建、扩建建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筑物与架空电力线的最小水平距离，在符合有关法律法规规定及技术规范的前提下，与档距小于或者等于</w:t>
      </w:r>
      <w:r>
        <w:rPr>
          <w:rFonts w:ascii="仿宋" w:eastAsia="仿宋" w:hAnsi="仿宋" w:cs="仿宋" w:hint="eastAsia"/>
          <w:color w:val="auto"/>
        </w:rPr>
        <w:t>200</w:t>
      </w:r>
      <w:r>
        <w:rPr>
          <w:rFonts w:ascii="仿宋" w:eastAsia="仿宋" w:hAnsi="仿宋" w:cs="仿宋" w:hint="eastAsia"/>
          <w:color w:val="auto"/>
        </w:rPr>
        <w:t>米的已有</w:t>
      </w:r>
      <w:r>
        <w:rPr>
          <w:rFonts w:ascii="仿宋" w:eastAsia="仿宋" w:hAnsi="仿宋" w:cs="仿宋" w:hint="eastAsia"/>
          <w:color w:val="auto"/>
        </w:rPr>
        <w:t>220</w:t>
      </w:r>
      <w:r>
        <w:rPr>
          <w:rFonts w:ascii="仿宋" w:eastAsia="仿宋" w:hAnsi="仿宋" w:cs="仿宋" w:hint="eastAsia"/>
          <w:color w:val="auto"/>
        </w:rPr>
        <w:t>千伏及其以下电压等级架空电力线边导线间的最小水平距离应遵循以下规定：</w:t>
      </w:r>
    </w:p>
    <w:p w:rsidR="00925AC4" w:rsidRDefault="00285E1E">
      <w:pPr>
        <w:numPr>
          <w:ilvl w:val="0"/>
          <w:numId w:val="63"/>
        </w:numPr>
        <w:ind w:firstLine="560"/>
        <w:rPr>
          <w:rFonts w:ascii="仿宋" w:eastAsia="仿宋" w:hAnsi="仿宋" w:cs="仿宋"/>
          <w:color w:val="auto"/>
        </w:rPr>
      </w:pPr>
      <w:r>
        <w:rPr>
          <w:rFonts w:ascii="仿宋" w:eastAsia="仿宋" w:hAnsi="仿宋" w:cs="仿宋" w:hint="eastAsia"/>
          <w:color w:val="auto"/>
        </w:rPr>
        <w:t>1</w:t>
      </w:r>
      <w:r>
        <w:rPr>
          <w:rFonts w:ascii="仿宋" w:eastAsia="仿宋" w:hAnsi="仿宋" w:cs="仿宋" w:hint="eastAsia"/>
          <w:color w:val="auto"/>
        </w:rPr>
        <w:t>千伏至</w:t>
      </w:r>
      <w:r>
        <w:rPr>
          <w:rFonts w:ascii="仿宋" w:eastAsia="仿宋" w:hAnsi="仿宋" w:cs="仿宋" w:hint="eastAsia"/>
          <w:color w:val="auto"/>
        </w:rPr>
        <w:t>10</w:t>
      </w:r>
      <w:r>
        <w:rPr>
          <w:rFonts w:ascii="仿宋" w:eastAsia="仿宋" w:hAnsi="仿宋" w:cs="仿宋" w:hint="eastAsia"/>
          <w:color w:val="auto"/>
        </w:rPr>
        <w:t>千伏</w:t>
      </w:r>
      <w:r>
        <w:rPr>
          <w:rFonts w:ascii="仿宋" w:eastAsia="仿宋" w:hAnsi="仿宋" w:cs="仿宋" w:hint="eastAsia"/>
          <w:color w:val="auto"/>
        </w:rPr>
        <w:t>的</w:t>
      </w:r>
      <w:r>
        <w:rPr>
          <w:rFonts w:ascii="仿宋" w:eastAsia="仿宋" w:hAnsi="仿宋" w:cs="仿宋" w:hint="eastAsia"/>
          <w:color w:val="auto"/>
        </w:rPr>
        <w:t>，不小于</w:t>
      </w:r>
      <w:r>
        <w:rPr>
          <w:rFonts w:ascii="仿宋" w:eastAsia="仿宋" w:hAnsi="仿宋" w:cs="仿宋" w:hint="eastAsia"/>
          <w:color w:val="auto"/>
        </w:rPr>
        <w:t>5</w:t>
      </w:r>
      <w:r>
        <w:rPr>
          <w:rFonts w:ascii="仿宋" w:eastAsia="仿宋" w:hAnsi="仿宋" w:cs="仿宋" w:hint="eastAsia"/>
          <w:color w:val="auto"/>
        </w:rPr>
        <w:t>米；</w:t>
      </w:r>
    </w:p>
    <w:p w:rsidR="00925AC4" w:rsidRDefault="00285E1E">
      <w:pPr>
        <w:numPr>
          <w:ilvl w:val="0"/>
          <w:numId w:val="63"/>
        </w:numPr>
        <w:ind w:firstLine="560"/>
        <w:rPr>
          <w:rFonts w:ascii="仿宋" w:eastAsia="仿宋" w:hAnsi="仿宋" w:cs="仿宋"/>
          <w:color w:val="auto"/>
        </w:rPr>
      </w:pPr>
      <w:r>
        <w:rPr>
          <w:rFonts w:ascii="仿宋" w:eastAsia="仿宋" w:hAnsi="仿宋" w:cs="仿宋" w:hint="eastAsia"/>
          <w:color w:val="auto"/>
        </w:rPr>
        <w:lastRenderedPageBreak/>
        <w:t>35</w:t>
      </w:r>
      <w:r>
        <w:rPr>
          <w:rFonts w:ascii="仿宋" w:eastAsia="仿宋" w:hAnsi="仿宋" w:cs="仿宋" w:hint="eastAsia"/>
          <w:color w:val="auto"/>
        </w:rPr>
        <w:t>千伏</w:t>
      </w:r>
      <w:r>
        <w:rPr>
          <w:rFonts w:ascii="仿宋" w:eastAsia="仿宋" w:hAnsi="仿宋" w:cs="仿宋" w:hint="eastAsia"/>
          <w:color w:val="auto"/>
        </w:rPr>
        <w:t>至</w:t>
      </w:r>
      <w:r>
        <w:rPr>
          <w:rFonts w:ascii="仿宋" w:eastAsia="仿宋" w:hAnsi="仿宋" w:cs="仿宋" w:hint="eastAsia"/>
          <w:color w:val="auto"/>
        </w:rPr>
        <w:t>110</w:t>
      </w:r>
      <w:r>
        <w:rPr>
          <w:rFonts w:ascii="仿宋" w:eastAsia="仿宋" w:hAnsi="仿宋" w:cs="仿宋" w:hint="eastAsia"/>
          <w:color w:val="auto"/>
        </w:rPr>
        <w:t>千伏</w:t>
      </w:r>
      <w:r>
        <w:rPr>
          <w:rFonts w:ascii="仿宋" w:eastAsia="仿宋" w:hAnsi="仿宋" w:cs="仿宋" w:hint="eastAsia"/>
          <w:color w:val="auto"/>
        </w:rPr>
        <w:t>的</w:t>
      </w:r>
      <w:r>
        <w:rPr>
          <w:rFonts w:ascii="仿宋" w:eastAsia="仿宋" w:hAnsi="仿宋" w:cs="仿宋" w:hint="eastAsia"/>
          <w:color w:val="auto"/>
        </w:rPr>
        <w:t>，不小于</w:t>
      </w:r>
      <w:r>
        <w:rPr>
          <w:rFonts w:ascii="仿宋" w:eastAsia="仿宋" w:hAnsi="仿宋" w:cs="仿宋" w:hint="eastAsia"/>
          <w:color w:val="auto"/>
        </w:rPr>
        <w:t>10</w:t>
      </w:r>
      <w:r>
        <w:rPr>
          <w:rFonts w:ascii="仿宋" w:eastAsia="仿宋" w:hAnsi="仿宋" w:cs="仿宋" w:hint="eastAsia"/>
          <w:color w:val="auto"/>
        </w:rPr>
        <w:t>米；</w:t>
      </w:r>
    </w:p>
    <w:p w:rsidR="00925AC4" w:rsidRDefault="00285E1E">
      <w:pPr>
        <w:numPr>
          <w:ilvl w:val="0"/>
          <w:numId w:val="63"/>
        </w:numPr>
        <w:ind w:firstLine="560"/>
        <w:rPr>
          <w:rFonts w:ascii="仿宋" w:eastAsia="仿宋" w:hAnsi="仿宋" w:cs="仿宋"/>
          <w:color w:val="auto"/>
        </w:rPr>
      </w:pPr>
      <w:r>
        <w:rPr>
          <w:rFonts w:ascii="仿宋" w:eastAsia="仿宋" w:hAnsi="仿宋" w:cs="仿宋" w:hint="eastAsia"/>
          <w:color w:val="auto"/>
        </w:rPr>
        <w:t>220</w:t>
      </w:r>
      <w:r>
        <w:rPr>
          <w:rFonts w:ascii="仿宋" w:eastAsia="仿宋" w:hAnsi="仿宋" w:cs="仿宋" w:hint="eastAsia"/>
          <w:color w:val="auto"/>
        </w:rPr>
        <w:t>千伏</w:t>
      </w:r>
      <w:r>
        <w:rPr>
          <w:rFonts w:ascii="仿宋" w:eastAsia="仿宋" w:hAnsi="仿宋" w:cs="仿宋" w:hint="eastAsia"/>
          <w:color w:val="auto"/>
        </w:rPr>
        <w:t>的，</w:t>
      </w:r>
      <w:r>
        <w:rPr>
          <w:rFonts w:ascii="仿宋" w:eastAsia="仿宋" w:hAnsi="仿宋" w:cs="仿宋" w:hint="eastAsia"/>
          <w:color w:val="auto"/>
        </w:rPr>
        <w:t>不小于</w:t>
      </w:r>
      <w:r>
        <w:rPr>
          <w:rFonts w:ascii="仿宋" w:eastAsia="仿宋" w:hAnsi="仿宋" w:cs="仿宋" w:hint="eastAsia"/>
          <w:color w:val="auto"/>
        </w:rPr>
        <w:t>15</w:t>
      </w:r>
      <w:r>
        <w:rPr>
          <w:rFonts w:ascii="仿宋" w:eastAsia="仿宋" w:hAnsi="仿宋" w:cs="仿宋" w:hint="eastAsia"/>
          <w:color w:val="auto"/>
        </w:rPr>
        <w:t>米</w:t>
      </w:r>
      <w:r>
        <w:rPr>
          <w:rFonts w:ascii="仿宋" w:eastAsia="仿宋" w:hAnsi="仿宋" w:cs="仿宋" w:hint="eastAsia"/>
          <w:color w:val="auto"/>
        </w:rPr>
        <w:t>；</w:t>
      </w:r>
    </w:p>
    <w:p w:rsidR="00925AC4" w:rsidRDefault="00285E1E">
      <w:pPr>
        <w:numPr>
          <w:ilvl w:val="0"/>
          <w:numId w:val="63"/>
        </w:numPr>
        <w:ind w:firstLine="560"/>
        <w:rPr>
          <w:rFonts w:ascii="仿宋" w:eastAsia="仿宋" w:hAnsi="仿宋" w:cs="仿宋"/>
          <w:color w:val="auto"/>
        </w:rPr>
      </w:pPr>
      <w:r>
        <w:rPr>
          <w:rFonts w:ascii="仿宋" w:eastAsia="仿宋" w:hAnsi="仿宋" w:cs="仿宋" w:hint="eastAsia"/>
          <w:color w:val="auto"/>
        </w:rPr>
        <w:t>500</w:t>
      </w:r>
      <w:r>
        <w:rPr>
          <w:rFonts w:ascii="仿宋" w:eastAsia="仿宋" w:hAnsi="仿宋" w:cs="仿宋" w:hint="eastAsia"/>
          <w:color w:val="auto"/>
        </w:rPr>
        <w:t>千伏的，不小于</w:t>
      </w:r>
      <w:r>
        <w:rPr>
          <w:rFonts w:ascii="仿宋" w:eastAsia="仿宋" w:hAnsi="仿宋" w:cs="仿宋" w:hint="eastAsia"/>
          <w:color w:val="auto"/>
        </w:rPr>
        <w:t>30</w:t>
      </w:r>
      <w:r>
        <w:rPr>
          <w:rFonts w:ascii="仿宋" w:eastAsia="仿宋" w:hAnsi="仿宋" w:cs="仿宋" w:hint="eastAsia"/>
          <w:color w:val="auto"/>
        </w:rPr>
        <w:t>米；</w:t>
      </w:r>
    </w:p>
    <w:p w:rsidR="00925AC4" w:rsidRDefault="00285E1E">
      <w:pPr>
        <w:numPr>
          <w:ilvl w:val="0"/>
          <w:numId w:val="63"/>
        </w:numPr>
        <w:ind w:firstLine="560"/>
        <w:rPr>
          <w:rFonts w:ascii="仿宋" w:eastAsia="仿宋" w:hAnsi="仿宋" w:cs="仿宋"/>
          <w:color w:val="auto"/>
        </w:rPr>
      </w:pPr>
      <w:r>
        <w:rPr>
          <w:rFonts w:ascii="仿宋" w:eastAsia="仿宋" w:hAnsi="仿宋" w:cs="仿宋" w:hint="eastAsia"/>
          <w:color w:val="auto"/>
        </w:rPr>
        <w:t>超过</w:t>
      </w:r>
      <w:r>
        <w:rPr>
          <w:rFonts w:ascii="仿宋" w:eastAsia="仿宋" w:hAnsi="仿宋" w:cs="仿宋" w:hint="eastAsia"/>
          <w:color w:val="auto"/>
        </w:rPr>
        <w:t>500</w:t>
      </w:r>
      <w:r>
        <w:rPr>
          <w:rFonts w:ascii="仿宋" w:eastAsia="仿宋" w:hAnsi="仿宋" w:cs="仿宋" w:hint="eastAsia"/>
          <w:color w:val="auto"/>
        </w:rPr>
        <w:t>千伏的，应当经专题论证确定</w:t>
      </w:r>
      <w:r>
        <w:rPr>
          <w:rFonts w:ascii="仿宋" w:eastAsia="仿宋" w:hAnsi="仿宋" w:cs="仿宋" w:hint="eastAsia"/>
          <w:color w:val="auto"/>
        </w:rPr>
        <w:t>。</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建筑与档距大于</w:t>
      </w:r>
      <w:r>
        <w:rPr>
          <w:rFonts w:ascii="仿宋" w:eastAsia="仿宋" w:hAnsi="仿宋" w:cs="仿宋" w:hint="eastAsia"/>
          <w:color w:val="auto"/>
        </w:rPr>
        <w:t>200</w:t>
      </w:r>
      <w:r>
        <w:rPr>
          <w:rFonts w:ascii="仿宋" w:eastAsia="仿宋" w:hAnsi="仿宋" w:cs="仿宋" w:hint="eastAsia"/>
          <w:color w:val="auto"/>
        </w:rPr>
        <w:t>米的架空电力线边导线间的最小水平距离，除满足上述规定外，还应当征求电力主管部门意见。</w:t>
      </w:r>
    </w:p>
    <w:p w:rsidR="00925AC4" w:rsidRDefault="00285E1E">
      <w:pPr>
        <w:numPr>
          <w:ilvl w:val="0"/>
          <w:numId w:val="62"/>
        </w:numPr>
        <w:ind w:firstLine="560"/>
        <w:rPr>
          <w:rFonts w:ascii="仿宋" w:eastAsia="仿宋" w:hAnsi="仿宋" w:cs="仿宋"/>
          <w:color w:val="auto"/>
        </w:rPr>
      </w:pPr>
      <w:r>
        <w:rPr>
          <w:rFonts w:ascii="仿宋" w:eastAsia="仿宋" w:hAnsi="仿宋" w:cs="仿宋" w:hint="eastAsia"/>
          <w:color w:val="auto"/>
        </w:rPr>
        <w:t>在建筑密集区，确实无法达到前项规定的，经自然资源和规划行政主管部门及相关部门批准，建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筑物的外边线与已有架空电力线边导线的最小水平距离可以适当缩减，在考虑最大风偏距离情况下，</w:t>
      </w:r>
      <w:r>
        <w:rPr>
          <w:rFonts w:ascii="仿宋" w:eastAsia="仿宋" w:hAnsi="仿宋" w:cs="仿宋" w:hint="eastAsia"/>
          <w:color w:val="auto"/>
        </w:rPr>
        <w:t>10</w:t>
      </w:r>
      <w:r>
        <w:rPr>
          <w:rFonts w:ascii="仿宋" w:eastAsia="仿宋" w:hAnsi="仿宋" w:cs="仿宋" w:hint="eastAsia"/>
          <w:color w:val="auto"/>
        </w:rPr>
        <w:t>千伏的不得小于</w:t>
      </w:r>
      <w:r>
        <w:rPr>
          <w:rFonts w:ascii="仿宋" w:eastAsia="仿宋" w:hAnsi="仿宋" w:cs="仿宋" w:hint="eastAsia"/>
          <w:color w:val="auto"/>
        </w:rPr>
        <w:t>3</w:t>
      </w:r>
      <w:r>
        <w:rPr>
          <w:rFonts w:ascii="仿宋" w:eastAsia="仿宋" w:hAnsi="仿宋" w:cs="仿宋" w:hint="eastAsia"/>
          <w:color w:val="auto"/>
        </w:rPr>
        <w:t>米；</w:t>
      </w:r>
      <w:r>
        <w:rPr>
          <w:rFonts w:ascii="仿宋" w:eastAsia="仿宋" w:hAnsi="仿宋" w:cs="仿宋" w:hint="eastAsia"/>
          <w:color w:val="auto"/>
        </w:rPr>
        <w:t>35</w:t>
      </w:r>
      <w:r>
        <w:rPr>
          <w:rFonts w:ascii="仿宋" w:eastAsia="仿宋" w:hAnsi="仿宋" w:cs="仿宋" w:hint="eastAsia"/>
          <w:color w:val="auto"/>
        </w:rPr>
        <w:t>千伏、</w:t>
      </w:r>
      <w:r>
        <w:rPr>
          <w:rFonts w:ascii="仿宋" w:eastAsia="仿宋" w:hAnsi="仿宋" w:cs="仿宋" w:hint="eastAsia"/>
          <w:color w:val="auto"/>
        </w:rPr>
        <w:t>110</w:t>
      </w:r>
      <w:r>
        <w:rPr>
          <w:rFonts w:ascii="仿宋" w:eastAsia="仿宋" w:hAnsi="仿宋" w:cs="仿宋" w:hint="eastAsia"/>
          <w:color w:val="auto"/>
        </w:rPr>
        <w:t>千伏的不得小于</w:t>
      </w:r>
      <w:r>
        <w:rPr>
          <w:rFonts w:ascii="仿宋" w:eastAsia="仿宋" w:hAnsi="仿宋" w:cs="仿宋" w:hint="eastAsia"/>
          <w:color w:val="auto"/>
        </w:rPr>
        <w:t>4</w:t>
      </w:r>
      <w:r>
        <w:rPr>
          <w:rFonts w:ascii="仿宋" w:eastAsia="仿宋" w:hAnsi="仿宋" w:cs="仿宋" w:hint="eastAsia"/>
          <w:color w:val="auto"/>
        </w:rPr>
        <w:t>米；</w:t>
      </w:r>
      <w:r>
        <w:rPr>
          <w:rFonts w:ascii="仿宋" w:eastAsia="仿宋" w:hAnsi="仿宋" w:cs="仿宋" w:hint="eastAsia"/>
          <w:color w:val="auto"/>
        </w:rPr>
        <w:t>220</w:t>
      </w:r>
      <w:r>
        <w:rPr>
          <w:rFonts w:ascii="仿宋" w:eastAsia="仿宋" w:hAnsi="仿宋" w:cs="仿宋" w:hint="eastAsia"/>
          <w:color w:val="auto"/>
        </w:rPr>
        <w:t>千伏的不得小于</w:t>
      </w:r>
      <w:r>
        <w:rPr>
          <w:rFonts w:ascii="仿宋" w:eastAsia="仿宋" w:hAnsi="仿宋" w:cs="仿宋" w:hint="eastAsia"/>
          <w:color w:val="auto"/>
        </w:rPr>
        <w:t>5</w:t>
      </w:r>
      <w:r>
        <w:rPr>
          <w:rFonts w:ascii="仿宋" w:eastAsia="仿宋" w:hAnsi="仿宋" w:cs="仿宋" w:hint="eastAsia"/>
          <w:color w:val="auto"/>
        </w:rPr>
        <w:t>米；电压等级超过</w:t>
      </w:r>
      <w:r>
        <w:rPr>
          <w:rFonts w:ascii="仿宋" w:eastAsia="仿宋" w:hAnsi="仿宋" w:cs="仿宋" w:hint="eastAsia"/>
          <w:color w:val="auto"/>
        </w:rPr>
        <w:t>220</w:t>
      </w:r>
      <w:r>
        <w:rPr>
          <w:rFonts w:ascii="仿宋" w:eastAsia="仿宋" w:hAnsi="仿宋" w:cs="仿宋" w:hint="eastAsia"/>
          <w:color w:val="auto"/>
        </w:rPr>
        <w:t>千伏的超高压架空线路两侧，新建、改建、扩建建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筑物工程与该架空线路的间距，须经专题论证后确定。</w:t>
      </w:r>
    </w:p>
    <w:p w:rsidR="00925AC4" w:rsidRDefault="00285E1E">
      <w:pPr>
        <w:numPr>
          <w:ilvl w:val="0"/>
          <w:numId w:val="62"/>
        </w:numPr>
        <w:ind w:firstLine="560"/>
        <w:rPr>
          <w:rFonts w:ascii="仿宋" w:eastAsia="仿宋" w:hAnsi="仿宋" w:cs="仿宋"/>
          <w:color w:val="auto"/>
        </w:rPr>
      </w:pPr>
      <w:r>
        <w:rPr>
          <w:rFonts w:ascii="仿宋" w:eastAsia="仿宋" w:hAnsi="仿宋" w:cs="仿宋" w:hint="eastAsia"/>
          <w:color w:val="auto"/>
        </w:rPr>
        <w:t>新、改建</w:t>
      </w:r>
      <w:r>
        <w:rPr>
          <w:rFonts w:ascii="仿宋" w:eastAsia="仿宋" w:hAnsi="仿宋" w:cs="仿宋" w:hint="eastAsia"/>
          <w:color w:val="auto"/>
        </w:rPr>
        <w:t>35</w:t>
      </w:r>
      <w:r>
        <w:rPr>
          <w:rFonts w:ascii="仿宋" w:eastAsia="仿宋" w:hAnsi="仿宋" w:cs="仿宋" w:hint="eastAsia"/>
          <w:color w:val="auto"/>
        </w:rPr>
        <w:t>千伏及以下电力线宜采用地埋敷设方式。</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新建、改建、扩建的架空电力线与已有建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筑物之间的垂直距离、净空距离，应符合国家有关法律和相关设计规范的要求。</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建设工程应配置的电力开闭所、配电房，通信网络，天然气调压间或调压器，供水泵房、储水池、水箱、水表间，垃圾收集间，污水处理池等附属设备用房及设施，不得超出建筑控制线；消防结合器、消火栓、室外消防环管、各类检查井等，不得超越道路红线。</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退界部分应当作为城市公共空间，新设置的市政设施</w:t>
      </w:r>
      <w:r>
        <w:rPr>
          <w:rFonts w:ascii="仿宋" w:eastAsia="仿宋" w:hAnsi="仿宋" w:cs="仿宋" w:hint="eastAsia"/>
          <w:color w:val="auto"/>
        </w:rPr>
        <w:t>(</w:t>
      </w:r>
      <w:r>
        <w:rPr>
          <w:rFonts w:ascii="仿宋" w:eastAsia="仿宋" w:hAnsi="仿宋" w:cs="仿宋" w:hint="eastAsia"/>
          <w:color w:val="auto"/>
        </w:rPr>
        <w:t>电力变压器、通信交换箱、燃气调压器等设施</w:t>
      </w:r>
      <w:r>
        <w:rPr>
          <w:rFonts w:ascii="仿宋" w:eastAsia="仿宋" w:hAnsi="仿宋" w:cs="仿宋" w:hint="eastAsia"/>
          <w:color w:val="auto"/>
        </w:rPr>
        <w:t>)</w:t>
      </w:r>
      <w:r>
        <w:rPr>
          <w:rFonts w:ascii="仿宋" w:eastAsia="仿宋" w:hAnsi="仿宋" w:cs="仿宋" w:hint="eastAsia"/>
          <w:color w:val="auto"/>
        </w:rPr>
        <w:t>不得占用现有城市道路人行道，宜设置在建筑退界内。特殊情况，道路市政管网根据需</w:t>
      </w:r>
      <w:r>
        <w:rPr>
          <w:rFonts w:ascii="仿宋" w:eastAsia="仿宋" w:hAnsi="仿宋" w:cs="仿宋" w:hint="eastAsia"/>
          <w:color w:val="auto"/>
        </w:rPr>
        <w:t>要可布置在建筑退界内和机动车道下。</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小区配电房宜采取地下或半地下的方式建设，且应采取防水排涝措施，避免电力系统因雨水入侵，影响小区居民正常用电。</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lastRenderedPageBreak/>
        <w:t>小区附属设备确需在地上建设时，应进行美化处理，并加强设备安全防护处理。</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新、改</w:t>
      </w:r>
      <w:r>
        <w:rPr>
          <w:rFonts w:ascii="仿宋" w:eastAsia="仿宋" w:hAnsi="仿宋" w:cs="仿宋" w:hint="eastAsia"/>
          <w:color w:val="auto"/>
        </w:rPr>
        <w:t>(</w:t>
      </w:r>
      <w:r>
        <w:rPr>
          <w:rFonts w:ascii="仿宋" w:eastAsia="仿宋" w:hAnsi="仿宋" w:cs="仿宋" w:hint="eastAsia"/>
          <w:color w:val="auto"/>
        </w:rPr>
        <w:t>扩</w:t>
      </w:r>
      <w:r>
        <w:rPr>
          <w:rFonts w:ascii="仿宋" w:eastAsia="仿宋" w:hAnsi="仿宋" w:cs="仿宋" w:hint="eastAsia"/>
          <w:color w:val="auto"/>
        </w:rPr>
        <w:t>)</w:t>
      </w:r>
      <w:r>
        <w:rPr>
          <w:rFonts w:ascii="仿宋" w:eastAsia="仿宋" w:hAnsi="仿宋" w:cs="仿宋" w:hint="eastAsia"/>
          <w:color w:val="auto"/>
        </w:rPr>
        <w:t>建城市市政道路建设，交通安全设施与道路建设主体工程应同步设计、同步建设、同步验收。其中城市主干道、重要次干道应当实行“多杆合一、多箱合一”。</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新建城市道路的行道树距路缘石的距离，一般不应小于</w:t>
      </w:r>
      <w:r>
        <w:rPr>
          <w:rFonts w:ascii="仿宋" w:eastAsia="仿宋" w:hAnsi="仿宋" w:cs="仿宋" w:hint="eastAsia"/>
          <w:color w:val="auto"/>
        </w:rPr>
        <w:t>1.0</w:t>
      </w:r>
      <w:r>
        <w:rPr>
          <w:rFonts w:ascii="仿宋" w:eastAsia="仿宋" w:hAnsi="仿宋" w:cs="仿宋" w:hint="eastAsia"/>
          <w:color w:val="auto"/>
        </w:rPr>
        <w:t>米；各种管道应与道路绿化带统筹布置，并尽可能</w:t>
      </w:r>
      <w:bookmarkStart w:id="56" w:name="_bookmark13"/>
      <w:bookmarkEnd w:id="56"/>
      <w:r>
        <w:rPr>
          <w:rFonts w:ascii="仿宋" w:eastAsia="仿宋" w:hAnsi="仿宋" w:cs="仿宋" w:hint="eastAsia"/>
          <w:color w:val="auto"/>
        </w:rPr>
        <w:t>布置在人行道下。</w:t>
      </w:r>
    </w:p>
    <w:p w:rsidR="00925AC4" w:rsidRDefault="00285E1E">
      <w:pPr>
        <w:numPr>
          <w:ilvl w:val="0"/>
          <w:numId w:val="61"/>
        </w:numPr>
        <w:ind w:firstLine="560"/>
        <w:rPr>
          <w:rFonts w:ascii="仿宋" w:eastAsia="仿宋" w:hAnsi="仿宋" w:cs="仿宋"/>
          <w:color w:val="auto"/>
        </w:rPr>
      </w:pPr>
      <w:r>
        <w:rPr>
          <w:rFonts w:ascii="仿宋" w:eastAsia="仿宋" w:hAnsi="仿宋" w:cs="仿宋" w:hint="eastAsia"/>
          <w:color w:val="auto"/>
        </w:rPr>
        <w:t xml:space="preserve"> </w:t>
      </w:r>
      <w:r>
        <w:rPr>
          <w:rFonts w:ascii="仿宋" w:eastAsia="仿宋" w:hAnsi="仿宋" w:cs="仿宋" w:hint="eastAsia"/>
          <w:color w:val="auto"/>
        </w:rPr>
        <w:t>在城市主、次干路中埋</w:t>
      </w:r>
      <w:r>
        <w:rPr>
          <w:rFonts w:ascii="仿宋" w:eastAsia="仿宋" w:hAnsi="仿宋" w:cs="仿宋" w:hint="eastAsia"/>
          <w:color w:val="auto"/>
        </w:rPr>
        <w:t>设管道，必须按照国土空间规划要求的规模埋设，其中供水管道内径不应小于</w:t>
      </w:r>
      <w:r>
        <w:rPr>
          <w:rFonts w:ascii="仿宋" w:eastAsia="仿宋" w:hAnsi="仿宋" w:cs="仿宋" w:hint="eastAsia"/>
          <w:color w:val="auto"/>
        </w:rPr>
        <w:t>200</w:t>
      </w:r>
      <w:r>
        <w:rPr>
          <w:rFonts w:ascii="仿宋" w:eastAsia="仿宋" w:hAnsi="仿宋" w:cs="仿宋" w:hint="eastAsia"/>
          <w:color w:val="auto"/>
        </w:rPr>
        <w:t>毫米，排水管道内径不宜小于</w:t>
      </w:r>
      <w:r>
        <w:rPr>
          <w:rFonts w:ascii="仿宋" w:eastAsia="仿宋" w:hAnsi="仿宋" w:cs="仿宋" w:hint="eastAsia"/>
          <w:color w:val="auto"/>
        </w:rPr>
        <w:t>400</w:t>
      </w:r>
      <w:r>
        <w:rPr>
          <w:rFonts w:ascii="仿宋" w:eastAsia="仿宋" w:hAnsi="仿宋" w:cs="仿宋" w:hint="eastAsia"/>
          <w:color w:val="auto"/>
        </w:rPr>
        <w:t>毫米。</w:t>
      </w:r>
    </w:p>
    <w:p w:rsidR="00925AC4" w:rsidRDefault="00285E1E">
      <w:pPr>
        <w:numPr>
          <w:ilvl w:val="0"/>
          <w:numId w:val="61"/>
        </w:numPr>
        <w:ind w:firstLine="560"/>
        <w:rPr>
          <w:rFonts w:ascii="仿宋" w:eastAsia="仿宋" w:hAnsi="仿宋" w:cs="仿宋"/>
          <w:color w:val="auto"/>
          <w:szCs w:val="32"/>
        </w:rPr>
      </w:pPr>
      <w:r>
        <w:rPr>
          <w:rFonts w:ascii="仿宋" w:eastAsia="仿宋" w:hAnsi="仿宋" w:cs="仿宋" w:hint="eastAsia"/>
          <w:color w:val="auto"/>
        </w:rPr>
        <w:t xml:space="preserve"> </w:t>
      </w:r>
      <w:r>
        <w:rPr>
          <w:rFonts w:ascii="仿宋" w:eastAsia="仿宋" w:hAnsi="仿宋" w:cs="仿宋" w:hint="eastAsia"/>
          <w:color w:val="auto"/>
        </w:rPr>
        <w:t>各种地下管道横向穿越车行道时，其覆土厚度应满足相关技术规范要求，并不得小于</w:t>
      </w:r>
      <w:r>
        <w:rPr>
          <w:rFonts w:ascii="仿宋" w:eastAsia="仿宋" w:hAnsi="仿宋" w:cs="仿宋" w:hint="eastAsia"/>
          <w:color w:val="auto"/>
        </w:rPr>
        <w:t>1</w:t>
      </w:r>
      <w:r>
        <w:rPr>
          <w:rFonts w:ascii="仿宋" w:eastAsia="仿宋" w:hAnsi="仿宋" w:cs="仿宋" w:hint="eastAsia"/>
          <w:color w:val="auto"/>
        </w:rPr>
        <w:t>米。沿城市道路路缘石埋设的城市公共照明系统的低压电源线路，其覆土厚度不得小于</w:t>
      </w:r>
      <w:r>
        <w:rPr>
          <w:rFonts w:ascii="仿宋" w:eastAsia="仿宋" w:hAnsi="仿宋" w:cs="仿宋" w:hint="eastAsia"/>
          <w:color w:val="auto"/>
        </w:rPr>
        <w:t>0.5</w:t>
      </w:r>
      <w:r>
        <w:rPr>
          <w:rFonts w:ascii="仿宋" w:eastAsia="仿宋" w:hAnsi="仿宋" w:cs="仿宋" w:hint="eastAsia"/>
          <w:color w:val="auto"/>
        </w:rPr>
        <w:t>米。</w:t>
      </w:r>
    </w:p>
    <w:p w:rsidR="00925AC4" w:rsidRDefault="00285E1E" w:rsidP="008E7712">
      <w:pPr>
        <w:pStyle w:val="2"/>
        <w:numPr>
          <w:ilvl w:val="0"/>
          <w:numId w:val="45"/>
        </w:numPr>
        <w:ind w:firstLine="562"/>
        <w:rPr>
          <w:rFonts w:ascii="仿宋" w:eastAsia="仿宋" w:hAnsi="仿宋" w:cs="仿宋"/>
          <w:color w:val="auto"/>
          <w:sz w:val="28"/>
          <w:szCs w:val="28"/>
        </w:rPr>
      </w:pPr>
      <w:r>
        <w:rPr>
          <w:rFonts w:ascii="仿宋" w:eastAsia="仿宋" w:hAnsi="仿宋" w:cs="仿宋" w:hint="eastAsia"/>
          <w:color w:val="0000FF"/>
          <w:sz w:val="28"/>
          <w:szCs w:val="28"/>
        </w:rPr>
        <w:t xml:space="preserve"> </w:t>
      </w:r>
      <w:bookmarkStart w:id="57" w:name="_Toc332"/>
      <w:r>
        <w:rPr>
          <w:rFonts w:ascii="仿宋" w:eastAsia="仿宋" w:hAnsi="仿宋" w:cs="仿宋" w:hint="eastAsia"/>
          <w:color w:val="auto"/>
          <w:sz w:val="28"/>
          <w:szCs w:val="28"/>
        </w:rPr>
        <w:t>消防工程规划管理</w:t>
      </w:r>
      <w:bookmarkEnd w:id="57"/>
    </w:p>
    <w:p w:rsidR="00925AC4" w:rsidRDefault="00285E1E">
      <w:pPr>
        <w:numPr>
          <w:ilvl w:val="0"/>
          <w:numId w:val="64"/>
        </w:numPr>
        <w:ind w:firstLine="560"/>
        <w:rPr>
          <w:rFonts w:ascii="仿宋" w:eastAsia="仿宋" w:hAnsi="仿宋" w:cs="仿宋"/>
          <w:color w:val="auto"/>
        </w:rPr>
      </w:pPr>
      <w:r>
        <w:rPr>
          <w:rFonts w:ascii="仿宋" w:eastAsia="仿宋" w:hAnsi="仿宋" w:cs="仿宋" w:hint="eastAsia"/>
          <w:color w:val="auto"/>
        </w:rPr>
        <w:t>消防登高场地</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高层建筑应至少沿一个长边或周边长度的</w:t>
      </w:r>
      <w:r>
        <w:rPr>
          <w:rFonts w:ascii="仿宋" w:eastAsia="仿宋" w:hAnsi="仿宋" w:cs="仿宋" w:hint="eastAsia"/>
          <w:color w:val="auto"/>
        </w:rPr>
        <w:t>1/4</w:t>
      </w:r>
      <w:r>
        <w:rPr>
          <w:rFonts w:ascii="仿宋" w:eastAsia="仿宋" w:hAnsi="仿宋" w:cs="仿宋" w:hint="eastAsia"/>
          <w:color w:val="auto"/>
        </w:rPr>
        <w:t>且不小于一个长边长度的底边连续布置消防车登高操作场地，该范围内的裙房进深不应大于</w:t>
      </w:r>
      <w:r>
        <w:rPr>
          <w:rFonts w:ascii="仿宋" w:eastAsia="仿宋" w:hAnsi="仿宋" w:cs="仿宋" w:hint="eastAsia"/>
          <w:color w:val="auto"/>
        </w:rPr>
        <w:t>4</w:t>
      </w:r>
      <w:r>
        <w:rPr>
          <w:rFonts w:ascii="仿宋" w:eastAsia="仿宋" w:hAnsi="仿宋" w:cs="仿宋" w:hint="eastAsia"/>
          <w:color w:val="auto"/>
        </w:rPr>
        <w:t>米。</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建筑高度不大于</w:t>
      </w:r>
      <w:r>
        <w:rPr>
          <w:rFonts w:ascii="仿宋" w:eastAsia="仿宋" w:hAnsi="仿宋" w:cs="仿宋" w:hint="eastAsia"/>
          <w:color w:val="auto"/>
        </w:rPr>
        <w:t>50</w:t>
      </w:r>
      <w:r>
        <w:rPr>
          <w:rFonts w:ascii="仿宋" w:eastAsia="仿宋" w:hAnsi="仿宋" w:cs="仿宋" w:hint="eastAsia"/>
          <w:color w:val="auto"/>
        </w:rPr>
        <w:t>米的建筑，连续布置消防车登高操作场地确有困难时，可间隔布置，但间隔距离不宜大于</w:t>
      </w:r>
      <w:r>
        <w:rPr>
          <w:rFonts w:ascii="仿宋" w:eastAsia="仿宋" w:hAnsi="仿宋" w:cs="仿宋" w:hint="eastAsia"/>
          <w:color w:val="auto"/>
        </w:rPr>
        <w:t>30</w:t>
      </w:r>
      <w:r>
        <w:rPr>
          <w:rFonts w:ascii="仿宋" w:eastAsia="仿宋" w:hAnsi="仿宋" w:cs="仿宋" w:hint="eastAsia"/>
          <w:color w:val="auto"/>
        </w:rPr>
        <w:t>米，且消防车登高操作场地的总长度仍应符合上述规定。</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消防车登高操作场地应与消防车道连通，场地的长度和宽度分别不应小于</w:t>
      </w:r>
      <w:r>
        <w:rPr>
          <w:rFonts w:ascii="仿宋" w:eastAsia="仿宋" w:hAnsi="仿宋" w:cs="仿宋" w:hint="eastAsia"/>
          <w:color w:val="auto"/>
        </w:rPr>
        <w:t>15</w:t>
      </w:r>
      <w:r>
        <w:rPr>
          <w:rFonts w:ascii="仿宋" w:eastAsia="仿宋" w:hAnsi="仿宋" w:cs="仿宋" w:hint="eastAsia"/>
          <w:color w:val="auto"/>
        </w:rPr>
        <w:t>米和</w:t>
      </w:r>
      <w:r>
        <w:rPr>
          <w:rFonts w:ascii="仿宋" w:eastAsia="仿宋" w:hAnsi="仿宋" w:cs="仿宋" w:hint="eastAsia"/>
          <w:color w:val="auto"/>
        </w:rPr>
        <w:t>10</w:t>
      </w:r>
      <w:r>
        <w:rPr>
          <w:rFonts w:ascii="仿宋" w:eastAsia="仿宋" w:hAnsi="仿宋" w:cs="仿宋" w:hint="eastAsia"/>
          <w:color w:val="auto"/>
        </w:rPr>
        <w:t>米。对于建筑高度大于</w:t>
      </w:r>
      <w:r>
        <w:rPr>
          <w:rFonts w:ascii="仿宋" w:eastAsia="仿宋" w:hAnsi="仿宋" w:cs="仿宋" w:hint="eastAsia"/>
          <w:color w:val="auto"/>
        </w:rPr>
        <w:t>50</w:t>
      </w:r>
      <w:r>
        <w:rPr>
          <w:rFonts w:ascii="仿宋" w:eastAsia="仿宋" w:hAnsi="仿宋" w:cs="仿宋" w:hint="eastAsia"/>
          <w:color w:val="auto"/>
        </w:rPr>
        <w:t>米的建筑，场地的长度和宽度分别不应小于</w:t>
      </w:r>
      <w:r>
        <w:rPr>
          <w:rFonts w:ascii="仿宋" w:eastAsia="仿宋" w:hAnsi="仿宋" w:cs="仿宋" w:hint="eastAsia"/>
          <w:color w:val="auto"/>
        </w:rPr>
        <w:t>20</w:t>
      </w:r>
      <w:r>
        <w:rPr>
          <w:rFonts w:ascii="仿宋" w:eastAsia="仿宋" w:hAnsi="仿宋" w:cs="仿宋" w:hint="eastAsia"/>
          <w:color w:val="auto"/>
        </w:rPr>
        <w:t>米和</w:t>
      </w:r>
      <w:r>
        <w:rPr>
          <w:rFonts w:ascii="仿宋" w:eastAsia="仿宋" w:hAnsi="仿宋" w:cs="仿宋" w:hint="eastAsia"/>
          <w:color w:val="auto"/>
        </w:rPr>
        <w:t>10</w:t>
      </w:r>
      <w:r>
        <w:rPr>
          <w:rFonts w:ascii="仿宋" w:eastAsia="仿宋" w:hAnsi="仿宋" w:cs="仿宋" w:hint="eastAsia"/>
          <w:color w:val="auto"/>
        </w:rPr>
        <w:t>米。场地靠建筑外墙一侧的边缘距离建筑外墙不宜小于</w:t>
      </w:r>
      <w:r>
        <w:rPr>
          <w:rFonts w:ascii="仿宋" w:eastAsia="仿宋" w:hAnsi="仿宋" w:cs="仿宋" w:hint="eastAsia"/>
          <w:color w:val="auto"/>
        </w:rPr>
        <w:t>5</w:t>
      </w:r>
      <w:r>
        <w:rPr>
          <w:rFonts w:ascii="仿宋" w:eastAsia="仿宋" w:hAnsi="仿宋" w:cs="仿宋" w:hint="eastAsia"/>
          <w:color w:val="auto"/>
        </w:rPr>
        <w:t>米，且不应大于</w:t>
      </w:r>
      <w:r>
        <w:rPr>
          <w:rFonts w:ascii="仿宋" w:eastAsia="仿宋" w:hAnsi="仿宋" w:cs="仿宋" w:hint="eastAsia"/>
          <w:color w:val="auto"/>
        </w:rPr>
        <w:t>10</w:t>
      </w:r>
      <w:r>
        <w:rPr>
          <w:rFonts w:ascii="仿宋" w:eastAsia="仿宋" w:hAnsi="仿宋" w:cs="仿宋" w:hint="eastAsia"/>
          <w:color w:val="auto"/>
        </w:rPr>
        <w:t>米，其坡度不宜大于</w:t>
      </w:r>
      <w:r>
        <w:rPr>
          <w:rFonts w:ascii="仿宋" w:eastAsia="仿宋" w:hAnsi="仿宋" w:cs="仿宋" w:hint="eastAsia"/>
          <w:color w:val="auto"/>
        </w:rPr>
        <w:t>3%</w:t>
      </w:r>
      <w:r>
        <w:rPr>
          <w:rFonts w:ascii="仿宋" w:eastAsia="仿宋" w:hAnsi="仿宋" w:cs="仿宋" w:hint="eastAsia"/>
          <w:color w:val="auto"/>
        </w:rPr>
        <w:t>。</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lastRenderedPageBreak/>
        <w:t>消防车登高操作场地及其下面的建筑结构、管道和暗沟</w:t>
      </w:r>
      <w:bookmarkStart w:id="58" w:name="_bookmark14"/>
      <w:bookmarkEnd w:id="58"/>
      <w:r>
        <w:rPr>
          <w:rFonts w:ascii="仿宋" w:eastAsia="仿宋" w:hAnsi="仿宋" w:cs="仿宋" w:hint="eastAsia"/>
          <w:color w:val="auto"/>
        </w:rPr>
        <w:t>等，应能承受重型消防车的压力。</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建筑物与消防车登高操作场地相对应的范</w:t>
      </w:r>
      <w:r>
        <w:rPr>
          <w:rFonts w:ascii="仿宋" w:eastAsia="仿宋" w:hAnsi="仿宋" w:cs="仿宋" w:hint="eastAsia"/>
          <w:color w:val="auto"/>
        </w:rPr>
        <w:t>围内，应设置直通室外的楼梯或直通楼梯间的入口。</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厂房、仓库、公共建筑的外墙与消防车登高操作场地相对应的范围内每层均应设置可供消防救援人员进入的窗口；窗口的玻璃应易于破碎，并应设置可在室外易于识别的明显标志。</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消防救援面不应设置影响灭火救援的高压电线、树木、地下车库出入口等。</w:t>
      </w:r>
    </w:p>
    <w:p w:rsidR="00925AC4" w:rsidRDefault="00285E1E">
      <w:pPr>
        <w:numPr>
          <w:ilvl w:val="0"/>
          <w:numId w:val="65"/>
        </w:numPr>
        <w:ind w:firstLine="560"/>
        <w:rPr>
          <w:rFonts w:ascii="仿宋" w:eastAsia="仿宋" w:hAnsi="仿宋" w:cs="仿宋"/>
          <w:color w:val="auto"/>
        </w:rPr>
      </w:pPr>
      <w:r>
        <w:rPr>
          <w:rFonts w:ascii="仿宋" w:eastAsia="仿宋" w:hAnsi="仿宋" w:cs="仿宋" w:hint="eastAsia"/>
          <w:color w:val="auto"/>
        </w:rPr>
        <w:t>消防车登高操作场地可结合道路等设置，但应满足登高要求，应设置明显标志且与周围分隔。</w:t>
      </w:r>
    </w:p>
    <w:p w:rsidR="00925AC4" w:rsidRDefault="00285E1E">
      <w:pPr>
        <w:numPr>
          <w:ilvl w:val="0"/>
          <w:numId w:val="64"/>
        </w:numPr>
        <w:ind w:firstLine="560"/>
        <w:rPr>
          <w:rFonts w:ascii="仿宋" w:eastAsia="仿宋" w:hAnsi="仿宋" w:cs="仿宋"/>
          <w:color w:val="auto"/>
        </w:rPr>
      </w:pPr>
      <w:r>
        <w:rPr>
          <w:rFonts w:ascii="仿宋" w:eastAsia="仿宋" w:hAnsi="仿宋" w:cs="仿宋" w:hint="eastAsia"/>
          <w:color w:val="auto"/>
        </w:rPr>
        <w:t>消防车道</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消防车道的净宽度和净空高度均不应小于</w:t>
      </w:r>
      <w:r>
        <w:rPr>
          <w:rFonts w:ascii="仿宋" w:eastAsia="仿宋" w:hAnsi="仿宋" w:cs="仿宋" w:hint="eastAsia"/>
          <w:color w:val="auto"/>
        </w:rPr>
        <w:t>4</w:t>
      </w:r>
      <w:r>
        <w:rPr>
          <w:rFonts w:ascii="仿宋" w:eastAsia="仿宋" w:hAnsi="仿宋" w:cs="仿宋" w:hint="eastAsia"/>
          <w:color w:val="auto"/>
        </w:rPr>
        <w:t>米，消防车道的坡度不宜大于</w:t>
      </w:r>
      <w:r>
        <w:rPr>
          <w:rFonts w:ascii="仿宋" w:eastAsia="仿宋" w:hAnsi="仿宋" w:cs="仿宋" w:hint="eastAsia"/>
          <w:color w:val="auto"/>
        </w:rPr>
        <w:t>8%,</w:t>
      </w:r>
      <w:r>
        <w:rPr>
          <w:rFonts w:ascii="仿宋" w:eastAsia="仿宋" w:hAnsi="仿宋" w:cs="仿宋" w:hint="eastAsia"/>
          <w:color w:val="auto"/>
        </w:rPr>
        <w:t>其转弯处应满足消防车转弯半径的要求。消防车道距高层建筑或大型公共建筑的外</w:t>
      </w:r>
      <w:r>
        <w:rPr>
          <w:rFonts w:ascii="仿宋" w:eastAsia="仿宋" w:hAnsi="仿宋" w:cs="仿宋" w:hint="eastAsia"/>
          <w:color w:val="auto"/>
        </w:rPr>
        <w:t>墙宜大于</w:t>
      </w:r>
      <w:r>
        <w:rPr>
          <w:rFonts w:ascii="仿宋" w:eastAsia="仿宋" w:hAnsi="仿宋" w:cs="仿宋" w:hint="eastAsia"/>
          <w:color w:val="auto"/>
        </w:rPr>
        <w:t>5</w:t>
      </w:r>
      <w:r>
        <w:rPr>
          <w:rFonts w:ascii="仿宋" w:eastAsia="仿宋" w:hAnsi="仿宋" w:cs="仿宋" w:hint="eastAsia"/>
          <w:color w:val="auto"/>
        </w:rPr>
        <w:t>米。</w:t>
      </w:r>
    </w:p>
    <w:p w:rsidR="00925AC4" w:rsidRDefault="00285E1E">
      <w:pPr>
        <w:numPr>
          <w:ilvl w:val="0"/>
          <w:numId w:val="64"/>
        </w:numPr>
        <w:ind w:firstLine="560"/>
        <w:rPr>
          <w:rFonts w:ascii="仿宋" w:eastAsia="仿宋" w:hAnsi="仿宋" w:cs="仿宋"/>
          <w:color w:val="auto"/>
        </w:rPr>
      </w:pPr>
      <w:r>
        <w:rPr>
          <w:rFonts w:ascii="仿宋" w:eastAsia="仿宋" w:hAnsi="仿宋" w:cs="仿宋" w:hint="eastAsia"/>
          <w:color w:val="auto"/>
        </w:rPr>
        <w:t>消防回车场</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尽端式消防车回车场尺寸不宜小于</w:t>
      </w:r>
      <w:r>
        <w:rPr>
          <w:rFonts w:ascii="仿宋" w:eastAsia="仿宋" w:hAnsi="仿宋" w:cs="仿宋" w:hint="eastAsia"/>
          <w:color w:val="auto"/>
        </w:rPr>
        <w:t>15</w:t>
      </w:r>
      <w:r>
        <w:rPr>
          <w:rFonts w:ascii="仿宋" w:eastAsia="仿宋" w:hAnsi="仿宋" w:cs="仿宋" w:hint="eastAsia"/>
          <w:color w:val="auto"/>
        </w:rPr>
        <w:t>米×</w:t>
      </w:r>
      <w:r>
        <w:rPr>
          <w:rFonts w:ascii="仿宋" w:eastAsia="仿宋" w:hAnsi="仿宋" w:cs="仿宋" w:hint="eastAsia"/>
          <w:color w:val="auto"/>
        </w:rPr>
        <w:t>15</w:t>
      </w:r>
      <w:r>
        <w:rPr>
          <w:rFonts w:ascii="仿宋" w:eastAsia="仿宋" w:hAnsi="仿宋" w:cs="仿宋" w:hint="eastAsia"/>
          <w:color w:val="auto"/>
        </w:rPr>
        <w:t>米，大型消防车回车场尺寸不宜小于</w:t>
      </w:r>
      <w:r>
        <w:rPr>
          <w:rFonts w:ascii="仿宋" w:eastAsia="仿宋" w:hAnsi="仿宋" w:cs="仿宋" w:hint="eastAsia"/>
          <w:color w:val="auto"/>
        </w:rPr>
        <w:t>18</w:t>
      </w:r>
      <w:r>
        <w:rPr>
          <w:rFonts w:ascii="仿宋" w:eastAsia="仿宋" w:hAnsi="仿宋" w:cs="仿宋" w:hint="eastAsia"/>
          <w:color w:val="auto"/>
        </w:rPr>
        <w:t>米×</w:t>
      </w:r>
      <w:r>
        <w:rPr>
          <w:rFonts w:ascii="仿宋" w:eastAsia="仿宋" w:hAnsi="仿宋" w:cs="仿宋" w:hint="eastAsia"/>
          <w:color w:val="auto"/>
        </w:rPr>
        <w:t>18</w:t>
      </w:r>
      <w:r>
        <w:rPr>
          <w:rFonts w:ascii="仿宋" w:eastAsia="仿宋" w:hAnsi="仿宋" w:cs="仿宋" w:hint="eastAsia"/>
          <w:color w:val="auto"/>
        </w:rPr>
        <w:t>米。</w:t>
      </w:r>
    </w:p>
    <w:p w:rsidR="00925AC4" w:rsidRDefault="00285E1E" w:rsidP="008E7712">
      <w:pPr>
        <w:pStyle w:val="2"/>
        <w:numPr>
          <w:ilvl w:val="0"/>
          <w:numId w:val="45"/>
        </w:numPr>
        <w:ind w:firstLine="562"/>
        <w:rPr>
          <w:rFonts w:ascii="仿宋" w:eastAsia="仿宋" w:hAnsi="仿宋" w:cs="仿宋"/>
          <w:color w:val="auto"/>
          <w:sz w:val="28"/>
          <w:szCs w:val="18"/>
        </w:rPr>
      </w:pPr>
      <w:r>
        <w:rPr>
          <w:rFonts w:ascii="仿宋" w:eastAsia="仿宋" w:hAnsi="仿宋" w:cs="仿宋" w:hint="eastAsia"/>
          <w:color w:val="0000FF"/>
          <w:sz w:val="28"/>
          <w:szCs w:val="18"/>
        </w:rPr>
        <w:t xml:space="preserve"> </w:t>
      </w:r>
      <w:bookmarkStart w:id="59" w:name="_Toc14532"/>
      <w:r>
        <w:rPr>
          <w:rFonts w:ascii="仿宋" w:eastAsia="仿宋" w:hAnsi="仿宋" w:cs="仿宋" w:hint="eastAsia"/>
          <w:color w:val="auto"/>
          <w:sz w:val="28"/>
          <w:szCs w:val="18"/>
        </w:rPr>
        <w:t>智慧安防规划管理</w:t>
      </w:r>
      <w:bookmarkEnd w:id="59"/>
    </w:p>
    <w:p w:rsidR="00925AC4" w:rsidRDefault="00285E1E">
      <w:pPr>
        <w:numPr>
          <w:ilvl w:val="0"/>
          <w:numId w:val="66"/>
        </w:numPr>
        <w:ind w:firstLine="560"/>
        <w:rPr>
          <w:rFonts w:ascii="仿宋" w:eastAsia="仿宋" w:hAnsi="仿宋" w:cs="仿宋"/>
          <w:color w:val="auto"/>
        </w:rPr>
      </w:pPr>
      <w:r>
        <w:rPr>
          <w:rFonts w:ascii="仿宋" w:eastAsia="仿宋" w:hAnsi="仿宋" w:cs="仿宋" w:hint="eastAsia"/>
          <w:color w:val="auto"/>
        </w:rPr>
        <w:t>智慧安防主要包括周界电子防护、视频安防监控、紧急求助报警等智能信息化系统。</w:t>
      </w:r>
    </w:p>
    <w:p w:rsidR="00925AC4" w:rsidRDefault="00285E1E">
      <w:pPr>
        <w:numPr>
          <w:ilvl w:val="0"/>
          <w:numId w:val="66"/>
        </w:numPr>
        <w:ind w:firstLine="560"/>
        <w:rPr>
          <w:rFonts w:ascii="仿宋" w:eastAsia="仿宋" w:hAnsi="仿宋" w:cs="仿宋"/>
          <w:color w:val="auto"/>
        </w:rPr>
      </w:pPr>
      <w:r>
        <w:rPr>
          <w:rFonts w:ascii="仿宋" w:eastAsia="仿宋" w:hAnsi="仿宋" w:cs="仿宋" w:hint="eastAsia"/>
          <w:color w:val="auto"/>
        </w:rPr>
        <w:t>新建、改建、扩建的建筑工程设计应将智慧安防纳入建设工程规划设计方案编制。</w:t>
      </w:r>
    </w:p>
    <w:p w:rsidR="00925AC4" w:rsidRDefault="00285E1E">
      <w:pPr>
        <w:numPr>
          <w:ilvl w:val="0"/>
          <w:numId w:val="66"/>
        </w:numPr>
        <w:ind w:firstLine="560"/>
        <w:rPr>
          <w:rFonts w:ascii="仿宋" w:eastAsia="仿宋" w:hAnsi="仿宋" w:cs="仿宋"/>
          <w:color w:val="auto"/>
        </w:rPr>
      </w:pPr>
      <w:bookmarkStart w:id="60" w:name="_bookmark15"/>
      <w:bookmarkEnd w:id="60"/>
      <w:r>
        <w:rPr>
          <w:rFonts w:ascii="仿宋" w:eastAsia="仿宋" w:hAnsi="仿宋" w:cs="仿宋" w:hint="eastAsia"/>
          <w:color w:val="auto"/>
        </w:rPr>
        <w:t>周界电子防护</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lastRenderedPageBreak/>
        <w:t>周界电子防护应在建筑工程周界依照防区划分部署周界入侵探测器。周界报警装置应有连续的警戒线，不得有盲区。</w:t>
      </w:r>
    </w:p>
    <w:p w:rsidR="00925AC4" w:rsidRDefault="00285E1E">
      <w:pPr>
        <w:numPr>
          <w:ilvl w:val="0"/>
          <w:numId w:val="66"/>
        </w:numPr>
        <w:ind w:firstLine="560"/>
        <w:rPr>
          <w:rFonts w:ascii="仿宋" w:eastAsia="仿宋" w:hAnsi="仿宋" w:cs="仿宋"/>
          <w:color w:val="auto"/>
        </w:rPr>
      </w:pPr>
      <w:r>
        <w:rPr>
          <w:rFonts w:ascii="仿宋" w:eastAsia="仿宋" w:hAnsi="仿宋" w:cs="仿宋" w:hint="eastAsia"/>
          <w:color w:val="auto"/>
        </w:rPr>
        <w:t>视频安防监控</w:t>
      </w:r>
    </w:p>
    <w:p w:rsidR="00925AC4" w:rsidRDefault="00285E1E">
      <w:pPr>
        <w:numPr>
          <w:ilvl w:val="0"/>
          <w:numId w:val="67"/>
        </w:numPr>
        <w:ind w:firstLine="560"/>
        <w:rPr>
          <w:rFonts w:ascii="仿宋" w:eastAsia="仿宋" w:hAnsi="仿宋" w:cs="仿宋"/>
          <w:color w:val="auto"/>
        </w:rPr>
      </w:pPr>
      <w:r>
        <w:rPr>
          <w:rFonts w:ascii="仿宋" w:eastAsia="仿宋" w:hAnsi="仿宋" w:cs="仿宋" w:hint="eastAsia"/>
          <w:color w:val="auto"/>
        </w:rPr>
        <w:t>建筑工程公共区域、建筑高点、重点部位、关联区域应规划设计全覆盖网络型数字视频安防监控系统方案。</w:t>
      </w:r>
    </w:p>
    <w:p w:rsidR="00925AC4" w:rsidRDefault="00285E1E">
      <w:pPr>
        <w:numPr>
          <w:ilvl w:val="0"/>
          <w:numId w:val="67"/>
        </w:numPr>
        <w:ind w:firstLine="560"/>
        <w:rPr>
          <w:rFonts w:ascii="仿宋" w:eastAsia="仿宋" w:hAnsi="仿宋" w:cs="仿宋"/>
          <w:color w:val="auto"/>
        </w:rPr>
      </w:pPr>
      <w:r>
        <w:rPr>
          <w:rFonts w:ascii="仿宋" w:eastAsia="仿宋" w:hAnsi="仿宋" w:cs="仿宋" w:hint="eastAsia"/>
          <w:color w:val="auto"/>
        </w:rPr>
        <w:t>视频安防监控系统宜支持前端边缘智能分析终端或</w:t>
      </w:r>
      <w:r>
        <w:rPr>
          <w:rFonts w:ascii="仿宋" w:eastAsia="仿宋" w:hAnsi="仿宋" w:cs="仿宋" w:hint="eastAsia"/>
          <w:color w:val="auto"/>
        </w:rPr>
        <w:t>5G</w:t>
      </w:r>
      <w:r>
        <w:rPr>
          <w:rFonts w:ascii="仿宋" w:eastAsia="仿宋" w:hAnsi="仿宋" w:cs="仿宋" w:hint="eastAsia"/>
          <w:color w:val="auto"/>
        </w:rPr>
        <w:t>智能化应用设备接入、集成和展示。</w:t>
      </w:r>
    </w:p>
    <w:p w:rsidR="00925AC4" w:rsidRDefault="00285E1E">
      <w:pPr>
        <w:numPr>
          <w:ilvl w:val="0"/>
          <w:numId w:val="66"/>
        </w:numPr>
        <w:ind w:firstLine="560"/>
        <w:rPr>
          <w:rFonts w:ascii="仿宋" w:eastAsia="仿宋" w:hAnsi="仿宋" w:cs="仿宋"/>
          <w:color w:val="auto"/>
        </w:rPr>
      </w:pPr>
      <w:r>
        <w:rPr>
          <w:rFonts w:ascii="仿宋" w:eastAsia="仿宋" w:hAnsi="仿宋" w:cs="仿宋" w:hint="eastAsia"/>
          <w:color w:val="auto"/>
        </w:rPr>
        <w:t>监控中心</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建筑工程应根据设备数量、安装要求、预留空间及值班操作、维修、生活等需求，确定监控中心面积；监控中心面积原则上不宜小于</w:t>
      </w:r>
      <w:r>
        <w:rPr>
          <w:rFonts w:ascii="仿宋" w:eastAsia="仿宋" w:hAnsi="仿宋" w:cs="仿宋" w:hint="eastAsia"/>
          <w:color w:val="auto"/>
        </w:rPr>
        <w:t>20</w:t>
      </w:r>
      <w:r>
        <w:rPr>
          <w:rFonts w:ascii="仿宋" w:eastAsia="仿宋" w:hAnsi="仿宋" w:cs="仿宋" w:hint="eastAsia"/>
          <w:color w:val="auto"/>
        </w:rPr>
        <w:t>平方米</w:t>
      </w:r>
      <w:r>
        <w:rPr>
          <w:rFonts w:ascii="仿宋" w:eastAsia="仿宋" w:hAnsi="仿宋" w:cs="仿宋" w:hint="eastAsia"/>
          <w:color w:val="auto"/>
        </w:rPr>
        <w:t>(</w:t>
      </w:r>
      <w:r>
        <w:rPr>
          <w:rFonts w:ascii="仿宋" w:eastAsia="仿宋" w:hAnsi="仿宋" w:cs="仿宋" w:hint="eastAsia"/>
          <w:color w:val="auto"/>
        </w:rPr>
        <w:t>可设置于配套用房内</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66"/>
        </w:numPr>
        <w:ind w:firstLine="560"/>
        <w:rPr>
          <w:rFonts w:ascii="仿宋" w:eastAsia="仿宋" w:hAnsi="仿宋" w:cs="仿宋"/>
          <w:color w:val="auto"/>
        </w:rPr>
      </w:pPr>
      <w:r>
        <w:rPr>
          <w:rFonts w:ascii="仿宋" w:eastAsia="仿宋" w:hAnsi="仿宋" w:cs="仿宋" w:hint="eastAsia"/>
          <w:color w:val="auto"/>
        </w:rPr>
        <w:t>符合反恐怖防范的需要</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在主要道路、交通枢纽、城市公共区域的重点部位等项目进行规划设计时，应当同步编制符合反恐怖工作的设计专篇。</w:t>
      </w:r>
    </w:p>
    <w:p w:rsidR="00925AC4" w:rsidRDefault="00285E1E">
      <w:pPr>
        <w:pStyle w:val="1"/>
        <w:rPr>
          <w:rFonts w:ascii="仿宋" w:eastAsia="仿宋" w:hAnsi="仿宋" w:cs="仿宋"/>
          <w:color w:val="auto"/>
          <w:sz w:val="32"/>
          <w:szCs w:val="32"/>
        </w:rPr>
      </w:pPr>
      <w:r>
        <w:rPr>
          <w:rFonts w:ascii="仿宋" w:eastAsia="仿宋" w:hAnsi="仿宋" w:cs="仿宋" w:hint="eastAsia"/>
          <w:color w:val="0000FF"/>
        </w:rPr>
        <w:br w:type="page"/>
      </w:r>
      <w:bookmarkStart w:id="61" w:name="_Toc13473"/>
      <w:r>
        <w:rPr>
          <w:rFonts w:ascii="仿宋" w:eastAsia="仿宋" w:hAnsi="仿宋" w:cs="仿宋" w:hint="eastAsia"/>
          <w:color w:val="auto"/>
          <w:sz w:val="32"/>
          <w:szCs w:val="32"/>
        </w:rPr>
        <w:lastRenderedPageBreak/>
        <w:t>第五章</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城市竖向规划控制</w:t>
      </w:r>
      <w:bookmarkEnd w:id="61"/>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城市用地竖向规划控制应结合国土空间规划、地形地貌、交通、排水、防洪、景观和经济发展等多种因素综合考虑，充分利用地形地貌及自然景观，合理使用不同坡度的土地，并应符合《城乡建设用地竖向规划规范》</w:t>
      </w:r>
      <w:r>
        <w:rPr>
          <w:rFonts w:ascii="仿宋" w:eastAsia="仿宋" w:hAnsi="仿宋" w:cs="仿宋" w:hint="eastAsia"/>
          <w:color w:val="auto"/>
        </w:rPr>
        <w:t>(CJJ83</w:t>
      </w:r>
      <w:r>
        <w:rPr>
          <w:rFonts w:ascii="仿宋" w:eastAsia="仿宋" w:hAnsi="仿宋" w:cs="仿宋" w:hint="eastAsia"/>
          <w:color w:val="auto"/>
        </w:rPr>
        <w:t>—</w:t>
      </w:r>
      <w:r>
        <w:rPr>
          <w:rFonts w:ascii="仿宋" w:eastAsia="仿宋" w:hAnsi="仿宋" w:cs="仿宋" w:hint="eastAsia"/>
          <w:color w:val="auto"/>
        </w:rPr>
        <w:t>2016)</w:t>
      </w:r>
      <w:r>
        <w:rPr>
          <w:rFonts w:ascii="仿宋" w:eastAsia="仿宋" w:hAnsi="仿宋" w:cs="仿宋" w:hint="eastAsia"/>
          <w:color w:val="auto"/>
        </w:rPr>
        <w:t>的规定。</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建设用地竖向规划应控制和避免次生地质灾害的发生；减少对原地形地貌、地表植被、水系的扰动和损毁；严禁在地质灾害高、中易发区进行深挖高填。</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城市用地应合理控制道路交叉口、桥梁、排水干管出口、建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筑物等标高，各项控制标高应满足城市防洪标准，并尽可能做到挖填方平衡，减少土石方工程量和对自然地</w:t>
      </w:r>
      <w:r>
        <w:rPr>
          <w:rFonts w:ascii="仿宋" w:eastAsia="仿宋" w:hAnsi="仿宋" w:cs="仿宋" w:hint="eastAsia"/>
          <w:color w:val="auto"/>
        </w:rPr>
        <w:t>形地貌的破坏。</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建设用地自然坡度小于</w:t>
      </w:r>
      <w:r>
        <w:rPr>
          <w:rFonts w:ascii="仿宋" w:eastAsia="仿宋" w:hAnsi="仿宋" w:cs="仿宋" w:hint="eastAsia"/>
          <w:color w:val="auto"/>
        </w:rPr>
        <w:t>5%</w:t>
      </w:r>
      <w:r>
        <w:rPr>
          <w:rFonts w:ascii="仿宋" w:eastAsia="仿宋" w:hAnsi="仿宋" w:cs="仿宋" w:hint="eastAsia"/>
          <w:color w:val="auto"/>
        </w:rPr>
        <w:t>时，宜按平坡式建设；建设用地自然坡度大于</w:t>
      </w:r>
      <w:r>
        <w:rPr>
          <w:rFonts w:ascii="仿宋" w:eastAsia="仿宋" w:hAnsi="仿宋" w:cs="仿宋" w:hint="eastAsia"/>
          <w:color w:val="auto"/>
        </w:rPr>
        <w:t>8%</w:t>
      </w:r>
      <w:r>
        <w:rPr>
          <w:rFonts w:ascii="仿宋" w:eastAsia="仿宋" w:hAnsi="仿宋" w:cs="仿宋" w:hint="eastAsia"/>
          <w:color w:val="auto"/>
        </w:rPr>
        <w:t>时，宜呈台阶式建设，台地之间应采用护坡或挡土墙连接。</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相邻台地间的高差宜为</w:t>
      </w:r>
      <w:r>
        <w:rPr>
          <w:rFonts w:ascii="仿宋" w:eastAsia="仿宋" w:hAnsi="仿宋" w:cs="仿宋" w:hint="eastAsia"/>
          <w:color w:val="auto"/>
        </w:rPr>
        <w:t>1.5</w:t>
      </w:r>
      <w:r>
        <w:rPr>
          <w:rFonts w:ascii="仿宋" w:eastAsia="仿宋" w:hAnsi="仿宋" w:cs="仿宋" w:hint="eastAsia"/>
          <w:color w:val="auto"/>
        </w:rPr>
        <w:t>米—</w:t>
      </w:r>
      <w:r>
        <w:rPr>
          <w:rFonts w:ascii="仿宋" w:eastAsia="仿宋" w:hAnsi="仿宋" w:cs="仿宋" w:hint="eastAsia"/>
          <w:color w:val="auto"/>
        </w:rPr>
        <w:t>3</w:t>
      </w:r>
      <w:r>
        <w:rPr>
          <w:rFonts w:ascii="仿宋" w:eastAsia="仿宋" w:hAnsi="仿宋" w:cs="仿宋" w:hint="eastAsia"/>
          <w:color w:val="auto"/>
        </w:rPr>
        <w:t>米，台地间宜采取护坡连接；相邻台地间的高差大于或等于</w:t>
      </w:r>
      <w:r>
        <w:rPr>
          <w:rFonts w:ascii="仿宋" w:eastAsia="仿宋" w:hAnsi="仿宋" w:cs="仿宋" w:hint="eastAsia"/>
          <w:color w:val="auto"/>
        </w:rPr>
        <w:t>3</w:t>
      </w:r>
      <w:r>
        <w:rPr>
          <w:rFonts w:ascii="仿宋" w:eastAsia="仿宋" w:hAnsi="仿宋" w:cs="仿宋" w:hint="eastAsia"/>
          <w:color w:val="auto"/>
        </w:rPr>
        <w:t>米时，宜采取挡土墙结合放坡方式处理，挡土墙高度不宜高于</w:t>
      </w:r>
      <w:r>
        <w:rPr>
          <w:rFonts w:ascii="仿宋" w:eastAsia="仿宋" w:hAnsi="仿宋" w:cs="仿宋" w:hint="eastAsia"/>
          <w:color w:val="auto"/>
        </w:rPr>
        <w:t>6</w:t>
      </w:r>
      <w:r>
        <w:rPr>
          <w:rFonts w:ascii="仿宋" w:eastAsia="仿宋" w:hAnsi="仿宋" w:cs="仿宋" w:hint="eastAsia"/>
          <w:color w:val="auto"/>
        </w:rPr>
        <w:t>米。挡土墙高于</w:t>
      </w:r>
      <w:r>
        <w:rPr>
          <w:rFonts w:ascii="仿宋" w:eastAsia="仿宋" w:hAnsi="仿宋" w:cs="仿宋" w:hint="eastAsia"/>
          <w:color w:val="auto"/>
        </w:rPr>
        <w:t>1.5</w:t>
      </w:r>
      <w:r>
        <w:rPr>
          <w:rFonts w:ascii="仿宋" w:eastAsia="仿宋" w:hAnsi="仿宋" w:cs="仿宋" w:hint="eastAsia"/>
          <w:color w:val="auto"/>
        </w:rPr>
        <w:t>米时，宜作景观处理或以绿化遮蔽。</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建设用地不宜规划高挡土墙与超高挡土墙。建设场地内需设置超高挡土墙时，必须进行专门技术论证与设计。</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临支路的新建住宅项目，宜结合地形地貌，合理确定场地建筑标高，其局部凸出地面的地下</w:t>
      </w:r>
      <w:r>
        <w:rPr>
          <w:rFonts w:ascii="仿宋" w:eastAsia="仿宋" w:hAnsi="仿宋" w:cs="仿宋" w:hint="eastAsia"/>
          <w:color w:val="auto"/>
        </w:rPr>
        <w:t>停车库建筑面积不计入项目容积率。</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当自然坡度大于</w:t>
      </w:r>
      <w:r>
        <w:rPr>
          <w:rFonts w:ascii="仿宋" w:eastAsia="仿宋" w:hAnsi="仿宋" w:cs="仿宋" w:hint="eastAsia"/>
          <w:color w:val="auto"/>
        </w:rPr>
        <w:t>8%</w:t>
      </w:r>
      <w:r>
        <w:rPr>
          <w:rFonts w:ascii="仿宋" w:eastAsia="仿宋" w:hAnsi="仿宋" w:cs="仿宋" w:hint="eastAsia"/>
          <w:color w:val="auto"/>
        </w:rPr>
        <w:t>时，应设置人行梯道。梯道建设应符合以下规定：</w:t>
      </w:r>
    </w:p>
    <w:p w:rsidR="00925AC4" w:rsidRDefault="00285E1E">
      <w:pPr>
        <w:numPr>
          <w:ilvl w:val="0"/>
          <w:numId w:val="69"/>
        </w:numPr>
        <w:ind w:firstLine="560"/>
        <w:rPr>
          <w:rFonts w:ascii="仿宋" w:eastAsia="仿宋" w:hAnsi="仿宋" w:cs="仿宋"/>
          <w:color w:val="auto"/>
        </w:rPr>
      </w:pPr>
      <w:r>
        <w:rPr>
          <w:rFonts w:ascii="仿宋" w:eastAsia="仿宋" w:hAnsi="仿宋" w:cs="仿宋" w:hint="eastAsia"/>
          <w:color w:val="auto"/>
        </w:rPr>
        <w:t>主要梯道最大坡度不宜大于</w:t>
      </w:r>
      <w:r>
        <w:rPr>
          <w:rFonts w:ascii="仿宋" w:eastAsia="仿宋" w:hAnsi="仿宋" w:cs="仿宋" w:hint="eastAsia"/>
          <w:color w:val="auto"/>
        </w:rPr>
        <w:t>10%;</w:t>
      </w:r>
      <w:r>
        <w:rPr>
          <w:rFonts w:ascii="仿宋" w:eastAsia="仿宋" w:hAnsi="仿宋" w:cs="仿宋" w:hint="eastAsia"/>
          <w:color w:val="auto"/>
        </w:rPr>
        <w:t>次要梯道不宜大于</w:t>
      </w:r>
      <w:r>
        <w:rPr>
          <w:rFonts w:ascii="仿宋" w:eastAsia="仿宋" w:hAnsi="仿宋" w:cs="仿宋" w:hint="eastAsia"/>
          <w:color w:val="auto"/>
        </w:rPr>
        <w:t>15%;</w:t>
      </w:r>
    </w:p>
    <w:p w:rsidR="00925AC4" w:rsidRDefault="00285E1E">
      <w:pPr>
        <w:numPr>
          <w:ilvl w:val="0"/>
          <w:numId w:val="69"/>
        </w:numPr>
        <w:ind w:firstLine="560"/>
        <w:rPr>
          <w:rFonts w:ascii="仿宋" w:eastAsia="仿宋" w:hAnsi="仿宋" w:cs="仿宋"/>
          <w:color w:val="auto"/>
        </w:rPr>
      </w:pPr>
      <w:bookmarkStart w:id="62" w:name="_bookmark16"/>
      <w:bookmarkEnd w:id="62"/>
      <w:r>
        <w:rPr>
          <w:rFonts w:ascii="仿宋" w:eastAsia="仿宋" w:hAnsi="仿宋" w:cs="仿宋" w:hint="eastAsia"/>
          <w:color w:val="auto"/>
        </w:rPr>
        <w:lastRenderedPageBreak/>
        <w:t>梯道每升高</w:t>
      </w:r>
      <w:r>
        <w:rPr>
          <w:rFonts w:ascii="仿宋" w:eastAsia="仿宋" w:hAnsi="仿宋" w:cs="仿宋" w:hint="eastAsia"/>
          <w:color w:val="auto"/>
        </w:rPr>
        <w:t>1.2</w:t>
      </w:r>
      <w:r>
        <w:rPr>
          <w:rFonts w:ascii="仿宋" w:eastAsia="仿宋" w:hAnsi="仿宋" w:cs="仿宋" w:hint="eastAsia"/>
          <w:color w:val="auto"/>
        </w:rPr>
        <w:t>米—</w:t>
      </w:r>
      <w:r>
        <w:rPr>
          <w:rFonts w:ascii="仿宋" w:eastAsia="仿宋" w:hAnsi="仿宋" w:cs="仿宋" w:hint="eastAsia"/>
          <w:color w:val="auto"/>
        </w:rPr>
        <w:t>1.5</w:t>
      </w:r>
      <w:r>
        <w:rPr>
          <w:rFonts w:ascii="仿宋" w:eastAsia="仿宋" w:hAnsi="仿宋" w:cs="仿宋" w:hint="eastAsia"/>
          <w:color w:val="auto"/>
        </w:rPr>
        <w:t>米时，宜设置休息平台；</w:t>
      </w:r>
    </w:p>
    <w:p w:rsidR="00925AC4" w:rsidRDefault="00285E1E">
      <w:pPr>
        <w:numPr>
          <w:ilvl w:val="0"/>
          <w:numId w:val="69"/>
        </w:numPr>
        <w:ind w:firstLine="560"/>
        <w:rPr>
          <w:rFonts w:ascii="仿宋" w:eastAsia="仿宋" w:hAnsi="仿宋" w:cs="仿宋"/>
          <w:color w:val="auto"/>
        </w:rPr>
      </w:pPr>
      <w:r>
        <w:rPr>
          <w:rFonts w:ascii="仿宋" w:eastAsia="仿宋" w:hAnsi="仿宋" w:cs="仿宋" w:hint="eastAsia"/>
          <w:color w:val="auto"/>
        </w:rPr>
        <w:t>鼓励建设垂直电梯、自动扶梯等设施，增加人行交通的便捷性。</w:t>
      </w:r>
    </w:p>
    <w:p w:rsidR="00925AC4" w:rsidRDefault="00285E1E">
      <w:pPr>
        <w:numPr>
          <w:ilvl w:val="0"/>
          <w:numId w:val="68"/>
        </w:numPr>
        <w:ind w:firstLine="560"/>
        <w:rPr>
          <w:rFonts w:ascii="仿宋" w:eastAsia="仿宋" w:hAnsi="仿宋" w:cs="仿宋"/>
          <w:color w:val="auto"/>
        </w:rPr>
      </w:pPr>
      <w:r>
        <w:rPr>
          <w:rFonts w:ascii="仿宋" w:eastAsia="仿宋" w:hAnsi="仿宋" w:cs="仿宋" w:hint="eastAsia"/>
          <w:color w:val="auto"/>
        </w:rPr>
        <w:t>滨水地区的竖向规划应结合用地功能保护滨水区生态环境，形成优美的滨水景观。</w:t>
      </w: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925AC4">
      <w:pPr>
        <w:tabs>
          <w:tab w:val="left" w:pos="210"/>
        </w:tabs>
        <w:ind w:firstLineChars="0" w:firstLine="0"/>
        <w:rPr>
          <w:rFonts w:ascii="仿宋" w:eastAsia="仿宋" w:hAnsi="仿宋" w:cs="仿宋"/>
          <w:color w:val="auto"/>
        </w:rPr>
      </w:pPr>
    </w:p>
    <w:p w:rsidR="00925AC4" w:rsidRDefault="00285E1E">
      <w:pPr>
        <w:pStyle w:val="1"/>
        <w:numPr>
          <w:ilvl w:val="0"/>
          <w:numId w:val="70"/>
        </w:numPr>
        <w:rPr>
          <w:rFonts w:ascii="仿宋" w:eastAsia="仿宋" w:hAnsi="仿宋" w:cs="仿宋"/>
          <w:color w:val="auto"/>
          <w:sz w:val="32"/>
          <w:szCs w:val="32"/>
        </w:rPr>
      </w:pPr>
      <w:r>
        <w:rPr>
          <w:rFonts w:ascii="仿宋" w:eastAsia="仿宋" w:hAnsi="仿宋" w:cs="仿宋" w:hint="eastAsia"/>
          <w:color w:val="auto"/>
          <w:sz w:val="32"/>
          <w:szCs w:val="32"/>
        </w:rPr>
        <w:t xml:space="preserve"> </w:t>
      </w:r>
      <w:bookmarkStart w:id="63" w:name="_Toc27884"/>
      <w:r>
        <w:rPr>
          <w:rFonts w:ascii="仿宋" w:eastAsia="仿宋" w:hAnsi="仿宋" w:cs="仿宋" w:hint="eastAsia"/>
          <w:color w:val="auto"/>
          <w:sz w:val="32"/>
          <w:szCs w:val="32"/>
        </w:rPr>
        <w:t>第四代住宅</w:t>
      </w:r>
      <w:r>
        <w:rPr>
          <w:rFonts w:ascii="仿宋" w:eastAsia="仿宋" w:hAnsi="仿宋" w:cs="仿宋" w:hint="eastAsia"/>
          <w:color w:val="auto"/>
          <w:sz w:val="32"/>
          <w:szCs w:val="32"/>
        </w:rPr>
        <w:t>规划管理</w:t>
      </w:r>
      <w:bookmarkEnd w:id="63"/>
    </w:p>
    <w:p w:rsidR="00925AC4" w:rsidRDefault="00285E1E">
      <w:pPr>
        <w:ind w:firstLine="560"/>
        <w:rPr>
          <w:rFonts w:ascii="仿宋" w:eastAsia="仿宋" w:hAnsi="仿宋" w:cs="仿宋"/>
          <w:color w:val="auto"/>
        </w:rPr>
      </w:pPr>
      <w:r>
        <w:rPr>
          <w:rFonts w:ascii="仿宋" w:eastAsia="仿宋" w:hAnsi="仿宋" w:cs="仿宋" w:hint="eastAsia"/>
          <w:color w:val="auto"/>
        </w:rPr>
        <w:t>本规定所称第四代住宅是将新兴的绿色生态理念注入城市住宅建筑实践，将庭院、花园与现代高层建筑相结合的高品质住宅。</w:t>
      </w:r>
    </w:p>
    <w:p w:rsidR="00925AC4" w:rsidRDefault="00285E1E" w:rsidP="008E7712">
      <w:pPr>
        <w:numPr>
          <w:ilvl w:val="0"/>
          <w:numId w:val="71"/>
        </w:numPr>
        <w:ind w:firstLine="534"/>
        <w:rPr>
          <w:rFonts w:ascii="仿宋" w:eastAsia="仿宋" w:hAnsi="仿宋" w:cs="仿宋"/>
          <w:color w:val="auto"/>
        </w:rPr>
      </w:pPr>
      <w:r>
        <w:rPr>
          <w:rFonts w:ascii="仿宋" w:eastAsia="仿宋" w:hAnsi="仿宋" w:cs="仿宋" w:hint="eastAsia"/>
          <w:spacing w:val="-13"/>
        </w:rPr>
        <w:lastRenderedPageBreak/>
        <w:t>第四代住宅应为改善型住宅，其户型计容建筑</w:t>
      </w:r>
      <w:r>
        <w:rPr>
          <w:rFonts w:ascii="仿宋" w:eastAsia="仿宋" w:hAnsi="仿宋" w:cs="仿宋" w:hint="eastAsia"/>
          <w:spacing w:val="14"/>
        </w:rPr>
        <w:t>面积不得小于</w:t>
      </w:r>
      <w:r>
        <w:rPr>
          <w:rFonts w:ascii="仿宋" w:eastAsia="仿宋" w:hAnsi="仿宋" w:cs="仿宋" w:hint="eastAsia"/>
          <w:spacing w:val="14"/>
        </w:rPr>
        <w:t>120</w:t>
      </w:r>
      <w:r>
        <w:rPr>
          <w:rFonts w:ascii="仿宋" w:eastAsia="仿宋" w:hAnsi="仿宋" w:cs="仿宋" w:hint="eastAsia"/>
          <w:spacing w:val="14"/>
        </w:rPr>
        <w:t>平方米</w:t>
      </w:r>
      <w:r>
        <w:rPr>
          <w:rFonts w:ascii="仿宋" w:eastAsia="仿宋" w:hAnsi="仿宋" w:cs="仿宋" w:hint="eastAsia"/>
        </w:rPr>
        <w:t>（</w:t>
      </w:r>
      <w:commentRangeStart w:id="64"/>
      <w:r>
        <w:rPr>
          <w:rFonts w:ascii="仿宋" w:eastAsia="仿宋" w:hAnsi="仿宋" w:cs="仿宋" w:hint="eastAsia"/>
          <w:spacing w:val="31"/>
        </w:rPr>
        <w:t>含</w:t>
      </w:r>
      <w:r>
        <w:rPr>
          <w:rFonts w:ascii="仿宋" w:eastAsia="仿宋" w:hAnsi="仿宋" w:cs="仿宋" w:hint="eastAsia"/>
          <w:spacing w:val="31"/>
        </w:rPr>
        <w:t>120</w:t>
      </w:r>
      <w:r>
        <w:rPr>
          <w:rFonts w:ascii="仿宋" w:eastAsia="仿宋" w:hAnsi="仿宋" w:cs="仿宋" w:hint="eastAsia"/>
          <w:spacing w:val="31"/>
        </w:rPr>
        <w:t>平方米</w:t>
      </w:r>
      <w:commentRangeEnd w:id="64"/>
      <w:r>
        <w:rPr>
          <w:rFonts w:ascii="仿宋" w:eastAsia="仿宋" w:hAnsi="仿宋" w:cs="仿宋" w:hint="eastAsia"/>
        </w:rPr>
        <w:commentReference w:id="64"/>
      </w:r>
      <w:r>
        <w:rPr>
          <w:rFonts w:ascii="仿宋" w:eastAsia="仿宋" w:hAnsi="仿宋" w:cs="仿宋" w:hint="eastAsia"/>
        </w:rPr>
        <w:t>）</w:t>
      </w:r>
      <w:r>
        <w:rPr>
          <w:rFonts w:ascii="仿宋" w:eastAsia="仿宋" w:hAnsi="仿宋" w:cs="仿宋" w:hint="eastAsia"/>
        </w:rPr>
        <w:t>。</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第四代住宅试点的项目，仅可以采用</w:t>
      </w:r>
      <w:r>
        <w:rPr>
          <w:rFonts w:ascii="仿宋" w:eastAsia="仿宋" w:hAnsi="仿宋" w:cs="仿宋" w:hint="eastAsia"/>
          <w:spacing w:val="-13"/>
        </w:rPr>
        <w:t>“</w:t>
      </w:r>
      <w:r>
        <w:rPr>
          <w:rFonts w:ascii="仿宋" w:eastAsia="仿宋" w:hAnsi="仿宋" w:cs="仿宋" w:hint="eastAsia"/>
          <w:spacing w:val="-13"/>
        </w:rPr>
        <w:t>空中庭院住宅</w:t>
      </w:r>
      <w:r>
        <w:rPr>
          <w:rFonts w:ascii="仿宋" w:eastAsia="仿宋" w:hAnsi="仿宋" w:cs="仿宋" w:hint="eastAsia"/>
          <w:spacing w:val="-13"/>
        </w:rPr>
        <w:t>”</w:t>
      </w:r>
      <w:r>
        <w:rPr>
          <w:rFonts w:ascii="仿宋" w:eastAsia="仿宋" w:hAnsi="仿宋" w:cs="仿宋" w:hint="eastAsia"/>
          <w:spacing w:val="-13"/>
        </w:rPr>
        <w:t>或</w:t>
      </w:r>
      <w:r>
        <w:rPr>
          <w:rFonts w:ascii="仿宋" w:eastAsia="仿宋" w:hAnsi="仿宋" w:cs="仿宋" w:hint="eastAsia"/>
          <w:spacing w:val="-13"/>
        </w:rPr>
        <w:t>“</w:t>
      </w:r>
      <w:r>
        <w:rPr>
          <w:rFonts w:ascii="仿宋" w:eastAsia="仿宋" w:hAnsi="仿宋" w:cs="仿宋" w:hint="eastAsia"/>
          <w:spacing w:val="-13"/>
        </w:rPr>
        <w:t>空中花园住宅</w:t>
      </w:r>
      <w:r>
        <w:rPr>
          <w:rFonts w:ascii="仿宋" w:eastAsia="仿宋" w:hAnsi="仿宋" w:cs="仿宋" w:hint="eastAsia"/>
          <w:spacing w:val="-13"/>
        </w:rPr>
        <w:t>”</w:t>
      </w:r>
      <w:r>
        <w:rPr>
          <w:rFonts w:ascii="仿宋" w:eastAsia="仿宋" w:hAnsi="仿宋" w:cs="仿宋" w:hint="eastAsia"/>
          <w:spacing w:val="-13"/>
        </w:rPr>
        <w:t>两种类型，试点项目可选择其中一种或可组合实施。</w:t>
      </w:r>
    </w:p>
    <w:p w:rsidR="00925AC4" w:rsidRDefault="00285E1E">
      <w:pPr>
        <w:numPr>
          <w:ilvl w:val="0"/>
          <w:numId w:val="72"/>
        </w:numPr>
        <w:ind w:firstLine="560"/>
        <w:rPr>
          <w:rFonts w:ascii="仿宋" w:eastAsia="仿宋" w:hAnsi="仿宋" w:cs="仿宋"/>
          <w:color w:val="auto"/>
        </w:rPr>
      </w:pPr>
      <w:r>
        <w:rPr>
          <w:rFonts w:ascii="仿宋" w:eastAsia="仿宋" w:hAnsi="仿宋" w:cs="仿宋" w:hint="eastAsia"/>
          <w:color w:val="auto"/>
        </w:rPr>
        <w:t>空中庭院住宅</w:t>
      </w:r>
      <w:r>
        <w:rPr>
          <w:rFonts w:ascii="仿宋" w:eastAsia="仿宋" w:hAnsi="仿宋" w:cs="仿宋" w:hint="eastAsia"/>
          <w:color w:val="auto"/>
        </w:rPr>
        <w:t>：每两层住宅设置一处空中公共平台用作公共院落使用，两层住户共享该处公共院落。院落须向业主公共开放使用，其功能可为运动、棋牌等。同时，每套住宅仅设置一处空中花园（前庭后院）。</w:t>
      </w:r>
    </w:p>
    <w:p w:rsidR="00925AC4" w:rsidRDefault="00285E1E">
      <w:pPr>
        <w:ind w:firstLine="560"/>
        <w:rPr>
          <w:rFonts w:ascii="仿宋" w:eastAsia="仿宋" w:hAnsi="仿宋" w:cs="仿宋"/>
          <w:color w:val="auto"/>
        </w:rPr>
      </w:pPr>
      <w:r>
        <w:rPr>
          <w:rFonts w:ascii="仿宋" w:eastAsia="仿宋" w:hAnsi="仿宋" w:cs="仿宋" w:hint="eastAsia"/>
          <w:color w:val="auto"/>
        </w:rPr>
        <w:t>空中庭院住宅，其公共平台的设置须有两个自然层通高，公共平台（包括位于平台的载人电梯、消防楼梯、上层通道等不计入容积率计算。公共平台的水平投影面积不得超过所属两层住宅计容建筑面积的</w:t>
      </w:r>
      <w:r>
        <w:rPr>
          <w:rFonts w:ascii="仿宋" w:eastAsia="仿宋" w:hAnsi="仿宋" w:cs="仿宋" w:hint="eastAsia"/>
          <w:color w:val="auto"/>
        </w:rPr>
        <w:t>50%</w:t>
      </w:r>
      <w:r>
        <w:rPr>
          <w:rFonts w:ascii="仿宋" w:eastAsia="仿宋" w:hAnsi="仿宋" w:cs="仿宋" w:hint="eastAsia"/>
          <w:color w:val="auto"/>
        </w:rPr>
        <w:t>，并须计入总建筑面积计算。</w:t>
      </w:r>
    </w:p>
    <w:p w:rsidR="00925AC4" w:rsidRDefault="00285E1E">
      <w:pPr>
        <w:numPr>
          <w:ilvl w:val="0"/>
          <w:numId w:val="72"/>
        </w:numPr>
        <w:ind w:firstLine="560"/>
        <w:rPr>
          <w:rFonts w:ascii="仿宋" w:eastAsia="仿宋" w:hAnsi="仿宋" w:cs="仿宋"/>
          <w:color w:val="auto"/>
        </w:rPr>
      </w:pPr>
      <w:r>
        <w:rPr>
          <w:rFonts w:ascii="仿宋" w:eastAsia="仿宋" w:hAnsi="仿宋" w:cs="仿宋" w:hint="eastAsia"/>
          <w:color w:val="auto"/>
        </w:rPr>
        <w:t>空中花园住宅：保留了第三代住宅传统的电梯厅以及过道，每户住宅仅设置一处空中花园（后院）。</w:t>
      </w:r>
    </w:p>
    <w:p w:rsidR="00925AC4" w:rsidRDefault="00285E1E">
      <w:pPr>
        <w:ind w:firstLine="560"/>
        <w:rPr>
          <w:rFonts w:ascii="仿宋" w:eastAsia="仿宋" w:hAnsi="仿宋" w:cs="仿宋"/>
          <w:color w:val="auto"/>
        </w:rPr>
      </w:pPr>
      <w:r>
        <w:rPr>
          <w:rFonts w:ascii="仿宋" w:eastAsia="仿宋" w:hAnsi="仿宋" w:cs="仿宋" w:hint="eastAsia"/>
          <w:color w:val="auto"/>
        </w:rPr>
        <w:t>“空中花园”</w:t>
      </w:r>
      <w:r>
        <w:rPr>
          <w:rFonts w:ascii="仿宋" w:eastAsia="仿宋" w:hAnsi="仿宋" w:cs="仿宋" w:hint="eastAsia"/>
          <w:color w:val="auto"/>
        </w:rPr>
        <w:t>须有覆土绿化植物，其设置须有两个自然层通高，采用外挑结构，应设置在建筑主体结构之外，无墙且不封闭，形态宜采用弧形。空中花园的面积不计入容积率计算，其外挑部分，最小处进深尺寸应不小于</w:t>
      </w:r>
      <w:r>
        <w:rPr>
          <w:rFonts w:ascii="仿宋" w:eastAsia="仿宋" w:hAnsi="仿宋" w:cs="仿宋" w:hint="eastAsia"/>
          <w:color w:val="auto"/>
        </w:rPr>
        <w:t>4</w:t>
      </w:r>
      <w:r>
        <w:rPr>
          <w:rFonts w:ascii="仿宋" w:eastAsia="仿宋" w:hAnsi="仿宋" w:cs="仿宋" w:hint="eastAsia"/>
          <w:color w:val="auto"/>
        </w:rPr>
        <w:t>米且不大于</w:t>
      </w:r>
      <w:r>
        <w:rPr>
          <w:rFonts w:ascii="仿宋" w:eastAsia="仿宋" w:hAnsi="仿宋" w:cs="仿宋" w:hint="eastAsia"/>
          <w:color w:val="auto"/>
        </w:rPr>
        <w:t>6</w:t>
      </w:r>
      <w:r>
        <w:rPr>
          <w:rFonts w:ascii="仿宋" w:eastAsia="仿宋" w:hAnsi="仿宋" w:cs="仿宋" w:hint="eastAsia"/>
          <w:color w:val="auto"/>
        </w:rPr>
        <w:t>米，</w:t>
      </w:r>
      <w:r>
        <w:rPr>
          <w:rFonts w:ascii="仿宋" w:eastAsia="仿宋" w:hAnsi="仿宋" w:cs="仿宋" w:hint="eastAsia"/>
          <w:color w:val="auto"/>
        </w:rPr>
        <w:t>其水平投影面积不得大于该户套内计容建筑面积的</w:t>
      </w:r>
      <w:r>
        <w:rPr>
          <w:rFonts w:ascii="仿宋" w:eastAsia="仿宋" w:hAnsi="仿宋" w:cs="仿宋" w:hint="eastAsia"/>
          <w:color w:val="auto"/>
        </w:rPr>
        <w:t>45%</w:t>
      </w:r>
      <w:r>
        <w:rPr>
          <w:rFonts w:ascii="仿宋" w:eastAsia="仿宋" w:hAnsi="仿宋" w:cs="仿宋" w:hint="eastAsia"/>
          <w:color w:val="auto"/>
        </w:rPr>
        <w:t>，并须计入总建筑面积计算。</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未纳入容积率计算的</w:t>
      </w:r>
      <w:r>
        <w:rPr>
          <w:rFonts w:ascii="仿宋" w:eastAsia="仿宋" w:hAnsi="仿宋" w:cs="仿宋" w:hint="eastAsia"/>
          <w:spacing w:val="-13"/>
        </w:rPr>
        <w:t>“</w:t>
      </w:r>
      <w:r>
        <w:rPr>
          <w:rFonts w:ascii="仿宋" w:eastAsia="仿宋" w:hAnsi="仿宋" w:cs="仿宋" w:hint="eastAsia"/>
          <w:spacing w:val="-13"/>
        </w:rPr>
        <w:t>公共平台</w:t>
      </w:r>
      <w:r>
        <w:rPr>
          <w:rFonts w:ascii="仿宋" w:eastAsia="仿宋" w:hAnsi="仿宋" w:cs="仿宋" w:hint="eastAsia"/>
          <w:spacing w:val="-13"/>
        </w:rPr>
        <w:t>”</w:t>
      </w:r>
      <w:r>
        <w:rPr>
          <w:rFonts w:ascii="仿宋" w:eastAsia="仿宋" w:hAnsi="仿宋" w:cs="仿宋" w:hint="eastAsia"/>
          <w:spacing w:val="-13"/>
        </w:rPr>
        <w:t>和</w:t>
      </w:r>
      <w:r>
        <w:rPr>
          <w:rFonts w:ascii="仿宋" w:eastAsia="仿宋" w:hAnsi="仿宋" w:cs="仿宋" w:hint="eastAsia"/>
          <w:spacing w:val="-13"/>
        </w:rPr>
        <w:t>“</w:t>
      </w:r>
      <w:r>
        <w:rPr>
          <w:rFonts w:ascii="仿宋" w:eastAsia="仿宋" w:hAnsi="仿宋" w:cs="仿宋" w:hint="eastAsia"/>
          <w:spacing w:val="-13"/>
        </w:rPr>
        <w:t>空中花园</w:t>
      </w:r>
      <w:r>
        <w:rPr>
          <w:rFonts w:ascii="仿宋" w:eastAsia="仿宋" w:hAnsi="仿宋" w:cs="仿宋" w:hint="eastAsia"/>
          <w:spacing w:val="-13"/>
        </w:rPr>
        <w:t>”</w:t>
      </w:r>
      <w:r>
        <w:rPr>
          <w:rFonts w:ascii="仿宋" w:eastAsia="仿宋" w:hAnsi="仿宋" w:cs="仿宋" w:hint="eastAsia"/>
          <w:spacing w:val="-13"/>
        </w:rPr>
        <w:t xml:space="preserve"> </w:t>
      </w:r>
      <w:r>
        <w:rPr>
          <w:rFonts w:ascii="仿宋" w:eastAsia="仿宋" w:hAnsi="仿宋" w:cs="仿宋" w:hint="eastAsia"/>
          <w:spacing w:val="-13"/>
        </w:rPr>
        <w:t>，其建筑面积不计入产权面积计算。</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为保证每套住宅的私密性，</w:t>
      </w:r>
      <w:r>
        <w:rPr>
          <w:rFonts w:ascii="仿宋" w:eastAsia="仿宋" w:hAnsi="仿宋" w:cs="仿宋" w:hint="eastAsia"/>
          <w:spacing w:val="-13"/>
        </w:rPr>
        <w:t xml:space="preserve"> </w:t>
      </w:r>
      <w:r>
        <w:rPr>
          <w:rFonts w:ascii="仿宋" w:eastAsia="仿宋" w:hAnsi="仿宋" w:cs="仿宋" w:hint="eastAsia"/>
          <w:spacing w:val="-13"/>
        </w:rPr>
        <w:t>空中花园</w:t>
      </w:r>
      <w:r>
        <w:rPr>
          <w:rFonts w:ascii="仿宋" w:eastAsia="仿宋" w:hAnsi="仿宋" w:cs="仿宋" w:hint="eastAsia"/>
          <w:spacing w:val="-13"/>
        </w:rPr>
        <w:t xml:space="preserve"> </w:t>
      </w:r>
      <w:r>
        <w:rPr>
          <w:rFonts w:ascii="仿宋" w:eastAsia="仿宋" w:hAnsi="仿宋" w:cs="仿宋" w:hint="eastAsia"/>
          <w:spacing w:val="-13"/>
        </w:rPr>
        <w:t>应设置在每套住宅的客厅外及建筑转角处，且花园正对上一层外墙面不得设有客厅、卧室、厨房、书房的窗户。</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lastRenderedPageBreak/>
        <w:t>应对“空中花园”的楼板做降板处理，降板深度不得小于</w:t>
      </w:r>
      <w:r>
        <w:rPr>
          <w:rFonts w:ascii="仿宋" w:eastAsia="仿宋" w:hAnsi="仿宋" w:cs="仿宋" w:hint="eastAsia"/>
          <w:spacing w:val="-13"/>
        </w:rPr>
        <w:t>0.5</w:t>
      </w:r>
      <w:r>
        <w:rPr>
          <w:rFonts w:ascii="仿宋" w:eastAsia="仿宋" w:hAnsi="仿宋" w:cs="仿宋" w:hint="eastAsia"/>
          <w:spacing w:val="-13"/>
        </w:rPr>
        <w:t>米。“空中花园”的覆土植绿面积不得小于“空中花园”面积的</w:t>
      </w:r>
      <w:r>
        <w:rPr>
          <w:rFonts w:ascii="仿宋" w:eastAsia="仿宋" w:hAnsi="仿宋" w:cs="仿宋" w:hint="eastAsia"/>
          <w:spacing w:val="-13"/>
        </w:rPr>
        <w:t>40%</w:t>
      </w:r>
      <w:r>
        <w:rPr>
          <w:rFonts w:ascii="仿宋" w:eastAsia="仿宋" w:hAnsi="仿宋" w:cs="仿宋" w:hint="eastAsia"/>
          <w:spacing w:val="-13"/>
        </w:rPr>
        <w:t>，绿化植物应以藤蔓为主，灌木、花卉为辅。“空中花园”的覆土植绿面积的</w:t>
      </w:r>
      <w:r>
        <w:rPr>
          <w:rFonts w:ascii="仿宋" w:eastAsia="仿宋" w:hAnsi="仿宋" w:cs="仿宋" w:hint="eastAsia"/>
          <w:spacing w:val="-13"/>
        </w:rPr>
        <w:t>20%</w:t>
      </w:r>
      <w:r>
        <w:rPr>
          <w:rFonts w:ascii="仿宋" w:eastAsia="仿宋" w:hAnsi="仿宋" w:cs="仿宋" w:hint="eastAsia"/>
          <w:spacing w:val="-13"/>
        </w:rPr>
        <w:t>纳入绿地率计算。</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除“公共平台”“空中花园”以及住宅建筑公共部分的门厅、大堂和坡屋顶部分外，其他建筑空间的层高不得高于</w:t>
      </w:r>
      <w:r>
        <w:rPr>
          <w:rFonts w:ascii="仿宋" w:eastAsia="仿宋" w:hAnsi="仿宋" w:cs="仿宋" w:hint="eastAsia"/>
          <w:spacing w:val="-13"/>
        </w:rPr>
        <w:t>3.6</w:t>
      </w:r>
      <w:r>
        <w:rPr>
          <w:rFonts w:ascii="仿宋" w:eastAsia="仿宋" w:hAnsi="仿宋" w:cs="仿宋" w:hint="eastAsia"/>
          <w:spacing w:val="-13"/>
        </w:rPr>
        <w:t>米，如有超出，则按照</w:t>
      </w:r>
      <w:r>
        <w:rPr>
          <w:rFonts w:ascii="仿宋" w:eastAsia="仿宋" w:hAnsi="仿宋" w:cs="仿宋" w:hint="eastAsia"/>
          <w:spacing w:val="-13"/>
        </w:rPr>
        <w:t>2</w:t>
      </w:r>
      <w:r>
        <w:rPr>
          <w:rFonts w:ascii="仿宋" w:eastAsia="仿宋" w:hAnsi="仿宋" w:cs="仿宋" w:hint="eastAsia"/>
          <w:spacing w:val="-13"/>
        </w:rPr>
        <w:t>个自然层纳入计容建筑面积计算。</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第四代住宅的建筑间距按建筑主体外轮廓线的位置计算，公共平台视为在建筑主体范围内。建筑退距、退界按建筑外立面最外端位置计算。</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第四代住宅一律不得设置入户花园、花池、退台、遮阳板、设备平台等非结构构件，一律不得采用镂空式的结构设计，如确因建筑结构需要而设置结构板、抗震板等结构构，其比例和凸窗比例一并计算，不得超过该层计容建筑面积的</w:t>
      </w:r>
      <w:r>
        <w:rPr>
          <w:rFonts w:ascii="仿宋" w:eastAsia="仿宋" w:hAnsi="仿宋" w:cs="仿宋" w:hint="eastAsia"/>
          <w:spacing w:val="-13"/>
        </w:rPr>
        <w:t>5%</w:t>
      </w:r>
      <w:r>
        <w:rPr>
          <w:rFonts w:ascii="仿宋" w:eastAsia="仿宋" w:hAnsi="仿宋" w:cs="仿宋" w:hint="eastAsia"/>
          <w:spacing w:val="-13"/>
        </w:rPr>
        <w:t>。设置的结构构件，应</w:t>
      </w:r>
      <w:r>
        <w:rPr>
          <w:rFonts w:ascii="仿宋" w:eastAsia="仿宋" w:hAnsi="仿宋" w:cs="仿宋" w:hint="eastAsia"/>
          <w:spacing w:val="-13"/>
        </w:rPr>
        <w:t>采用有效构造措施确保人员不能到达，且不得附加除结构必需荷载要求以外的各项荷载。</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同时，每套住宅仅允许设置一处必要的生活阳台，生活阳台的水平投影面积控制在</w:t>
      </w:r>
      <w:r>
        <w:rPr>
          <w:rFonts w:ascii="仿宋" w:eastAsia="仿宋" w:hAnsi="仿宋" w:cs="仿宋" w:hint="eastAsia"/>
          <w:color w:val="auto"/>
        </w:rPr>
        <w:t>3-4.5</w:t>
      </w:r>
      <w:r>
        <w:rPr>
          <w:rFonts w:ascii="仿宋" w:eastAsia="仿宋" w:hAnsi="仿宋" w:cs="仿宋" w:hint="eastAsia"/>
          <w:color w:val="auto"/>
        </w:rPr>
        <w:t>平方米以内，其面积计算，根据其</w:t>
      </w:r>
      <w:r>
        <w:rPr>
          <w:rFonts w:ascii="仿宋" w:eastAsia="仿宋" w:hAnsi="仿宋" w:cs="仿宋" w:hint="eastAsia"/>
          <w:color w:val="auto"/>
        </w:rPr>
        <w:t>设计</w:t>
      </w:r>
      <w:r>
        <w:rPr>
          <w:rFonts w:ascii="仿宋" w:eastAsia="仿宋" w:hAnsi="仿宋" w:cs="仿宋" w:hint="eastAsia"/>
          <w:color w:val="auto"/>
        </w:rPr>
        <w:t>情况执行：主体结构以内的生活阳台计算全面积，主体结构以外的两面以上临空的生活阳台，凸出宽度在</w:t>
      </w:r>
      <w:r>
        <w:rPr>
          <w:rFonts w:ascii="仿宋" w:eastAsia="仿宋" w:hAnsi="仿宋" w:cs="仿宋" w:hint="eastAsia"/>
          <w:color w:val="auto"/>
        </w:rPr>
        <w:t>2.1</w:t>
      </w:r>
      <w:r>
        <w:rPr>
          <w:rFonts w:ascii="仿宋" w:eastAsia="仿宋" w:hAnsi="仿宋" w:cs="仿宋" w:hint="eastAsia"/>
          <w:color w:val="auto"/>
        </w:rPr>
        <w:t>米以内的计算半面积，凸出宽度在</w:t>
      </w:r>
      <w:r>
        <w:rPr>
          <w:rFonts w:ascii="仿宋" w:eastAsia="仿宋" w:hAnsi="仿宋" w:cs="仿宋" w:hint="eastAsia"/>
          <w:color w:val="auto"/>
        </w:rPr>
        <w:t>2.1</w:t>
      </w:r>
      <w:r>
        <w:rPr>
          <w:rFonts w:ascii="仿宋" w:eastAsia="仿宋" w:hAnsi="仿宋" w:cs="仿宋" w:hint="eastAsia"/>
          <w:color w:val="auto"/>
        </w:rPr>
        <w:t>米以外的部分，计算全面积。</w:t>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住宅建筑密度按首层建筑物基底面积计算，且应符合《城市居住区规划设计标准》（</w:t>
      </w:r>
      <w:r>
        <w:rPr>
          <w:rFonts w:ascii="仿宋" w:eastAsia="仿宋" w:hAnsi="仿宋" w:cs="仿宋" w:hint="eastAsia"/>
          <w:spacing w:val="-13"/>
        </w:rPr>
        <w:t>GB50180-2018</w:t>
      </w:r>
      <w:r>
        <w:rPr>
          <w:rFonts w:ascii="仿宋" w:eastAsia="仿宋" w:hAnsi="仿宋" w:cs="仿宋" w:hint="eastAsia"/>
          <w:spacing w:val="-13"/>
        </w:rPr>
        <w:t>)</w:t>
      </w:r>
      <w:r>
        <w:rPr>
          <w:rFonts w:ascii="仿宋" w:eastAsia="仿宋" w:hAnsi="仿宋" w:cs="仿宋" w:hint="eastAsia"/>
          <w:spacing w:val="-13"/>
        </w:rPr>
        <w:tab/>
      </w:r>
    </w:p>
    <w:p w:rsidR="00925AC4" w:rsidRDefault="00285E1E" w:rsidP="008E7712">
      <w:pPr>
        <w:numPr>
          <w:ilvl w:val="0"/>
          <w:numId w:val="71"/>
        </w:numPr>
        <w:ind w:firstLine="534"/>
        <w:rPr>
          <w:rFonts w:ascii="仿宋" w:eastAsia="仿宋" w:hAnsi="仿宋" w:cs="仿宋"/>
          <w:spacing w:val="-13"/>
        </w:rPr>
      </w:pPr>
      <w:r>
        <w:rPr>
          <w:rFonts w:ascii="仿宋" w:eastAsia="仿宋" w:hAnsi="仿宋" w:cs="仿宋" w:hint="eastAsia"/>
          <w:spacing w:val="-13"/>
        </w:rPr>
        <w:t>第四代住宅的临街面宜对应建筑物的短边面，其建筑面宽</w:t>
      </w:r>
      <w:r>
        <w:rPr>
          <w:rFonts w:ascii="仿宋" w:eastAsia="仿宋" w:hAnsi="仿宋" w:cs="仿宋" w:hint="eastAsia"/>
          <w:spacing w:val="-13"/>
        </w:rPr>
        <w:t>不受限于规划管理技术规定。</w:t>
      </w:r>
    </w:p>
    <w:p w:rsidR="00925AC4" w:rsidRDefault="00285E1E" w:rsidP="008E7712">
      <w:pPr>
        <w:numPr>
          <w:ilvl w:val="0"/>
          <w:numId w:val="71"/>
        </w:numPr>
        <w:ind w:firstLine="534"/>
        <w:rPr>
          <w:rFonts w:ascii="仿宋" w:eastAsia="仿宋" w:hAnsi="仿宋" w:cs="仿宋"/>
          <w:spacing w:val="-13"/>
          <w:szCs w:val="28"/>
        </w:rPr>
      </w:pPr>
      <w:r>
        <w:rPr>
          <w:rFonts w:ascii="仿宋" w:eastAsia="仿宋" w:hAnsi="仿宋" w:cs="仿宋" w:hint="eastAsia"/>
          <w:spacing w:val="-13"/>
          <w:szCs w:val="28"/>
        </w:rPr>
        <w:lastRenderedPageBreak/>
        <w:t>第四代住宅项目以计容建筑面积为基数，按照计容建筑面积的</w:t>
      </w:r>
      <w:r>
        <w:rPr>
          <w:rFonts w:ascii="仿宋" w:eastAsia="仿宋" w:hAnsi="仿宋" w:cs="仿宋" w:hint="eastAsia"/>
          <w:spacing w:val="-13"/>
          <w:szCs w:val="28"/>
        </w:rPr>
        <w:t>0.2%</w:t>
      </w:r>
      <w:r>
        <w:rPr>
          <w:rFonts w:ascii="仿宋" w:eastAsia="仿宋" w:hAnsi="仿宋" w:cs="仿宋" w:hint="eastAsia"/>
          <w:spacing w:val="-13"/>
          <w:szCs w:val="28"/>
        </w:rPr>
        <w:t>，且不低于</w:t>
      </w:r>
      <w:r>
        <w:rPr>
          <w:rFonts w:ascii="仿宋" w:eastAsia="仿宋" w:hAnsi="仿宋" w:cs="仿宋" w:hint="eastAsia"/>
          <w:spacing w:val="-13"/>
          <w:szCs w:val="28"/>
        </w:rPr>
        <w:t>100</w:t>
      </w:r>
      <w:r>
        <w:rPr>
          <w:rFonts w:ascii="仿宋" w:eastAsia="仿宋" w:hAnsi="仿宋" w:cs="仿宋" w:hint="eastAsia"/>
          <w:spacing w:val="-13"/>
          <w:szCs w:val="28"/>
        </w:rPr>
        <w:t>平方米的标准，在地面以上配套建设物业服务用房，另应在地面以上设置一间不低于</w:t>
      </w:r>
      <w:r>
        <w:rPr>
          <w:rFonts w:ascii="仿宋" w:eastAsia="仿宋" w:hAnsi="仿宋" w:cs="仿宋" w:hint="eastAsia"/>
          <w:spacing w:val="-13"/>
          <w:szCs w:val="28"/>
        </w:rPr>
        <w:t>30</w:t>
      </w:r>
      <w:r>
        <w:rPr>
          <w:rFonts w:ascii="仿宋" w:eastAsia="仿宋" w:hAnsi="仿宋" w:cs="仿宋" w:hint="eastAsia"/>
          <w:spacing w:val="-13"/>
          <w:szCs w:val="28"/>
        </w:rPr>
        <w:t>平方米的业主委员会议事活动用房。</w:t>
      </w:r>
    </w:p>
    <w:p w:rsidR="00925AC4" w:rsidRDefault="00285E1E">
      <w:pPr>
        <w:ind w:firstLine="560"/>
        <w:rPr>
          <w:rFonts w:ascii="仿宋" w:eastAsia="仿宋" w:hAnsi="仿宋" w:cs="仿宋"/>
          <w:color w:val="auto"/>
          <w:szCs w:val="28"/>
        </w:rPr>
      </w:pPr>
      <w:r>
        <w:rPr>
          <w:rFonts w:ascii="仿宋" w:eastAsia="仿宋" w:hAnsi="仿宋" w:cs="仿宋" w:hint="eastAsia"/>
          <w:color w:val="auto"/>
          <w:szCs w:val="28"/>
        </w:rPr>
        <w:t>第四代住宅项目以计容建筑面积为基数，按照计容建筑面积的</w:t>
      </w:r>
      <w:r>
        <w:rPr>
          <w:rFonts w:ascii="仿宋" w:eastAsia="仿宋" w:hAnsi="仿宋" w:cs="仿宋" w:hint="eastAsia"/>
          <w:color w:val="auto"/>
          <w:szCs w:val="28"/>
        </w:rPr>
        <w:t>0.8%</w:t>
      </w:r>
      <w:r>
        <w:rPr>
          <w:rFonts w:ascii="仿宋" w:eastAsia="仿宋" w:hAnsi="仿宋" w:cs="仿宋" w:hint="eastAsia"/>
          <w:color w:val="auto"/>
          <w:szCs w:val="28"/>
        </w:rPr>
        <w:t>配建垃圾用房，且建筑面积应不小于</w:t>
      </w:r>
      <w:r>
        <w:rPr>
          <w:rFonts w:ascii="仿宋" w:eastAsia="仿宋" w:hAnsi="仿宋" w:cs="仿宋" w:hint="eastAsia"/>
          <w:color w:val="auto"/>
          <w:szCs w:val="28"/>
        </w:rPr>
        <w:t>20</w:t>
      </w:r>
      <w:r>
        <w:rPr>
          <w:rFonts w:ascii="仿宋" w:eastAsia="仿宋" w:hAnsi="仿宋" w:cs="仿宋" w:hint="eastAsia"/>
          <w:color w:val="auto"/>
          <w:szCs w:val="28"/>
        </w:rPr>
        <w:t>平方米。住宅建筑面积较大的项目可分散设置垃圾用房。</w:t>
      </w:r>
    </w:p>
    <w:p w:rsidR="00925AC4" w:rsidRDefault="00285E1E" w:rsidP="008E7712">
      <w:pPr>
        <w:numPr>
          <w:ilvl w:val="0"/>
          <w:numId w:val="71"/>
        </w:numPr>
        <w:ind w:firstLine="534"/>
        <w:rPr>
          <w:rFonts w:ascii="仿宋" w:eastAsia="仿宋" w:hAnsi="仿宋" w:cs="仿宋"/>
          <w:spacing w:val="-13"/>
          <w:szCs w:val="28"/>
        </w:rPr>
      </w:pPr>
      <w:r>
        <w:rPr>
          <w:rFonts w:ascii="仿宋" w:eastAsia="仿宋" w:hAnsi="仿宋" w:cs="仿宋" w:hint="eastAsia"/>
          <w:spacing w:val="-13"/>
          <w:szCs w:val="28"/>
        </w:rPr>
        <w:t>“</w:t>
      </w:r>
      <w:r>
        <w:rPr>
          <w:rFonts w:ascii="仿宋" w:eastAsia="仿宋" w:hAnsi="仿宋" w:cs="仿宋" w:hint="eastAsia"/>
          <w:spacing w:val="-13"/>
          <w:szCs w:val="28"/>
        </w:rPr>
        <w:t>公共平台</w:t>
      </w:r>
      <w:r>
        <w:rPr>
          <w:rFonts w:ascii="仿宋" w:eastAsia="仿宋" w:hAnsi="仿宋" w:cs="仿宋" w:hint="eastAsia"/>
          <w:spacing w:val="-13"/>
          <w:szCs w:val="28"/>
        </w:rPr>
        <w:t>”</w:t>
      </w:r>
      <w:r>
        <w:rPr>
          <w:rFonts w:ascii="仿宋" w:eastAsia="仿宋" w:hAnsi="仿宋" w:cs="仿宋" w:hint="eastAsia"/>
          <w:spacing w:val="-13"/>
          <w:szCs w:val="28"/>
        </w:rPr>
        <w:t>和</w:t>
      </w:r>
      <w:r>
        <w:rPr>
          <w:rFonts w:ascii="仿宋" w:eastAsia="仿宋" w:hAnsi="仿宋" w:cs="仿宋" w:hint="eastAsia"/>
          <w:spacing w:val="-13"/>
          <w:szCs w:val="28"/>
        </w:rPr>
        <w:t>“</w:t>
      </w:r>
      <w:r>
        <w:rPr>
          <w:rFonts w:ascii="仿宋" w:eastAsia="仿宋" w:hAnsi="仿宋" w:cs="仿宋" w:hint="eastAsia"/>
          <w:spacing w:val="-13"/>
          <w:szCs w:val="28"/>
        </w:rPr>
        <w:t>空中花园</w:t>
      </w:r>
      <w:r>
        <w:rPr>
          <w:rFonts w:ascii="仿宋" w:eastAsia="仿宋" w:hAnsi="仿宋" w:cs="仿宋" w:hint="eastAsia"/>
          <w:spacing w:val="-13"/>
          <w:szCs w:val="28"/>
        </w:rPr>
        <w:t>”</w:t>
      </w:r>
      <w:r>
        <w:rPr>
          <w:rFonts w:ascii="仿宋" w:eastAsia="仿宋" w:hAnsi="仿宋" w:cs="仿宋" w:hint="eastAsia"/>
          <w:spacing w:val="-13"/>
          <w:szCs w:val="28"/>
        </w:rPr>
        <w:t>中的景观绿化设计方案与项目同步规划、同步实施。</w:t>
      </w:r>
    </w:p>
    <w:p w:rsidR="00925AC4" w:rsidRDefault="00285E1E" w:rsidP="008E7712">
      <w:pPr>
        <w:numPr>
          <w:ilvl w:val="0"/>
          <w:numId w:val="71"/>
        </w:numPr>
        <w:ind w:firstLine="534"/>
        <w:rPr>
          <w:rFonts w:ascii="仿宋" w:eastAsia="仿宋" w:hAnsi="仿宋" w:cs="仿宋"/>
          <w:spacing w:val="-13"/>
          <w:szCs w:val="28"/>
        </w:rPr>
      </w:pPr>
      <w:r>
        <w:rPr>
          <w:rFonts w:ascii="仿宋" w:eastAsia="仿宋" w:hAnsi="仿宋" w:cs="仿宋" w:hint="eastAsia"/>
          <w:spacing w:val="-13"/>
          <w:szCs w:val="28"/>
        </w:rPr>
        <w:t>项目开发建设单位应将第四代住宅的绿化空间、公共平台用途及其相关内容纳入房屋销售合同，并将房屋销售合同向相关执法监管部门报备。竣工后，绿化空间实行统一物业管理和维护，严禁不按规定使用或私自改变用途。</w:t>
      </w:r>
    </w:p>
    <w:p w:rsidR="00925AC4" w:rsidRDefault="00925AC4">
      <w:pPr>
        <w:ind w:firstLineChars="0" w:firstLine="0"/>
        <w:rPr>
          <w:rFonts w:ascii="仿宋" w:eastAsia="仿宋" w:hAnsi="仿宋" w:cs="仿宋"/>
          <w:spacing w:val="-13"/>
          <w:szCs w:val="28"/>
        </w:rPr>
      </w:pPr>
    </w:p>
    <w:p w:rsidR="00925AC4" w:rsidRDefault="00925AC4">
      <w:pPr>
        <w:ind w:firstLineChars="0" w:firstLine="0"/>
        <w:rPr>
          <w:rFonts w:ascii="仿宋" w:eastAsia="仿宋" w:hAnsi="仿宋" w:cs="仿宋"/>
          <w:spacing w:val="-13"/>
          <w:szCs w:val="28"/>
        </w:rPr>
      </w:pPr>
    </w:p>
    <w:p w:rsidR="00925AC4" w:rsidRDefault="00285E1E">
      <w:pPr>
        <w:ind w:firstLineChars="0" w:firstLine="0"/>
        <w:jc w:val="center"/>
        <w:rPr>
          <w:rFonts w:ascii="仿宋" w:eastAsia="仿宋" w:hAnsi="仿宋" w:cs="仿宋"/>
          <w:color w:val="auto"/>
        </w:rPr>
      </w:pPr>
      <w:r>
        <w:rPr>
          <w:rFonts w:ascii="仿宋" w:eastAsia="仿宋" w:hAnsi="仿宋" w:cs="仿宋" w:hint="eastAsia"/>
          <w:color w:val="auto"/>
        </w:rPr>
        <w:br w:type="page"/>
      </w:r>
    </w:p>
    <w:p w:rsidR="00925AC4" w:rsidRDefault="00285E1E">
      <w:pPr>
        <w:pStyle w:val="1"/>
        <w:spacing w:line="240" w:lineRule="auto"/>
        <w:rPr>
          <w:rFonts w:ascii="仿宋" w:eastAsia="仿宋" w:hAnsi="仿宋" w:cs="仿宋"/>
          <w:color w:val="auto"/>
          <w:sz w:val="32"/>
          <w:szCs w:val="32"/>
        </w:rPr>
      </w:pPr>
      <w:bookmarkStart w:id="65" w:name="_Toc18519"/>
      <w:r>
        <w:rPr>
          <w:rFonts w:ascii="仿宋" w:eastAsia="仿宋" w:hAnsi="仿宋" w:cs="仿宋" w:hint="eastAsia"/>
          <w:color w:val="auto"/>
          <w:sz w:val="32"/>
          <w:szCs w:val="32"/>
        </w:rPr>
        <w:lastRenderedPageBreak/>
        <w:t>第七章</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附则</w:t>
      </w:r>
      <w:bookmarkEnd w:id="65"/>
    </w:p>
    <w:p w:rsidR="00925AC4" w:rsidRDefault="00285E1E">
      <w:pPr>
        <w:numPr>
          <w:ilvl w:val="0"/>
          <w:numId w:val="73"/>
        </w:numPr>
        <w:ind w:firstLine="560"/>
        <w:rPr>
          <w:rFonts w:ascii="仿宋" w:eastAsia="仿宋" w:hAnsi="仿宋" w:cs="仿宋"/>
          <w:color w:val="auto"/>
        </w:rPr>
      </w:pPr>
      <w:r>
        <w:rPr>
          <w:rFonts w:ascii="仿宋" w:eastAsia="仿宋" w:hAnsi="仿宋" w:cs="仿宋" w:hint="eastAsia"/>
          <w:color w:val="auto"/>
        </w:rPr>
        <w:t>建设项目设计方案中出现本规定之外或难以界定的情况时，可以组织专家论证其方案的合理性，以专家论证结论作为方案审查时的参考依据。</w:t>
      </w:r>
    </w:p>
    <w:p w:rsidR="00925AC4" w:rsidRDefault="00285E1E">
      <w:pPr>
        <w:numPr>
          <w:ilvl w:val="0"/>
          <w:numId w:val="73"/>
        </w:numPr>
        <w:ind w:firstLine="560"/>
        <w:rPr>
          <w:rFonts w:ascii="仿宋" w:eastAsia="仿宋" w:hAnsi="仿宋" w:cs="仿宋"/>
          <w:color w:val="auto"/>
        </w:rPr>
      </w:pPr>
      <w:r>
        <w:rPr>
          <w:rFonts w:ascii="仿宋" w:eastAsia="仿宋" w:hAnsi="仿宋" w:cs="仿宋" w:hint="eastAsia"/>
          <w:color w:val="auto"/>
        </w:rPr>
        <w:t>本规定未包括的内容，按国家、省相关技术规范、标准执行。特殊地块、特殊建设项目由自然资源和规划行政主管部门会同规划编制中心组织专家论证其方案的合理性，以专家论证结论作为方案审查的参考依据，并经相关法定程序批准后执行。</w:t>
      </w:r>
    </w:p>
    <w:p w:rsidR="00925AC4" w:rsidRDefault="00285E1E">
      <w:pPr>
        <w:numPr>
          <w:ilvl w:val="0"/>
          <w:numId w:val="73"/>
        </w:numPr>
        <w:ind w:firstLine="560"/>
        <w:rPr>
          <w:rFonts w:ascii="仿宋" w:eastAsia="仿宋" w:hAnsi="仿宋" w:cs="仿宋"/>
          <w:color w:val="auto"/>
        </w:rPr>
      </w:pPr>
      <w:r>
        <w:rPr>
          <w:rFonts w:ascii="仿宋" w:eastAsia="仿宋" w:hAnsi="仿宋" w:cs="仿宋" w:hint="eastAsia"/>
          <w:color w:val="auto"/>
        </w:rPr>
        <w:t>建设单位或自然资源和规划行政主管部门违反本规定的，依据《中华人民共和国行政处罚法》《中华人民共和国城乡规划法》等有关法律、法规的规定依法处理；构成犯罪的，依法移送司法机关追究刑事责任。</w:t>
      </w:r>
    </w:p>
    <w:p w:rsidR="00925AC4" w:rsidRDefault="00285E1E">
      <w:pPr>
        <w:numPr>
          <w:ilvl w:val="0"/>
          <w:numId w:val="73"/>
        </w:numPr>
        <w:ind w:firstLine="560"/>
        <w:rPr>
          <w:rFonts w:ascii="仿宋" w:eastAsia="仿宋" w:hAnsi="仿宋" w:cs="仿宋"/>
          <w:color w:val="0000FF"/>
        </w:rPr>
      </w:pPr>
      <w:r>
        <w:rPr>
          <w:rFonts w:ascii="仿宋" w:eastAsia="仿宋" w:hAnsi="仿宋" w:cs="仿宋" w:hint="eastAsia"/>
          <w:color w:val="auto"/>
        </w:rPr>
        <w:t>本规定自印发之日起执行，有效期</w:t>
      </w:r>
      <w:r>
        <w:rPr>
          <w:rFonts w:ascii="仿宋" w:eastAsia="仿宋" w:hAnsi="仿宋" w:cs="仿宋" w:hint="eastAsia"/>
          <w:color w:val="auto"/>
        </w:rPr>
        <w:t>5</w:t>
      </w:r>
      <w:r>
        <w:rPr>
          <w:rFonts w:ascii="仿宋" w:eastAsia="仿宋" w:hAnsi="仿宋" w:cs="仿宋" w:hint="eastAsia"/>
          <w:color w:val="auto"/>
        </w:rPr>
        <w:t>年。文件印发之日前已签订土地使用权成交确认书的建设项目，仍可按原规定从严执行。</w:t>
      </w:r>
    </w:p>
    <w:p w:rsidR="00925AC4" w:rsidRDefault="00925AC4" w:rsidP="008E7712">
      <w:pPr>
        <w:ind w:firstLine="560"/>
        <w:rPr>
          <w:rFonts w:ascii="仿宋" w:eastAsia="仿宋" w:hAnsi="仿宋" w:cs="仿宋"/>
          <w:color w:val="0000FF"/>
        </w:rPr>
        <w:sectPr w:rsidR="00925AC4">
          <w:footerReference w:type="default" r:id="rId52"/>
          <w:pgSz w:w="11900" w:h="16840"/>
          <w:pgMar w:top="1431" w:right="1384" w:bottom="1857" w:left="1569" w:header="0" w:footer="1550" w:gutter="0"/>
          <w:pgNumType w:start="1"/>
          <w:cols w:space="720"/>
        </w:sectPr>
      </w:pPr>
    </w:p>
    <w:p w:rsidR="00925AC4" w:rsidRDefault="00925AC4">
      <w:pPr>
        <w:spacing w:line="242" w:lineRule="auto"/>
        <w:rPr>
          <w:rFonts w:ascii="仿宋" w:eastAsia="仿宋" w:hAnsi="仿宋" w:cs="仿宋"/>
          <w:color w:val="C00000"/>
          <w:sz w:val="21"/>
        </w:rPr>
      </w:pPr>
    </w:p>
    <w:p w:rsidR="00925AC4" w:rsidRDefault="00285E1E">
      <w:pPr>
        <w:pStyle w:val="1"/>
        <w:spacing w:line="240" w:lineRule="auto"/>
        <w:jc w:val="left"/>
        <w:rPr>
          <w:rFonts w:ascii="仿宋" w:eastAsia="仿宋" w:hAnsi="仿宋" w:cs="仿宋"/>
          <w:color w:val="auto"/>
          <w:sz w:val="32"/>
          <w:szCs w:val="32"/>
        </w:rPr>
      </w:pPr>
      <w:bookmarkStart w:id="66" w:name="_bookmark17"/>
      <w:bookmarkStart w:id="67" w:name="_Toc20834"/>
      <w:bookmarkEnd w:id="66"/>
      <w:r>
        <w:rPr>
          <w:rFonts w:ascii="仿宋" w:eastAsia="仿宋" w:hAnsi="仿宋" w:cs="仿宋" w:hint="eastAsia"/>
          <w:color w:val="auto"/>
          <w:sz w:val="32"/>
          <w:szCs w:val="32"/>
        </w:rPr>
        <w:t>附录一</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名词解释</w:t>
      </w:r>
      <w:bookmarkEnd w:id="67"/>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民用建筑：</w:t>
      </w:r>
      <w:r>
        <w:rPr>
          <w:rFonts w:ascii="仿宋" w:eastAsia="仿宋" w:hAnsi="仿宋" w:cs="仿宋" w:hint="eastAsia"/>
          <w:color w:val="auto"/>
        </w:rPr>
        <w:t>供人们居住和进行公共活动的建筑的总称。按建筑使用功能可分为居住建筑和公共建筑两大类。</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住宅建筑：</w:t>
      </w:r>
      <w:r>
        <w:rPr>
          <w:rFonts w:ascii="仿宋" w:eastAsia="仿宋" w:hAnsi="仿宋" w:cs="仿宋" w:hint="eastAsia"/>
          <w:color w:val="auto"/>
        </w:rPr>
        <w:t>供家庭居住使用的建筑。</w:t>
      </w:r>
    </w:p>
    <w:p w:rsidR="00925AC4" w:rsidRDefault="00285E1E">
      <w:pPr>
        <w:numPr>
          <w:ilvl w:val="0"/>
          <w:numId w:val="74"/>
        </w:numPr>
        <w:ind w:firstLineChars="0" w:firstLine="560"/>
        <w:rPr>
          <w:rFonts w:ascii="仿宋" w:eastAsia="仿宋" w:hAnsi="仿宋" w:cs="仿宋"/>
          <w:color w:val="auto"/>
        </w:rPr>
      </w:pPr>
      <w:r>
        <w:rPr>
          <w:rFonts w:ascii="仿宋" w:eastAsia="仿宋" w:hAnsi="仿宋" w:cs="仿宋" w:hint="eastAsia"/>
          <w:color w:val="auto"/>
        </w:rPr>
        <w:t>民用建筑按地上高度分类划分如下：</w:t>
      </w:r>
    </w:p>
    <w:p w:rsidR="00925AC4" w:rsidRDefault="00285E1E">
      <w:pPr>
        <w:numPr>
          <w:ilvl w:val="0"/>
          <w:numId w:val="75"/>
        </w:numPr>
        <w:ind w:firstLine="560"/>
        <w:rPr>
          <w:rFonts w:ascii="仿宋" w:eastAsia="仿宋" w:hAnsi="仿宋" w:cs="仿宋"/>
          <w:color w:val="auto"/>
        </w:rPr>
      </w:pPr>
      <w:r>
        <w:rPr>
          <w:rFonts w:ascii="仿宋" w:eastAsia="仿宋" w:hAnsi="仿宋" w:cs="仿宋" w:hint="eastAsia"/>
          <w:color w:val="auto"/>
        </w:rPr>
        <w:t>住宅建筑按高度分类：建筑高度不大于</w:t>
      </w:r>
      <w:r>
        <w:rPr>
          <w:rFonts w:ascii="仿宋" w:eastAsia="仿宋" w:hAnsi="仿宋" w:cs="仿宋" w:hint="eastAsia"/>
          <w:color w:val="auto"/>
        </w:rPr>
        <w:t>27</w:t>
      </w:r>
      <w:r>
        <w:rPr>
          <w:rFonts w:ascii="仿宋" w:eastAsia="仿宋" w:hAnsi="仿宋" w:cs="仿宋" w:hint="eastAsia"/>
          <w:color w:val="auto"/>
        </w:rPr>
        <w:t>米的为多层住宅；</w:t>
      </w:r>
      <w:r>
        <w:rPr>
          <w:rFonts w:ascii="仿宋" w:eastAsia="仿宋" w:hAnsi="仿宋" w:cs="仿宋" w:hint="eastAsia"/>
          <w:color w:val="auto"/>
        </w:rPr>
        <w:t>27</w:t>
      </w:r>
      <w:r>
        <w:rPr>
          <w:rFonts w:ascii="仿宋" w:eastAsia="仿宋" w:hAnsi="仿宋" w:cs="仿宋" w:hint="eastAsia"/>
          <w:color w:val="auto"/>
        </w:rPr>
        <w:t>米以上的为高层住宅。</w:t>
      </w:r>
    </w:p>
    <w:p w:rsidR="00925AC4" w:rsidRDefault="00285E1E">
      <w:pPr>
        <w:numPr>
          <w:ilvl w:val="0"/>
          <w:numId w:val="75"/>
        </w:numPr>
        <w:ind w:firstLine="560"/>
        <w:rPr>
          <w:rFonts w:ascii="仿宋" w:eastAsia="仿宋" w:hAnsi="仿宋" w:cs="仿宋"/>
          <w:color w:val="auto"/>
        </w:rPr>
      </w:pPr>
      <w:r>
        <w:rPr>
          <w:rFonts w:ascii="仿宋" w:eastAsia="仿宋" w:hAnsi="仿宋" w:cs="仿宋" w:hint="eastAsia"/>
          <w:color w:val="auto"/>
        </w:rPr>
        <w:t>除住宅建筑之外的民用建筑高度不大于</w:t>
      </w:r>
      <w:r>
        <w:rPr>
          <w:rFonts w:ascii="仿宋" w:eastAsia="仿宋" w:hAnsi="仿宋" w:cs="仿宋" w:hint="eastAsia"/>
          <w:color w:val="auto"/>
        </w:rPr>
        <w:t>24</w:t>
      </w:r>
      <w:r>
        <w:rPr>
          <w:rFonts w:ascii="仿宋" w:eastAsia="仿宋" w:hAnsi="仿宋" w:cs="仿宋" w:hint="eastAsia"/>
          <w:color w:val="auto"/>
        </w:rPr>
        <w:t>米的为多层建筑</w:t>
      </w:r>
      <w:r>
        <w:rPr>
          <w:rFonts w:ascii="仿宋" w:eastAsia="仿宋" w:hAnsi="仿宋" w:cs="仿宋" w:hint="eastAsia"/>
          <w:color w:val="auto"/>
        </w:rPr>
        <w:t>(</w:t>
      </w:r>
      <w:r>
        <w:rPr>
          <w:rFonts w:ascii="仿宋" w:eastAsia="仿宋" w:hAnsi="仿宋" w:cs="仿宋" w:hint="eastAsia"/>
          <w:color w:val="auto"/>
        </w:rPr>
        <w:t>含单层建筑</w:t>
      </w:r>
      <w:r>
        <w:rPr>
          <w:rFonts w:ascii="仿宋" w:eastAsia="仿宋" w:hAnsi="仿宋" w:cs="仿宋" w:hint="eastAsia"/>
          <w:color w:val="auto"/>
        </w:rPr>
        <w:t>);</w:t>
      </w:r>
      <w:r>
        <w:rPr>
          <w:rFonts w:ascii="仿宋" w:eastAsia="仿宋" w:hAnsi="仿宋" w:cs="仿宋" w:hint="eastAsia"/>
          <w:color w:val="auto"/>
        </w:rPr>
        <w:t>大于</w:t>
      </w:r>
      <w:r>
        <w:rPr>
          <w:rFonts w:ascii="仿宋" w:eastAsia="仿宋" w:hAnsi="仿宋" w:cs="仿宋" w:hint="eastAsia"/>
          <w:color w:val="auto"/>
        </w:rPr>
        <w:t>24</w:t>
      </w:r>
      <w:r>
        <w:rPr>
          <w:rFonts w:ascii="仿宋" w:eastAsia="仿宋" w:hAnsi="仿宋" w:cs="仿宋" w:hint="eastAsia"/>
          <w:color w:val="auto"/>
        </w:rPr>
        <w:t>米的为高层建筑</w:t>
      </w:r>
      <w:r>
        <w:rPr>
          <w:rFonts w:ascii="仿宋" w:eastAsia="仿宋" w:hAnsi="仿宋" w:cs="仿宋" w:hint="eastAsia"/>
          <w:color w:val="auto"/>
        </w:rPr>
        <w:t>(</w:t>
      </w:r>
      <w:r>
        <w:rPr>
          <w:rFonts w:ascii="仿宋" w:eastAsia="仿宋" w:hAnsi="仿宋" w:cs="仿宋" w:hint="eastAsia"/>
          <w:color w:val="auto"/>
        </w:rPr>
        <w:t>不包括建筑高度大于</w:t>
      </w:r>
      <w:r>
        <w:rPr>
          <w:rFonts w:ascii="仿宋" w:eastAsia="仿宋" w:hAnsi="仿宋" w:cs="仿宋" w:hint="eastAsia"/>
          <w:color w:val="auto"/>
        </w:rPr>
        <w:t>24</w:t>
      </w:r>
      <w:r>
        <w:rPr>
          <w:rFonts w:ascii="仿宋" w:eastAsia="仿宋" w:hAnsi="仿宋" w:cs="仿宋" w:hint="eastAsia"/>
          <w:color w:val="auto"/>
        </w:rPr>
        <w:t>米的单层公共建筑</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75"/>
        </w:numPr>
        <w:ind w:firstLine="560"/>
        <w:rPr>
          <w:rFonts w:ascii="仿宋" w:eastAsia="仿宋" w:hAnsi="仿宋" w:cs="仿宋"/>
          <w:color w:val="auto"/>
        </w:rPr>
      </w:pPr>
      <w:r>
        <w:rPr>
          <w:rFonts w:ascii="仿宋" w:eastAsia="仿宋" w:hAnsi="仿宋" w:cs="仿宋" w:hint="eastAsia"/>
          <w:color w:val="auto"/>
        </w:rPr>
        <w:t>建筑高度大于</w:t>
      </w:r>
      <w:r>
        <w:rPr>
          <w:rFonts w:ascii="仿宋" w:eastAsia="仿宋" w:hAnsi="仿宋" w:cs="仿宋" w:hint="eastAsia"/>
          <w:color w:val="auto"/>
        </w:rPr>
        <w:t>100</w:t>
      </w:r>
      <w:r>
        <w:rPr>
          <w:rFonts w:ascii="仿宋" w:eastAsia="仿宋" w:hAnsi="仿宋" w:cs="仿宋" w:hint="eastAsia"/>
          <w:color w:val="auto"/>
        </w:rPr>
        <w:t>米的民用建筑为超高层建筑。</w:t>
      </w:r>
    </w:p>
    <w:p w:rsidR="00925AC4" w:rsidRDefault="00285E1E">
      <w:pPr>
        <w:numPr>
          <w:ilvl w:val="0"/>
          <w:numId w:val="75"/>
        </w:numPr>
        <w:ind w:firstLine="560"/>
        <w:rPr>
          <w:rFonts w:ascii="仿宋" w:eastAsia="仿宋" w:hAnsi="仿宋" w:cs="仿宋"/>
          <w:color w:val="auto"/>
        </w:rPr>
      </w:pPr>
      <w:r>
        <w:rPr>
          <w:rFonts w:ascii="仿宋" w:eastAsia="仿宋" w:hAnsi="仿宋" w:cs="仿宋" w:hint="eastAsia"/>
          <w:color w:val="auto"/>
        </w:rPr>
        <w:t>低层建筑：建筑高度不大于</w:t>
      </w:r>
      <w:r>
        <w:rPr>
          <w:rFonts w:ascii="仿宋" w:eastAsia="仿宋" w:hAnsi="仿宋" w:cs="仿宋" w:hint="eastAsia"/>
          <w:color w:val="auto"/>
        </w:rPr>
        <w:t>11</w:t>
      </w:r>
      <w:r>
        <w:rPr>
          <w:rFonts w:ascii="仿宋" w:eastAsia="仿宋" w:hAnsi="仿宋" w:cs="仿宋" w:hint="eastAsia"/>
          <w:color w:val="auto"/>
        </w:rPr>
        <w:t>米的建筑为低层建筑。</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公共建筑：</w:t>
      </w:r>
      <w:r>
        <w:rPr>
          <w:rFonts w:ascii="仿宋" w:eastAsia="仿宋" w:hAnsi="仿宋" w:cs="仿宋" w:hint="eastAsia"/>
          <w:color w:val="auto"/>
        </w:rPr>
        <w:t>供人们进行各种公共活动的建筑。</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非住宅建筑：</w:t>
      </w:r>
      <w:r>
        <w:rPr>
          <w:rFonts w:ascii="仿宋" w:eastAsia="仿宋" w:hAnsi="仿宋" w:cs="仿宋" w:hint="eastAsia"/>
          <w:color w:val="auto"/>
        </w:rPr>
        <w:t>除住宅建筑以外的其它民用建筑。</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工业建筑：</w:t>
      </w:r>
      <w:r>
        <w:rPr>
          <w:rFonts w:ascii="仿宋" w:eastAsia="仿宋" w:hAnsi="仿宋" w:cs="仿宋" w:hint="eastAsia"/>
          <w:color w:val="auto"/>
        </w:rPr>
        <w:t>包括直接用于生产的建筑、必要的生产配套办公用房和服务用房。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裙房：</w:t>
      </w:r>
      <w:r>
        <w:rPr>
          <w:rFonts w:ascii="仿宋" w:eastAsia="仿宋" w:hAnsi="仿宋" w:cs="仿宋" w:hint="eastAsia"/>
          <w:color w:val="auto"/>
        </w:rPr>
        <w:t>在高层建筑主体投影范围外，与建筑主体相连且建筑高度不大于</w:t>
      </w:r>
      <w:r>
        <w:rPr>
          <w:rFonts w:ascii="仿宋" w:eastAsia="仿宋" w:hAnsi="仿宋" w:cs="仿宋" w:hint="eastAsia"/>
          <w:color w:val="auto"/>
        </w:rPr>
        <w:t>24</w:t>
      </w:r>
      <w:r>
        <w:rPr>
          <w:rFonts w:ascii="仿宋" w:eastAsia="仿宋" w:hAnsi="仿宋" w:cs="仿宋" w:hint="eastAsia"/>
          <w:color w:val="auto"/>
        </w:rPr>
        <w:t>米的附属建筑。</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过街楼：</w:t>
      </w:r>
      <w:r>
        <w:rPr>
          <w:rFonts w:ascii="仿宋" w:eastAsia="仿宋" w:hAnsi="仿宋" w:cs="仿宋" w:hint="eastAsia"/>
          <w:color w:val="auto"/>
        </w:rPr>
        <w:t>跨越道路上空并与两边建筑相连接的建筑物。</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地下室：</w:t>
      </w:r>
      <w:r>
        <w:rPr>
          <w:rFonts w:ascii="仿宋" w:eastAsia="仿宋" w:hAnsi="仿宋" w:cs="仿宋" w:hint="eastAsia"/>
          <w:color w:val="auto"/>
        </w:rPr>
        <w:t>房间顶板最高点标高与较低侧室外地坪标高的差值不大于</w:t>
      </w:r>
      <w:r>
        <w:rPr>
          <w:rFonts w:ascii="仿宋" w:eastAsia="仿宋" w:hAnsi="仿宋" w:cs="仿宋" w:hint="eastAsia"/>
          <w:color w:val="auto"/>
        </w:rPr>
        <w:t>1</w:t>
      </w:r>
      <w:r>
        <w:rPr>
          <w:rFonts w:ascii="仿宋" w:eastAsia="仿宋" w:hAnsi="仿宋" w:cs="仿宋" w:hint="eastAsia"/>
          <w:color w:val="auto"/>
        </w:rPr>
        <w:t>米的，该楼面以下部分为地下室。建设项目规划设计应结合地形，与城市道路标高合理衔接。以不合理堆土形成掩埋的建筑，不视为地下建筑。</w:t>
      </w:r>
    </w:p>
    <w:p w:rsidR="00925AC4" w:rsidRDefault="00285E1E">
      <w:pPr>
        <w:numPr>
          <w:ilvl w:val="0"/>
          <w:numId w:val="74"/>
        </w:numPr>
        <w:ind w:firstLineChars="0" w:firstLine="560"/>
        <w:rPr>
          <w:rFonts w:ascii="仿宋" w:eastAsia="仿宋" w:hAnsi="仿宋" w:cs="仿宋"/>
          <w:color w:val="auto"/>
        </w:rPr>
      </w:pPr>
      <w:r>
        <w:rPr>
          <w:rFonts w:ascii="仿宋" w:eastAsia="仿宋" w:hAnsi="仿宋" w:cs="仿宋" w:hint="eastAsia"/>
          <w:noProof/>
          <w:color w:val="auto"/>
        </w:rPr>
        <w:lastRenderedPageBreak/>
        <w:drawing>
          <wp:anchor distT="0" distB="0" distL="114300" distR="114300" simplePos="0" relativeHeight="251672576" behindDoc="0" locked="0" layoutInCell="1" allowOverlap="1">
            <wp:simplePos x="0" y="0"/>
            <wp:positionH relativeFrom="column">
              <wp:posOffset>5080</wp:posOffset>
            </wp:positionH>
            <wp:positionV relativeFrom="paragraph">
              <wp:posOffset>1109980</wp:posOffset>
            </wp:positionV>
            <wp:extent cx="2336165" cy="2562225"/>
            <wp:effectExtent l="0" t="0" r="6985" b="9525"/>
            <wp:wrapNone/>
            <wp:docPr id="1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pic:cNvPicPr>
                      <a:picLocks noChangeAspect="1"/>
                    </pic:cNvPicPr>
                  </pic:nvPicPr>
                  <pic:blipFill>
                    <a:blip r:embed="rId53" cstate="print"/>
                    <a:stretch>
                      <a:fillRect/>
                    </a:stretch>
                  </pic:blipFill>
                  <pic:spPr>
                    <a:xfrm>
                      <a:off x="0" y="0"/>
                      <a:ext cx="2336165" cy="2562225"/>
                    </a:xfrm>
                    <a:prstGeom prst="rect">
                      <a:avLst/>
                    </a:prstGeom>
                    <a:noFill/>
                    <a:ln>
                      <a:noFill/>
                    </a:ln>
                  </pic:spPr>
                </pic:pic>
              </a:graphicData>
            </a:graphic>
          </wp:anchor>
        </w:drawing>
      </w:r>
      <w:r>
        <w:rPr>
          <w:rFonts w:ascii="仿宋" w:eastAsia="仿宋" w:hAnsi="仿宋" w:cs="仿宋" w:hint="eastAsia"/>
          <w:b/>
          <w:bCs/>
          <w:color w:val="auto"/>
        </w:rPr>
        <w:t>半地下室：</w:t>
      </w:r>
      <w:r>
        <w:rPr>
          <w:rFonts w:ascii="仿宋" w:eastAsia="仿宋" w:hAnsi="仿宋" w:cs="仿宋" w:hint="eastAsia"/>
          <w:color w:val="auto"/>
        </w:rPr>
        <w:t>房间顶板最高点标高与较低侧室外地坪标高的差值</w:t>
      </w:r>
      <w:r>
        <w:rPr>
          <w:rFonts w:ascii="仿宋" w:eastAsia="仿宋" w:hAnsi="仿宋" w:cs="仿宋" w:hint="eastAsia"/>
          <w:color w:val="auto"/>
        </w:rPr>
        <w:t>(H1)</w:t>
      </w:r>
      <w:r>
        <w:rPr>
          <w:rFonts w:ascii="仿宋" w:eastAsia="仿宋" w:hAnsi="仿宋" w:cs="仿宋" w:hint="eastAsia"/>
          <w:color w:val="auto"/>
        </w:rPr>
        <w:t>大于</w:t>
      </w:r>
      <w:r>
        <w:rPr>
          <w:rFonts w:ascii="仿宋" w:eastAsia="仿宋" w:hAnsi="仿宋" w:cs="仿宋" w:hint="eastAsia"/>
          <w:color w:val="auto"/>
        </w:rPr>
        <w:t>1</w:t>
      </w:r>
      <w:r>
        <w:rPr>
          <w:rFonts w:ascii="仿宋" w:eastAsia="仿宋" w:hAnsi="仿宋" w:cs="仿宋" w:hint="eastAsia"/>
          <w:color w:val="auto"/>
        </w:rPr>
        <w:t>米，且该房间不小于</w:t>
      </w:r>
      <w:r>
        <w:rPr>
          <w:rFonts w:ascii="仿宋" w:eastAsia="仿宋" w:hAnsi="仿宋" w:cs="仿宋" w:hint="eastAsia"/>
          <w:color w:val="auto"/>
        </w:rPr>
        <w:t>1/4</w:t>
      </w:r>
      <w:r>
        <w:rPr>
          <w:rFonts w:ascii="仿宋" w:eastAsia="仿宋" w:hAnsi="仿宋" w:cs="仿宋" w:hint="eastAsia"/>
          <w:color w:val="auto"/>
        </w:rPr>
        <w:t>底边周长的部分与较高侧室外地坪标高的差值</w:t>
      </w:r>
      <w:r>
        <w:rPr>
          <w:rFonts w:ascii="仿宋" w:eastAsia="仿宋" w:hAnsi="仿宋" w:cs="仿宋" w:hint="eastAsia"/>
          <w:color w:val="auto"/>
        </w:rPr>
        <w:t>(H2)</w:t>
      </w:r>
      <w:r>
        <w:rPr>
          <w:rFonts w:ascii="仿宋" w:eastAsia="仿宋" w:hAnsi="仿宋" w:cs="仿宋" w:hint="eastAsia"/>
          <w:color w:val="auto"/>
        </w:rPr>
        <w:t>不大于</w:t>
      </w:r>
      <w:r>
        <w:rPr>
          <w:rFonts w:ascii="仿宋" w:eastAsia="仿宋" w:hAnsi="仿宋" w:cs="仿宋" w:hint="eastAsia"/>
          <w:color w:val="auto"/>
        </w:rPr>
        <w:t>1</w:t>
      </w:r>
      <w:r>
        <w:rPr>
          <w:rFonts w:ascii="仿宋" w:eastAsia="仿宋" w:hAnsi="仿宋" w:cs="仿宋" w:hint="eastAsia"/>
          <w:color w:val="auto"/>
        </w:rPr>
        <w:t>米的，为半地下室。</w:t>
      </w:r>
    </w:p>
    <w:p w:rsidR="00925AC4" w:rsidRDefault="00925AC4" w:rsidP="008E7712">
      <w:pPr>
        <w:ind w:firstLine="560"/>
        <w:rPr>
          <w:rFonts w:ascii="仿宋" w:eastAsia="仿宋" w:hAnsi="仿宋" w:cs="仿宋"/>
          <w:color w:val="0000FF"/>
        </w:rPr>
      </w:pPr>
    </w:p>
    <w:p w:rsidR="00925AC4" w:rsidRDefault="00285E1E" w:rsidP="008E7712">
      <w:pPr>
        <w:ind w:firstLine="560"/>
        <w:rPr>
          <w:rFonts w:ascii="仿宋" w:eastAsia="仿宋" w:hAnsi="仿宋" w:cs="仿宋"/>
          <w:color w:val="0000FF"/>
        </w:rPr>
      </w:pPr>
      <w:r>
        <w:rPr>
          <w:rFonts w:ascii="仿宋" w:eastAsia="仿宋" w:hAnsi="仿宋" w:cs="仿宋" w:hint="eastAsia"/>
          <w:noProof/>
          <w:color w:val="0000FF"/>
        </w:rPr>
        <w:drawing>
          <wp:anchor distT="0" distB="0" distL="114300" distR="114300" simplePos="0" relativeHeight="251673600" behindDoc="0" locked="0" layoutInCell="1" allowOverlap="1">
            <wp:simplePos x="0" y="0"/>
            <wp:positionH relativeFrom="column">
              <wp:posOffset>2478405</wp:posOffset>
            </wp:positionH>
            <wp:positionV relativeFrom="paragraph">
              <wp:posOffset>4445</wp:posOffset>
            </wp:positionV>
            <wp:extent cx="3051810" cy="2059940"/>
            <wp:effectExtent l="0" t="0" r="15240" b="16510"/>
            <wp:wrapNone/>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
                    <pic:cNvPicPr>
                      <a:picLocks noChangeAspect="1"/>
                    </pic:cNvPicPr>
                  </pic:nvPicPr>
                  <pic:blipFill>
                    <a:blip r:embed="rId54" cstate="print"/>
                    <a:stretch>
                      <a:fillRect/>
                    </a:stretch>
                  </pic:blipFill>
                  <pic:spPr>
                    <a:xfrm>
                      <a:off x="0" y="0"/>
                      <a:ext cx="3051810" cy="2059940"/>
                    </a:xfrm>
                    <a:prstGeom prst="rect">
                      <a:avLst/>
                    </a:prstGeom>
                    <a:noFill/>
                    <a:ln>
                      <a:noFill/>
                    </a:ln>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露台：</w:t>
      </w:r>
      <w:r>
        <w:rPr>
          <w:rFonts w:ascii="仿宋" w:eastAsia="仿宋" w:hAnsi="仿宋" w:cs="仿宋" w:hint="eastAsia"/>
          <w:color w:val="auto"/>
        </w:rPr>
        <w:t>指供人室外活动的屋面或底层地面伸出室外的有维护无上盖的台面。</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自然层：</w:t>
      </w:r>
      <w:r>
        <w:rPr>
          <w:rFonts w:ascii="仿宋" w:eastAsia="仿宋" w:hAnsi="仿宋" w:cs="仿宋" w:hint="eastAsia"/>
          <w:color w:val="auto"/>
        </w:rPr>
        <w:t>按楼地面结构分层的</w:t>
      </w:r>
      <w:r>
        <w:rPr>
          <w:rFonts w:ascii="仿宋" w:eastAsia="仿宋" w:hAnsi="仿宋" w:cs="仿宋" w:hint="eastAsia"/>
          <w:color w:val="auto"/>
        </w:rPr>
        <w:t>楼层。</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跃层式住宅：</w:t>
      </w:r>
      <w:r>
        <w:rPr>
          <w:rFonts w:ascii="仿宋" w:eastAsia="仿宋" w:hAnsi="仿宋" w:cs="仿宋" w:hint="eastAsia"/>
          <w:color w:val="auto"/>
        </w:rPr>
        <w:t>套内空间跨越两个楼层且设有套内楼梯的住宅。</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容积率：</w:t>
      </w:r>
      <w:r>
        <w:rPr>
          <w:rFonts w:ascii="仿宋" w:eastAsia="仿宋" w:hAnsi="仿宋" w:cs="仿宋" w:hint="eastAsia"/>
          <w:color w:val="auto"/>
        </w:rPr>
        <w:t>指建筑物计容建筑面积的总和与建设项目用地面积的比值。</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建筑密度：</w:t>
      </w:r>
      <w:r>
        <w:rPr>
          <w:rFonts w:ascii="仿宋" w:eastAsia="仿宋" w:hAnsi="仿宋" w:cs="仿宋" w:hint="eastAsia"/>
          <w:color w:val="auto"/>
        </w:rPr>
        <w:t>指建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筑物基底面积总和与建设项目用地面积的比率</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绿地率：</w:t>
      </w:r>
      <w:r>
        <w:rPr>
          <w:rFonts w:ascii="仿宋" w:eastAsia="仿宋" w:hAnsi="仿宋" w:cs="仿宋" w:hint="eastAsia"/>
          <w:color w:val="auto"/>
        </w:rPr>
        <w:t>指建设用地范围内各类绿地面积的总和占建设项目用地面积的比率</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高层建筑主要采光面：</w:t>
      </w:r>
      <w:r>
        <w:rPr>
          <w:rFonts w:ascii="仿宋" w:eastAsia="仿宋" w:hAnsi="仿宋" w:cs="仿宋" w:hint="eastAsia"/>
          <w:color w:val="auto"/>
        </w:rPr>
        <w:t>指建筑中主要功能房间开窗面及面宽大于</w:t>
      </w:r>
      <w:r>
        <w:rPr>
          <w:rFonts w:ascii="仿宋" w:eastAsia="仿宋" w:hAnsi="仿宋" w:cs="仿宋" w:hint="eastAsia"/>
          <w:color w:val="auto"/>
        </w:rPr>
        <w:t>20</w:t>
      </w:r>
      <w:r>
        <w:rPr>
          <w:rFonts w:ascii="仿宋" w:eastAsia="仿宋" w:hAnsi="仿宋" w:cs="仿宋" w:hint="eastAsia"/>
          <w:color w:val="auto"/>
        </w:rPr>
        <w:t>米的各类朝向。如：住宅建筑的卧室、起居室、书房、健身房等的开窗</w:t>
      </w:r>
      <w:r>
        <w:rPr>
          <w:rFonts w:ascii="仿宋" w:eastAsia="仿宋" w:hAnsi="仿宋" w:cs="仿宋" w:hint="eastAsia"/>
          <w:color w:val="auto"/>
        </w:rPr>
        <w:t>(</w:t>
      </w:r>
      <w:r>
        <w:rPr>
          <w:rFonts w:ascii="仿宋" w:eastAsia="仿宋" w:hAnsi="仿宋" w:cs="仿宋" w:hint="eastAsia"/>
          <w:color w:val="auto"/>
        </w:rPr>
        <w:t>含阳台</w:t>
      </w:r>
      <w:r>
        <w:rPr>
          <w:rFonts w:ascii="仿宋" w:eastAsia="仿宋" w:hAnsi="仿宋" w:cs="仿宋" w:hint="eastAsia"/>
          <w:color w:val="auto"/>
        </w:rPr>
        <w:t>)</w:t>
      </w:r>
      <w:r>
        <w:rPr>
          <w:rFonts w:ascii="仿宋" w:eastAsia="仿宋" w:hAnsi="仿宋" w:cs="仿宋" w:hint="eastAsia"/>
          <w:color w:val="auto"/>
        </w:rPr>
        <w:t>面；办公建筑的办公室、会议室；学校建筑的教室、实验室等。</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lastRenderedPageBreak/>
        <w:t>高层建筑非主要采光面：</w:t>
      </w:r>
      <w:r>
        <w:rPr>
          <w:rFonts w:ascii="仿宋" w:eastAsia="仿宋" w:hAnsi="仿宋" w:cs="仿宋" w:hint="eastAsia"/>
          <w:color w:val="auto"/>
        </w:rPr>
        <w:t>仅可设置卫生间、盥洗室、住宅厨房、储物间、开水间、楼梯、内走廊窗及服务阳台。</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多、低层建筑长边：</w:t>
      </w:r>
      <w:r>
        <w:rPr>
          <w:rFonts w:ascii="仿宋" w:eastAsia="仿宋" w:hAnsi="仿宋" w:cs="仿宋" w:hint="eastAsia"/>
          <w:color w:val="auto"/>
        </w:rPr>
        <w:t>主要功能房间开窗面、阳台、阴台设置面以及面宽大于</w:t>
      </w:r>
      <w:r>
        <w:rPr>
          <w:rFonts w:ascii="仿宋" w:eastAsia="仿宋" w:hAnsi="仿宋" w:cs="仿宋" w:hint="eastAsia"/>
          <w:color w:val="auto"/>
        </w:rPr>
        <w:t>18</w:t>
      </w:r>
      <w:r>
        <w:rPr>
          <w:rFonts w:ascii="仿宋" w:eastAsia="仿宋" w:hAnsi="仿宋" w:cs="仿宋" w:hint="eastAsia"/>
          <w:color w:val="auto"/>
        </w:rPr>
        <w:t>米的山墙面。</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多、低层建筑山墙：</w:t>
      </w:r>
      <w:r>
        <w:rPr>
          <w:rFonts w:ascii="仿宋" w:eastAsia="仿宋" w:hAnsi="仿宋" w:cs="仿宋" w:hint="eastAsia"/>
          <w:color w:val="auto"/>
        </w:rPr>
        <w:t>多、低层建筑面宽不大于</w:t>
      </w:r>
      <w:r>
        <w:rPr>
          <w:rFonts w:ascii="仿宋" w:eastAsia="仿宋" w:hAnsi="仿宋" w:cs="仿宋" w:hint="eastAsia"/>
          <w:color w:val="auto"/>
        </w:rPr>
        <w:t>18</w:t>
      </w:r>
      <w:r>
        <w:rPr>
          <w:rFonts w:ascii="仿宋" w:eastAsia="仿宋" w:hAnsi="仿宋" w:cs="仿宋" w:hint="eastAsia"/>
          <w:color w:val="auto"/>
        </w:rPr>
        <w:t>米的短边。山墙面每层可设置面积不大于</w:t>
      </w:r>
      <w:r>
        <w:rPr>
          <w:rFonts w:ascii="仿宋" w:eastAsia="仿宋" w:hAnsi="仿宋" w:cs="仿宋" w:hint="eastAsia"/>
          <w:color w:val="auto"/>
        </w:rPr>
        <w:t>1.8</w:t>
      </w:r>
      <w:r>
        <w:rPr>
          <w:rFonts w:ascii="仿宋" w:eastAsia="仿宋" w:hAnsi="仿宋" w:cs="仿宋" w:hint="eastAsia"/>
          <w:color w:val="auto"/>
        </w:rPr>
        <w:t>平方米的走道窗、楼梯间窗；面积不大于</w:t>
      </w:r>
      <w:r>
        <w:rPr>
          <w:rFonts w:ascii="仿宋" w:eastAsia="仿宋" w:hAnsi="仿宋" w:cs="仿宋" w:hint="eastAsia"/>
          <w:color w:val="auto"/>
        </w:rPr>
        <w:t>0.6</w:t>
      </w:r>
      <w:r>
        <w:rPr>
          <w:rFonts w:ascii="仿宋" w:eastAsia="仿宋" w:hAnsi="仿宋" w:cs="仿宋" w:hint="eastAsia"/>
          <w:color w:val="auto"/>
        </w:rPr>
        <w:t>平方米的卫生间窗、盥洗室窗、开水间窗、储物间高窗。</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红线</w:t>
      </w:r>
    </w:p>
    <w:p w:rsidR="00925AC4" w:rsidRDefault="00285E1E">
      <w:pPr>
        <w:numPr>
          <w:ilvl w:val="0"/>
          <w:numId w:val="76"/>
        </w:numPr>
        <w:ind w:firstLine="560"/>
        <w:rPr>
          <w:rFonts w:ascii="仿宋" w:eastAsia="仿宋" w:hAnsi="仿宋" w:cs="仿宋"/>
          <w:color w:val="auto"/>
        </w:rPr>
      </w:pPr>
      <w:r>
        <w:rPr>
          <w:rFonts w:ascii="仿宋" w:eastAsia="仿宋" w:hAnsi="仿宋" w:cs="仿宋" w:hint="eastAsia"/>
          <w:color w:val="auto"/>
        </w:rPr>
        <w:t>道路红线：规划的城市道路路幅的边界线，含车行道、人行道、道路绿化等。</w:t>
      </w:r>
    </w:p>
    <w:p w:rsidR="00925AC4" w:rsidRDefault="00285E1E">
      <w:pPr>
        <w:numPr>
          <w:ilvl w:val="0"/>
          <w:numId w:val="76"/>
        </w:numPr>
        <w:ind w:firstLine="560"/>
        <w:rPr>
          <w:rFonts w:ascii="仿宋" w:eastAsia="仿宋" w:hAnsi="仿宋" w:cs="仿宋"/>
          <w:color w:val="auto"/>
        </w:rPr>
      </w:pPr>
      <w:r>
        <w:rPr>
          <w:rFonts w:ascii="仿宋" w:eastAsia="仿宋" w:hAnsi="仿宋" w:cs="仿宋" w:hint="eastAsia"/>
          <w:color w:val="auto"/>
        </w:rPr>
        <w:t>用地红线：各类建设工程项目用地</w:t>
      </w:r>
      <w:r>
        <w:rPr>
          <w:rFonts w:ascii="仿宋" w:eastAsia="仿宋" w:hAnsi="仿宋" w:cs="仿宋" w:hint="eastAsia"/>
          <w:color w:val="auto"/>
        </w:rPr>
        <w:t>(</w:t>
      </w:r>
      <w:r>
        <w:rPr>
          <w:rFonts w:ascii="仿宋" w:eastAsia="仿宋" w:hAnsi="仿宋" w:cs="仿宋" w:hint="eastAsia"/>
          <w:color w:val="auto"/>
        </w:rPr>
        <w:t>基地</w:t>
      </w:r>
      <w:r>
        <w:rPr>
          <w:rFonts w:ascii="仿宋" w:eastAsia="仿宋" w:hAnsi="仿宋" w:cs="仿宋" w:hint="eastAsia"/>
          <w:color w:val="auto"/>
        </w:rPr>
        <w:t>)</w:t>
      </w:r>
      <w:r>
        <w:rPr>
          <w:rFonts w:ascii="仿宋" w:eastAsia="仿宋" w:hAnsi="仿宋" w:cs="仿宋" w:hint="eastAsia"/>
          <w:color w:val="auto"/>
        </w:rPr>
        <w:t>使用权属边界线。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绿线：</w:t>
      </w:r>
      <w:r>
        <w:rPr>
          <w:rFonts w:ascii="仿宋" w:eastAsia="仿宋" w:hAnsi="仿宋" w:cs="仿宋" w:hint="eastAsia"/>
          <w:color w:val="auto"/>
        </w:rPr>
        <w:t>城市各类绿地范围的控制线。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蓝线：</w:t>
      </w:r>
      <w:r>
        <w:rPr>
          <w:rFonts w:ascii="仿宋" w:eastAsia="仿宋" w:hAnsi="仿宋" w:cs="仿宋" w:hint="eastAsia"/>
          <w:color w:val="auto"/>
        </w:rPr>
        <w:t>国土空间规划确定的江、河、湖、水库、渠堰和湿地等城市地表水体保护和控制的范围界线。</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万源</w:t>
      </w:r>
      <w:r>
        <w:rPr>
          <w:rFonts w:ascii="仿宋" w:eastAsia="仿宋" w:hAnsi="仿宋" w:cs="仿宋" w:hint="eastAsia"/>
          <w:color w:val="auto"/>
        </w:rPr>
        <w:t>主要次级水体有：</w:t>
      </w:r>
      <w:r>
        <w:rPr>
          <w:rFonts w:ascii="仿宋" w:eastAsia="仿宋" w:hAnsi="仿宋" w:cs="仿宋" w:hint="eastAsia"/>
          <w:color w:val="auto"/>
        </w:rPr>
        <w:t>后江、庙沟</w:t>
      </w:r>
      <w:r>
        <w:rPr>
          <w:rFonts w:ascii="仿宋" w:eastAsia="仿宋" w:hAnsi="仿宋" w:cs="仿宋" w:hint="eastAsia"/>
          <w:color w:val="auto"/>
        </w:rPr>
        <w:t>。</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紫线：</w:t>
      </w:r>
      <w:r>
        <w:rPr>
          <w:rFonts w:ascii="仿宋" w:eastAsia="仿宋" w:hAnsi="仿宋" w:cs="仿宋" w:hint="eastAsia"/>
          <w:color w:val="auto"/>
        </w:rPr>
        <w:t>指有价值的并经总体规划或相关部门确定的城市历史文化街区、历史建筑等的保护范围界线。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黄线：</w:t>
      </w:r>
      <w:r>
        <w:rPr>
          <w:rFonts w:ascii="仿宋" w:eastAsia="仿宋" w:hAnsi="仿宋" w:cs="仿宋" w:hint="eastAsia"/>
          <w:color w:val="auto"/>
        </w:rPr>
        <w:t>对城市发展全局有影响的、国土空间规划确定的、必须控制的城市基础设施用地的控制界线。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特殊控制线：</w:t>
      </w:r>
      <w:r>
        <w:rPr>
          <w:rFonts w:ascii="仿宋" w:eastAsia="仿宋" w:hAnsi="仿宋" w:cs="仿宋" w:hint="eastAsia"/>
          <w:color w:val="auto"/>
        </w:rPr>
        <w:t>诸如机场净空限高控制线、等值线、城市微波通道等控制范围的界线。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建筑控制线：</w:t>
      </w:r>
      <w:r>
        <w:rPr>
          <w:rFonts w:ascii="仿宋" w:eastAsia="仿宋" w:hAnsi="仿宋" w:cs="仿宋" w:hint="eastAsia"/>
          <w:color w:val="auto"/>
        </w:rPr>
        <w:t>有关法规或控规确定的建筑物、构筑物的主体外轮廓必须依此线型设计，不应超出的界线。</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建筑退界：</w:t>
      </w:r>
      <w:r>
        <w:rPr>
          <w:rFonts w:ascii="仿宋" w:eastAsia="仿宋" w:hAnsi="仿宋" w:cs="仿宋" w:hint="eastAsia"/>
          <w:color w:val="auto"/>
        </w:rPr>
        <w:t>指沿自身基地外围的建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w:t>
      </w:r>
      <w:r>
        <w:rPr>
          <w:rFonts w:ascii="仿宋" w:eastAsia="仿宋" w:hAnsi="仿宋" w:cs="仿宋" w:hint="eastAsia"/>
          <w:color w:val="auto"/>
        </w:rPr>
        <w:t>物后退自身基地用地红线的距离。</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lastRenderedPageBreak/>
        <w:t>建筑半间距：</w:t>
      </w:r>
      <w:r>
        <w:rPr>
          <w:rFonts w:ascii="仿宋" w:eastAsia="仿宋" w:hAnsi="仿宋" w:cs="仿宋" w:hint="eastAsia"/>
          <w:color w:val="auto"/>
        </w:rPr>
        <w:t>指相邻建筑的外墙面</w:t>
      </w:r>
      <w:r>
        <w:rPr>
          <w:rFonts w:ascii="仿宋" w:eastAsia="仿宋" w:hAnsi="仿宋" w:cs="仿宋" w:hint="eastAsia"/>
          <w:color w:val="auto"/>
        </w:rPr>
        <w:t>(</w:t>
      </w:r>
      <w:r>
        <w:rPr>
          <w:rFonts w:ascii="仿宋" w:eastAsia="仿宋" w:hAnsi="仿宋" w:cs="仿宋" w:hint="eastAsia"/>
          <w:color w:val="auto"/>
        </w:rPr>
        <w:t>含阳台、外廊、飘窗、幕墙</w:t>
      </w:r>
      <w:r>
        <w:rPr>
          <w:rFonts w:ascii="仿宋" w:eastAsia="仿宋" w:hAnsi="仿宋" w:cs="仿宋" w:hint="eastAsia"/>
          <w:color w:val="auto"/>
        </w:rPr>
        <w:t>)</w:t>
      </w:r>
      <w:r>
        <w:rPr>
          <w:rFonts w:ascii="仿宋" w:eastAsia="仿宋" w:hAnsi="仿宋" w:cs="仿宋" w:hint="eastAsia"/>
          <w:color w:val="auto"/>
        </w:rPr>
        <w:t>各自应当退让的最小水平距离。</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建设用地：</w:t>
      </w:r>
      <w:r>
        <w:rPr>
          <w:rFonts w:ascii="仿宋" w:eastAsia="仿宋" w:hAnsi="仿宋" w:cs="仿宋" w:hint="eastAsia"/>
          <w:color w:val="auto"/>
        </w:rPr>
        <w:t>是指规划用地范围线内建设项目的用地。建设用地面积不包括国土空间规划道路红线内的道路用地或根据相关规定而代征用地的面积。建设用地面积是计算核定建筑容积率、建筑密度、绿地率等技术经济指标的基础参数，其计算应精确到平方米。</w:t>
      </w:r>
    </w:p>
    <w:p w:rsidR="00925AC4" w:rsidRDefault="00285E1E">
      <w:pPr>
        <w:numPr>
          <w:ilvl w:val="0"/>
          <w:numId w:val="74"/>
        </w:numPr>
        <w:ind w:firstLineChars="0" w:firstLine="562"/>
        <w:rPr>
          <w:rFonts w:ascii="仿宋" w:eastAsia="仿宋" w:hAnsi="仿宋" w:cs="仿宋"/>
          <w:color w:val="0000FF"/>
        </w:rPr>
      </w:pPr>
      <w:r>
        <w:rPr>
          <w:rFonts w:ascii="仿宋" w:eastAsia="仿宋" w:hAnsi="仿宋" w:cs="仿宋" w:hint="eastAsia"/>
          <w:b/>
          <w:bCs/>
          <w:color w:val="auto"/>
        </w:rPr>
        <w:t>有特殊要求的非住宅建筑：</w:t>
      </w:r>
      <w:r>
        <w:rPr>
          <w:rFonts w:ascii="仿宋" w:eastAsia="仿宋" w:hAnsi="仿宋" w:cs="仿宋" w:hint="eastAsia"/>
          <w:color w:val="auto"/>
        </w:rPr>
        <w:t>影剧院、游乐场、体育馆、展览馆、大型商场、专业市场等有大量人流、车流集散的公共建筑；中小学、医院、加油加气站等有相关规范特殊要求的公共建筑、</w:t>
      </w:r>
      <w:r>
        <w:rPr>
          <w:rFonts w:ascii="仿宋" w:eastAsia="仿宋" w:hAnsi="仿宋" w:cs="仿宋" w:hint="eastAsia"/>
          <w:color w:val="auto"/>
        </w:rPr>
        <w:t>工业或仓储建筑。</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社区综合服务设施：</w:t>
      </w:r>
      <w:r>
        <w:rPr>
          <w:rFonts w:ascii="仿宋" w:eastAsia="仿宋" w:hAnsi="仿宋" w:cs="仿宋" w:hint="eastAsia"/>
          <w:color w:val="auto"/>
        </w:rPr>
        <w:t>指社区组织工作用房和居民公益性服务用房，主要用途为城市社区公共服务中心</w:t>
      </w:r>
      <w:r>
        <w:rPr>
          <w:rFonts w:ascii="仿宋" w:eastAsia="仿宋" w:hAnsi="仿宋" w:cs="仿宋" w:hint="eastAsia"/>
          <w:color w:val="auto"/>
        </w:rPr>
        <w:t>(</w:t>
      </w:r>
      <w:r>
        <w:rPr>
          <w:rFonts w:ascii="仿宋" w:eastAsia="仿宋" w:hAnsi="仿宋" w:cs="仿宋" w:hint="eastAsia"/>
          <w:color w:val="auto"/>
        </w:rPr>
        <w:t>社区党委工作站</w:t>
      </w:r>
      <w:r>
        <w:rPr>
          <w:rFonts w:ascii="仿宋" w:eastAsia="仿宋" w:hAnsi="仿宋" w:cs="仿宋" w:hint="eastAsia"/>
          <w:color w:val="auto"/>
        </w:rPr>
        <w:t>)</w:t>
      </w:r>
      <w:r>
        <w:rPr>
          <w:rFonts w:ascii="仿宋" w:eastAsia="仿宋" w:hAnsi="仿宋" w:cs="仿宋" w:hint="eastAsia"/>
          <w:color w:val="auto"/>
        </w:rPr>
        <w:t>、网格片区公益互助中心</w:t>
      </w:r>
      <w:r>
        <w:rPr>
          <w:rFonts w:ascii="仿宋" w:eastAsia="仿宋" w:hAnsi="仿宋" w:cs="仿宋" w:hint="eastAsia"/>
          <w:color w:val="auto"/>
        </w:rPr>
        <w:t>(</w:t>
      </w:r>
      <w:r>
        <w:rPr>
          <w:rFonts w:ascii="仿宋" w:eastAsia="仿宋" w:hAnsi="仿宋" w:cs="仿宋" w:hint="eastAsia"/>
          <w:color w:val="auto"/>
        </w:rPr>
        <w:t>片区总支工作站</w:t>
      </w:r>
      <w:r>
        <w:rPr>
          <w:rFonts w:ascii="仿宋" w:eastAsia="仿宋" w:hAnsi="仿宋" w:cs="仿宋" w:hint="eastAsia"/>
          <w:color w:val="auto"/>
        </w:rPr>
        <w:t>)</w:t>
      </w:r>
      <w:r>
        <w:rPr>
          <w:rFonts w:ascii="仿宋" w:eastAsia="仿宋" w:hAnsi="仿宋" w:cs="仿宋" w:hint="eastAsia"/>
          <w:color w:val="auto"/>
        </w:rPr>
        <w:t>、居民小区公众活动中心</w:t>
      </w:r>
      <w:r>
        <w:rPr>
          <w:rFonts w:ascii="仿宋" w:eastAsia="仿宋" w:hAnsi="仿宋" w:cs="仿宋" w:hint="eastAsia"/>
          <w:color w:val="auto"/>
        </w:rPr>
        <w:t>(</w:t>
      </w:r>
      <w:r>
        <w:rPr>
          <w:rFonts w:ascii="仿宋" w:eastAsia="仿宋" w:hAnsi="仿宋" w:cs="仿宋" w:hint="eastAsia"/>
          <w:color w:val="auto"/>
        </w:rPr>
        <w:t>小区支部工作站</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77"/>
        </w:numPr>
        <w:ind w:firstLine="560"/>
        <w:rPr>
          <w:rFonts w:ascii="仿宋" w:eastAsia="仿宋" w:hAnsi="仿宋" w:cs="仿宋"/>
          <w:color w:val="auto"/>
        </w:rPr>
      </w:pPr>
      <w:r>
        <w:rPr>
          <w:rFonts w:ascii="仿宋" w:eastAsia="仿宋" w:hAnsi="仿宋" w:cs="仿宋" w:hint="eastAsia"/>
          <w:color w:val="auto"/>
        </w:rPr>
        <w:t>城市社区公共服务中心</w:t>
      </w:r>
      <w:r>
        <w:rPr>
          <w:rFonts w:ascii="仿宋" w:eastAsia="仿宋" w:hAnsi="仿宋" w:cs="仿宋" w:hint="eastAsia"/>
          <w:color w:val="auto"/>
        </w:rPr>
        <w:t>(</w:t>
      </w:r>
      <w:r>
        <w:rPr>
          <w:rFonts w:ascii="仿宋" w:eastAsia="仿宋" w:hAnsi="仿宋" w:cs="仿宋" w:hint="eastAsia"/>
          <w:color w:val="auto"/>
        </w:rPr>
        <w:t>社区党委工作站</w:t>
      </w:r>
      <w:r>
        <w:rPr>
          <w:rFonts w:ascii="仿宋" w:eastAsia="仿宋" w:hAnsi="仿宋" w:cs="仿宋" w:hint="eastAsia"/>
          <w:color w:val="auto"/>
        </w:rPr>
        <w:t>)</w:t>
      </w:r>
      <w:r>
        <w:rPr>
          <w:rFonts w:ascii="仿宋" w:eastAsia="仿宋" w:hAnsi="仿宋" w:cs="仿宋" w:hint="eastAsia"/>
          <w:color w:val="auto"/>
        </w:rPr>
        <w:t>。用于社区组织办公用房、便民服务站、养老服务站、青少年活动站、新市民培训站、社区数字化管理和服务平台、多功能活动室、警务室、档案室等。</w:t>
      </w:r>
    </w:p>
    <w:p w:rsidR="00925AC4" w:rsidRDefault="00285E1E">
      <w:pPr>
        <w:numPr>
          <w:ilvl w:val="0"/>
          <w:numId w:val="77"/>
        </w:numPr>
        <w:ind w:firstLine="560"/>
        <w:rPr>
          <w:rFonts w:ascii="仿宋" w:eastAsia="仿宋" w:hAnsi="仿宋" w:cs="仿宋"/>
          <w:color w:val="auto"/>
        </w:rPr>
      </w:pPr>
      <w:r>
        <w:rPr>
          <w:rFonts w:ascii="仿宋" w:eastAsia="仿宋" w:hAnsi="仿宋" w:cs="仿宋" w:hint="eastAsia"/>
          <w:color w:val="auto"/>
        </w:rPr>
        <w:t>网格片区公益互助中心</w:t>
      </w:r>
      <w:r>
        <w:rPr>
          <w:rFonts w:ascii="仿宋" w:eastAsia="仿宋" w:hAnsi="仿宋" w:cs="仿宋" w:hint="eastAsia"/>
          <w:color w:val="auto"/>
        </w:rPr>
        <w:t>(</w:t>
      </w:r>
      <w:r>
        <w:rPr>
          <w:rFonts w:ascii="仿宋" w:eastAsia="仿宋" w:hAnsi="仿宋" w:cs="仿宋" w:hint="eastAsia"/>
          <w:color w:val="auto"/>
        </w:rPr>
        <w:t>片区总支工作站</w:t>
      </w:r>
      <w:r>
        <w:rPr>
          <w:rFonts w:ascii="仿宋" w:eastAsia="仿宋" w:hAnsi="仿宋" w:cs="仿宋" w:hint="eastAsia"/>
          <w:color w:val="auto"/>
        </w:rPr>
        <w:t>)</w:t>
      </w:r>
      <w:r>
        <w:rPr>
          <w:rFonts w:ascii="仿宋" w:eastAsia="仿宋" w:hAnsi="仿宋" w:cs="仿宋" w:hint="eastAsia"/>
          <w:color w:val="auto"/>
        </w:rPr>
        <w:t>。用于党组织办公用房、网格化管理信息中心、治安巡逻工作站、矛盾纠纷调解室、爱心援助站、志愿者工作站</w:t>
      </w:r>
      <w:r>
        <w:rPr>
          <w:rFonts w:ascii="仿宋" w:eastAsia="仿宋" w:hAnsi="仿宋" w:cs="仿宋" w:hint="eastAsia"/>
          <w:color w:val="auto"/>
        </w:rPr>
        <w:t>(</w:t>
      </w:r>
      <w:r>
        <w:rPr>
          <w:rFonts w:ascii="仿宋" w:eastAsia="仿宋" w:hAnsi="仿宋" w:cs="仿宋" w:hint="eastAsia"/>
          <w:color w:val="auto"/>
        </w:rPr>
        <w:t>社会组织孵化站</w:t>
      </w:r>
      <w:r>
        <w:rPr>
          <w:rFonts w:ascii="仿宋" w:eastAsia="仿宋" w:hAnsi="仿宋" w:cs="仿宋" w:hint="eastAsia"/>
          <w:color w:val="auto"/>
        </w:rPr>
        <w:t>)</w:t>
      </w:r>
      <w:r>
        <w:rPr>
          <w:rFonts w:ascii="仿宋" w:eastAsia="仿宋" w:hAnsi="仿宋" w:cs="仿宋" w:hint="eastAsia"/>
          <w:color w:val="auto"/>
        </w:rPr>
        <w:t>等。</w:t>
      </w:r>
    </w:p>
    <w:p w:rsidR="00925AC4" w:rsidRDefault="00285E1E">
      <w:pPr>
        <w:numPr>
          <w:ilvl w:val="0"/>
          <w:numId w:val="77"/>
        </w:numPr>
        <w:ind w:firstLine="560"/>
        <w:rPr>
          <w:rFonts w:ascii="仿宋" w:eastAsia="仿宋" w:hAnsi="仿宋" w:cs="仿宋"/>
          <w:color w:val="auto"/>
        </w:rPr>
      </w:pPr>
      <w:r>
        <w:rPr>
          <w:rFonts w:ascii="仿宋" w:eastAsia="仿宋" w:hAnsi="仿宋" w:cs="仿宋" w:hint="eastAsia"/>
          <w:color w:val="auto"/>
        </w:rPr>
        <w:t>居民小区公众活动中心</w:t>
      </w:r>
      <w:r>
        <w:rPr>
          <w:rFonts w:ascii="仿宋" w:eastAsia="仿宋" w:hAnsi="仿宋" w:cs="仿宋" w:hint="eastAsia"/>
          <w:color w:val="auto"/>
        </w:rPr>
        <w:t>(</w:t>
      </w:r>
      <w:r>
        <w:rPr>
          <w:rFonts w:ascii="仿宋" w:eastAsia="仿宋" w:hAnsi="仿宋" w:cs="仿宋" w:hint="eastAsia"/>
          <w:color w:val="auto"/>
        </w:rPr>
        <w:t>小区支部工作站</w:t>
      </w:r>
      <w:r>
        <w:rPr>
          <w:rFonts w:ascii="仿宋" w:eastAsia="仿宋" w:hAnsi="仿宋" w:cs="仿宋" w:hint="eastAsia"/>
          <w:color w:val="auto"/>
        </w:rPr>
        <w:t>)</w:t>
      </w:r>
      <w:r>
        <w:rPr>
          <w:rFonts w:ascii="仿宋" w:eastAsia="仿宋" w:hAnsi="仿宋" w:cs="仿宋" w:hint="eastAsia"/>
          <w:color w:val="auto"/>
        </w:rPr>
        <w:t>。用于党组织办公用房、党员活动室、医疗卫生室、文体娱乐活动中心等。</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交通安全设施：</w:t>
      </w:r>
      <w:r>
        <w:rPr>
          <w:rFonts w:ascii="仿宋" w:eastAsia="仿宋" w:hAnsi="仿宋" w:cs="仿宋" w:hint="eastAsia"/>
          <w:color w:val="auto"/>
        </w:rPr>
        <w:t>包括但不限于交通标志、标线、护栏和栏杆、防撞桶、轮廓标、弹性交通柱、减速丘、凸面镜、道路交通信号设施、电子警察、交通卡口、道路视频监控、信息发布屏、可变交通标志、道路作业区标志、道路作业区标线、道路作业安全设施及其它施工作业交通管理</w:t>
      </w:r>
      <w:r>
        <w:rPr>
          <w:rFonts w:ascii="仿宋" w:eastAsia="仿宋" w:hAnsi="仿宋" w:cs="仿宋" w:hint="eastAsia"/>
          <w:color w:val="auto"/>
        </w:rPr>
        <w:t>设施。</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lastRenderedPageBreak/>
        <w:t>海绵城市</w:t>
      </w:r>
      <w:r>
        <w:rPr>
          <w:rFonts w:ascii="仿宋" w:eastAsia="仿宋" w:hAnsi="仿宋" w:cs="仿宋" w:hint="eastAsia"/>
          <w:b/>
          <w:bCs/>
          <w:color w:val="auto"/>
        </w:rPr>
        <w:t>(LID):</w:t>
      </w:r>
      <w:r>
        <w:rPr>
          <w:rFonts w:ascii="仿宋" w:eastAsia="仿宋" w:hAnsi="仿宋" w:cs="仿宋" w:hint="eastAsia"/>
          <w:color w:val="auto"/>
        </w:rPr>
        <w:t>指在城市开发建设过程中，通过生态化措施，尽可能维持城市开发建设前后水文特征不变，有效缓解不透水面积增加造成的径流总量、径流峰值与径流污染的增加等对环境造成的不利影响。</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万源市</w:t>
      </w:r>
      <w:r>
        <w:rPr>
          <w:rFonts w:ascii="仿宋" w:eastAsia="仿宋" w:hAnsi="仿宋" w:cs="仿宋" w:hint="eastAsia"/>
          <w:b/>
          <w:bCs/>
          <w:color w:val="auto"/>
        </w:rPr>
        <w:t>城市老区范围：</w:t>
      </w:r>
      <w:r>
        <w:rPr>
          <w:rFonts w:ascii="仿宋" w:eastAsia="仿宋" w:hAnsi="仿宋" w:cs="仿宋" w:hint="eastAsia"/>
          <w:color w:val="auto"/>
        </w:rPr>
        <w:t>西</w:t>
      </w:r>
      <w:r>
        <w:rPr>
          <w:rFonts w:ascii="仿宋" w:eastAsia="仿宋" w:hAnsi="仿宋" w:cs="仿宋" w:hint="eastAsia"/>
          <w:color w:val="auto"/>
        </w:rPr>
        <w:t>、北</w:t>
      </w:r>
      <w:r>
        <w:rPr>
          <w:rFonts w:ascii="仿宋" w:eastAsia="仿宋" w:hAnsi="仿宋" w:cs="仿宋" w:hint="eastAsia"/>
          <w:color w:val="auto"/>
        </w:rPr>
        <w:t>至</w:t>
      </w:r>
      <w:r>
        <w:rPr>
          <w:rFonts w:ascii="仿宋" w:eastAsia="仿宋" w:hAnsi="仿宋" w:cs="仿宋" w:hint="eastAsia"/>
          <w:color w:val="auto"/>
        </w:rPr>
        <w:t>后江</w:t>
      </w:r>
      <w:r>
        <w:rPr>
          <w:rFonts w:ascii="仿宋" w:eastAsia="仿宋" w:hAnsi="仿宋" w:cs="仿宋" w:hint="eastAsia"/>
          <w:color w:val="auto"/>
        </w:rPr>
        <w:t>，东至</w:t>
      </w:r>
      <w:r>
        <w:rPr>
          <w:rFonts w:ascii="仿宋" w:eastAsia="仿宋" w:hAnsi="仿宋" w:cs="仿宋" w:hint="eastAsia"/>
          <w:color w:val="auto"/>
        </w:rPr>
        <w:t>规划铁路（襄渝铁路）</w:t>
      </w:r>
      <w:r>
        <w:rPr>
          <w:rFonts w:ascii="仿宋" w:eastAsia="仿宋" w:hAnsi="仿宋" w:cs="仿宋" w:hint="eastAsia"/>
          <w:color w:val="auto"/>
        </w:rPr>
        <w:t>,</w:t>
      </w:r>
      <w:r>
        <w:rPr>
          <w:rFonts w:ascii="仿宋" w:eastAsia="仿宋" w:hAnsi="仿宋" w:cs="仿宋" w:hint="eastAsia"/>
          <w:color w:val="auto"/>
        </w:rPr>
        <w:t>南至长征路周边区域</w:t>
      </w:r>
      <w:r>
        <w:rPr>
          <w:rFonts w:ascii="仿宋" w:eastAsia="仿宋" w:hAnsi="仿宋" w:cs="仿宋" w:hint="eastAsia"/>
          <w:color w:val="auto"/>
        </w:rPr>
        <w:t>,</w:t>
      </w:r>
      <w:r>
        <w:rPr>
          <w:rFonts w:ascii="仿宋" w:eastAsia="仿宋" w:hAnsi="仿宋" w:cs="仿宋" w:hint="eastAsia"/>
          <w:color w:val="auto"/>
        </w:rPr>
        <w:t>具体范围详见老城区范围示意图。</w:t>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rsidP="008E7712">
      <w:pPr>
        <w:ind w:firstLine="560"/>
        <w:rPr>
          <w:rFonts w:ascii="仿宋" w:eastAsia="仿宋" w:hAnsi="仿宋" w:cs="仿宋"/>
          <w:color w:val="0000FF"/>
        </w:rPr>
      </w:pPr>
      <w:r>
        <w:rPr>
          <w:rFonts w:ascii="仿宋" w:eastAsia="仿宋" w:hAnsi="仿宋" w:cs="仿宋" w:hint="eastAsia"/>
          <w:noProof/>
          <w:color w:val="0000FF"/>
        </w:rPr>
        <w:drawing>
          <wp:anchor distT="0" distB="0" distL="114300" distR="114300" simplePos="0" relativeHeight="251676672" behindDoc="0" locked="0" layoutInCell="1" allowOverlap="1">
            <wp:simplePos x="0" y="0"/>
            <wp:positionH relativeFrom="column">
              <wp:posOffset>502920</wp:posOffset>
            </wp:positionH>
            <wp:positionV relativeFrom="paragraph">
              <wp:posOffset>-392430</wp:posOffset>
            </wp:positionV>
            <wp:extent cx="5242560" cy="4542790"/>
            <wp:effectExtent l="0" t="0" r="15240" b="10160"/>
            <wp:wrapNone/>
            <wp:docPr id="26" name="图片 26" descr="d93f051817eb601441a7ed0d56ee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93f051817eb601441a7ed0d56eec10"/>
                    <pic:cNvPicPr>
                      <a:picLocks noChangeAspect="1"/>
                    </pic:cNvPicPr>
                  </pic:nvPicPr>
                  <pic:blipFill>
                    <a:blip r:embed="rId55" cstate="print"/>
                    <a:srcRect l="24600" t="9573" r="17105" b="4929"/>
                    <a:stretch>
                      <a:fillRect/>
                    </a:stretch>
                  </pic:blipFill>
                  <pic:spPr>
                    <a:xfrm>
                      <a:off x="0" y="0"/>
                      <a:ext cx="5242560" cy="4542790"/>
                    </a:xfrm>
                    <a:prstGeom prst="rect">
                      <a:avLst/>
                    </a:prstGeom>
                  </pic:spPr>
                </pic:pic>
              </a:graphicData>
            </a:graphic>
          </wp:anchor>
        </w:drawing>
      </w: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925AC4" w:rsidP="008E7712">
      <w:pPr>
        <w:ind w:firstLine="560"/>
        <w:rPr>
          <w:rFonts w:ascii="仿宋" w:eastAsia="仿宋" w:hAnsi="仿宋" w:cs="仿宋"/>
          <w:color w:val="0000FF"/>
        </w:rPr>
      </w:pPr>
    </w:p>
    <w:p w:rsidR="00925AC4" w:rsidRDefault="00285E1E" w:rsidP="008E7712">
      <w:pPr>
        <w:ind w:firstLine="440"/>
        <w:jc w:val="center"/>
        <w:rPr>
          <w:rFonts w:ascii="仿宋" w:eastAsia="仿宋" w:hAnsi="仿宋" w:cs="仿宋"/>
          <w:color w:val="auto"/>
        </w:rPr>
      </w:pPr>
      <w:r>
        <w:rPr>
          <w:rFonts w:ascii="仿宋" w:eastAsia="仿宋" w:hAnsi="仿宋" w:cs="仿宋" w:hint="eastAsia"/>
          <w:color w:val="auto"/>
          <w:sz w:val="22"/>
          <w:szCs w:val="18"/>
        </w:rPr>
        <w:t>老城区范围示意图</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万源市</w:t>
      </w:r>
      <w:r>
        <w:rPr>
          <w:rFonts w:ascii="仿宋" w:eastAsia="仿宋" w:hAnsi="仿宋" w:cs="仿宋" w:hint="eastAsia"/>
          <w:b/>
          <w:bCs/>
          <w:color w:val="auto"/>
        </w:rPr>
        <w:t>城市新区范围：</w:t>
      </w:r>
      <w:r>
        <w:rPr>
          <w:rFonts w:ascii="仿宋" w:eastAsia="仿宋" w:hAnsi="仿宋" w:cs="仿宋" w:hint="eastAsia"/>
          <w:color w:val="auto"/>
        </w:rPr>
        <w:t>本规定确定的老城区以外区域均为城市新区。</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t>重要城市道路：</w:t>
      </w:r>
      <w:r>
        <w:rPr>
          <w:rFonts w:ascii="仿宋" w:eastAsia="仿宋" w:hAnsi="仿宋" w:cs="仿宋" w:hint="eastAsia"/>
          <w:color w:val="auto"/>
        </w:rPr>
        <w:t>即等主干路和景观性道路，或红线宽度</w:t>
      </w:r>
      <w:r>
        <w:rPr>
          <w:rFonts w:ascii="仿宋" w:eastAsia="仿宋" w:hAnsi="仿宋" w:cs="仿宋" w:hint="eastAsia"/>
          <w:color w:val="auto"/>
        </w:rPr>
        <w:t>40</w:t>
      </w:r>
      <w:r>
        <w:rPr>
          <w:rFonts w:ascii="仿宋" w:eastAsia="仿宋" w:hAnsi="仿宋" w:cs="仿宋" w:hint="eastAsia"/>
          <w:color w:val="auto"/>
        </w:rPr>
        <w:t>米以上的道路。</w:t>
      </w:r>
    </w:p>
    <w:p w:rsidR="00925AC4" w:rsidRDefault="00285E1E">
      <w:pPr>
        <w:numPr>
          <w:ilvl w:val="0"/>
          <w:numId w:val="74"/>
        </w:numPr>
        <w:ind w:firstLineChars="0" w:firstLine="562"/>
        <w:rPr>
          <w:rFonts w:ascii="仿宋" w:eastAsia="仿宋" w:hAnsi="仿宋" w:cs="仿宋"/>
          <w:color w:val="auto"/>
        </w:rPr>
      </w:pPr>
      <w:r>
        <w:rPr>
          <w:rFonts w:ascii="仿宋" w:eastAsia="仿宋" w:hAnsi="仿宋" w:cs="仿宋" w:hint="eastAsia"/>
          <w:b/>
          <w:bCs/>
          <w:color w:val="auto"/>
        </w:rPr>
        <w:lastRenderedPageBreak/>
        <w:t>重要节点：</w:t>
      </w:r>
      <w:r>
        <w:rPr>
          <w:rFonts w:ascii="仿宋" w:eastAsia="仿宋" w:hAnsi="仿宋" w:cs="仿宋" w:hint="eastAsia"/>
          <w:color w:val="auto"/>
        </w:rPr>
        <w:t>主要指重要城市道路交叉口、城市对外交通道路交叉口、城市立交桥、轨道交通站点、城市广场、城市公园、商业广场、步行街区、历史文化街区、历史建筑等。</w:t>
      </w:r>
    </w:p>
    <w:p w:rsidR="00925AC4" w:rsidRDefault="00285E1E">
      <w:pPr>
        <w:spacing w:line="247" w:lineRule="auto"/>
        <w:ind w:firstLineChars="0" w:firstLine="0"/>
        <w:rPr>
          <w:rFonts w:ascii="仿宋" w:eastAsia="仿宋" w:hAnsi="仿宋" w:cs="仿宋"/>
          <w:color w:val="auto"/>
          <w:sz w:val="21"/>
        </w:rPr>
      </w:pPr>
      <w:r>
        <w:rPr>
          <w:rFonts w:ascii="仿宋" w:eastAsia="仿宋" w:hAnsi="仿宋" w:cs="仿宋" w:hint="eastAsia"/>
          <w:color w:val="auto"/>
          <w:sz w:val="21"/>
        </w:rPr>
        <w:br w:type="page"/>
      </w:r>
    </w:p>
    <w:p w:rsidR="00925AC4" w:rsidRDefault="00285E1E">
      <w:pPr>
        <w:pStyle w:val="1"/>
        <w:spacing w:line="240" w:lineRule="auto"/>
        <w:jc w:val="left"/>
        <w:rPr>
          <w:rFonts w:ascii="仿宋" w:eastAsia="仿宋" w:hAnsi="仿宋" w:cs="仿宋"/>
          <w:color w:val="auto"/>
          <w:sz w:val="32"/>
          <w:szCs w:val="32"/>
        </w:rPr>
      </w:pPr>
      <w:bookmarkStart w:id="68" w:name="_bookmark18"/>
      <w:bookmarkStart w:id="69" w:name="_Toc11216"/>
      <w:bookmarkEnd w:id="68"/>
      <w:r>
        <w:rPr>
          <w:rFonts w:ascii="仿宋" w:eastAsia="仿宋" w:hAnsi="仿宋" w:cs="仿宋" w:hint="eastAsia"/>
          <w:color w:val="auto"/>
          <w:sz w:val="32"/>
          <w:szCs w:val="32"/>
        </w:rPr>
        <w:lastRenderedPageBreak/>
        <w:t>附录二</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计算规则</w:t>
      </w:r>
      <w:bookmarkEnd w:id="69"/>
    </w:p>
    <w:p w:rsidR="00925AC4" w:rsidRDefault="00285E1E">
      <w:pPr>
        <w:pStyle w:val="2"/>
        <w:numPr>
          <w:ilvl w:val="0"/>
          <w:numId w:val="78"/>
        </w:numPr>
        <w:ind w:firstLineChars="0"/>
        <w:rPr>
          <w:rFonts w:ascii="仿宋" w:eastAsia="仿宋" w:hAnsi="仿宋" w:cs="仿宋"/>
          <w:color w:val="auto"/>
          <w:sz w:val="28"/>
          <w:szCs w:val="28"/>
        </w:rPr>
      </w:pPr>
      <w:bookmarkStart w:id="70" w:name="_Toc9609"/>
      <w:r>
        <w:rPr>
          <w:rFonts w:ascii="仿宋" w:eastAsia="仿宋" w:hAnsi="仿宋" w:cs="仿宋" w:hint="eastAsia"/>
          <w:color w:val="auto"/>
          <w:sz w:val="28"/>
          <w:szCs w:val="28"/>
        </w:rPr>
        <w:t>容积率的计算规则</w:t>
      </w:r>
      <w:bookmarkEnd w:id="70"/>
    </w:p>
    <w:p w:rsidR="00925AC4" w:rsidRDefault="00285E1E" w:rsidP="008E7712">
      <w:pPr>
        <w:ind w:firstLine="560"/>
        <w:rPr>
          <w:rFonts w:ascii="仿宋" w:eastAsia="仿宋" w:hAnsi="仿宋" w:cs="仿宋"/>
          <w:color w:val="auto"/>
        </w:rPr>
      </w:pPr>
      <w:r>
        <w:rPr>
          <w:rFonts w:ascii="仿宋" w:eastAsia="仿宋" w:hAnsi="仿宋" w:cs="仿宋" w:hint="eastAsia"/>
          <w:color w:val="auto"/>
        </w:rPr>
        <w:t>计容建筑面积指计入容积率的建筑面积，一般按照《</w:t>
      </w:r>
      <w:r w:rsidR="008E7712">
        <w:rPr>
          <w:rFonts w:ascii="Arial" w:hAnsi="Arial" w:cs="Arial"/>
          <w:color w:val="222222"/>
          <w:sz w:val="27"/>
          <w:szCs w:val="27"/>
          <w:shd w:val="clear" w:color="auto" w:fill="FFFFFF"/>
        </w:rPr>
        <w:t>民用建筑通用规范</w:t>
      </w:r>
      <w:r>
        <w:rPr>
          <w:rFonts w:ascii="仿宋" w:eastAsia="仿宋" w:hAnsi="仿宋" w:cs="仿宋" w:hint="eastAsia"/>
          <w:color w:val="auto"/>
        </w:rPr>
        <w:t>》</w:t>
      </w:r>
      <w:r>
        <w:rPr>
          <w:rFonts w:ascii="仿宋" w:eastAsia="仿宋" w:hAnsi="仿宋" w:cs="仿宋" w:hint="eastAsia"/>
          <w:color w:val="auto"/>
        </w:rPr>
        <w:t>(</w:t>
      </w:r>
      <w:r w:rsidR="008E7712">
        <w:rPr>
          <w:rFonts w:ascii="仿宋" w:eastAsia="仿宋" w:hAnsi="仿宋" w:cs="仿宋"/>
          <w:color w:val="auto"/>
        </w:rPr>
        <w:t>GB</w:t>
      </w:r>
      <w:r w:rsidR="008E7712">
        <w:rPr>
          <w:rFonts w:ascii="仿宋" w:eastAsia="仿宋" w:hAnsi="仿宋" w:cs="仿宋" w:hint="eastAsia"/>
          <w:color w:val="auto"/>
        </w:rPr>
        <w:t>/</w:t>
      </w:r>
      <w:r w:rsidR="008E7712" w:rsidRPr="008E7712">
        <w:rPr>
          <w:rFonts w:ascii="仿宋" w:eastAsia="仿宋" w:hAnsi="仿宋" w:cs="仿宋"/>
          <w:color w:val="auto"/>
        </w:rPr>
        <w:t>55031-2022</w:t>
      </w:r>
      <w:r>
        <w:rPr>
          <w:rFonts w:ascii="仿宋" w:eastAsia="仿宋" w:hAnsi="仿宋" w:cs="仿宋" w:hint="eastAsia"/>
          <w:color w:val="auto"/>
        </w:rPr>
        <w:t>)</w:t>
      </w:r>
      <w:r>
        <w:rPr>
          <w:rFonts w:ascii="仿宋" w:eastAsia="仿宋" w:hAnsi="仿宋" w:cs="仿宋" w:hint="eastAsia"/>
          <w:color w:val="auto"/>
        </w:rPr>
        <w:t>规定的计算方式执行，同时还应符合本规定的要求。</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对高度在</w:t>
      </w:r>
      <w:r>
        <w:rPr>
          <w:rFonts w:ascii="仿宋" w:eastAsia="仿宋" w:hAnsi="仿宋" w:cs="仿宋" w:hint="eastAsia"/>
          <w:color w:val="auto"/>
        </w:rPr>
        <w:t>2.2</w:t>
      </w:r>
      <w:r>
        <w:rPr>
          <w:rFonts w:ascii="仿宋" w:eastAsia="仿宋" w:hAnsi="仿宋" w:cs="仿宋" w:hint="eastAsia"/>
          <w:color w:val="auto"/>
        </w:rPr>
        <w:t>米以下</w:t>
      </w:r>
      <w:r>
        <w:rPr>
          <w:rFonts w:ascii="仿宋" w:eastAsia="仿宋" w:hAnsi="仿宋" w:cs="仿宋" w:hint="eastAsia"/>
          <w:color w:val="auto"/>
        </w:rPr>
        <w:t>(</w:t>
      </w:r>
      <w:r>
        <w:rPr>
          <w:rFonts w:ascii="仿宋" w:eastAsia="仿宋" w:hAnsi="仿宋" w:cs="仿宋" w:hint="eastAsia"/>
          <w:color w:val="auto"/>
        </w:rPr>
        <w:t>含</w:t>
      </w:r>
      <w:r>
        <w:rPr>
          <w:rFonts w:ascii="仿宋" w:eastAsia="仿宋" w:hAnsi="仿宋" w:cs="仿宋" w:hint="eastAsia"/>
          <w:color w:val="auto"/>
        </w:rPr>
        <w:t>2.2</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的设备层，应计算</w:t>
      </w:r>
      <w:r>
        <w:rPr>
          <w:rFonts w:ascii="仿宋" w:eastAsia="仿宋" w:hAnsi="仿宋" w:cs="仿宋" w:hint="eastAsia"/>
          <w:color w:val="auto"/>
        </w:rPr>
        <w:t>1/2</w:t>
      </w:r>
      <w:r>
        <w:rPr>
          <w:rFonts w:ascii="仿宋" w:eastAsia="仿宋" w:hAnsi="仿宋" w:cs="仿宋" w:hint="eastAsia"/>
          <w:color w:val="auto"/>
        </w:rPr>
        <w:t>建筑面积；对设备层兼作避难层的，其高度可适当放宽。</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住宅建筑层高一般不应高于</w:t>
      </w:r>
      <w:r>
        <w:rPr>
          <w:rFonts w:ascii="仿宋" w:eastAsia="仿宋" w:hAnsi="仿宋" w:cs="仿宋" w:hint="eastAsia"/>
          <w:color w:val="auto"/>
        </w:rPr>
        <w:t>3.6</w:t>
      </w:r>
      <w:r>
        <w:rPr>
          <w:rFonts w:ascii="仿宋" w:eastAsia="仿宋" w:hAnsi="仿宋" w:cs="仿宋" w:hint="eastAsia"/>
          <w:color w:val="auto"/>
        </w:rPr>
        <w:t>米。住宅建筑层高介于</w:t>
      </w:r>
      <w:r>
        <w:rPr>
          <w:rFonts w:ascii="仿宋" w:eastAsia="仿宋" w:hAnsi="仿宋" w:cs="仿宋" w:hint="eastAsia"/>
          <w:color w:val="auto"/>
        </w:rPr>
        <w:t>3.6</w:t>
      </w:r>
      <w:r>
        <w:rPr>
          <w:rFonts w:ascii="仿宋" w:eastAsia="仿宋" w:hAnsi="仿宋" w:cs="仿宋" w:hint="eastAsia"/>
          <w:color w:val="auto"/>
        </w:rPr>
        <w:t>米—</w:t>
      </w:r>
      <w:r>
        <w:rPr>
          <w:rFonts w:ascii="仿宋" w:eastAsia="仿宋" w:hAnsi="仿宋" w:cs="仿宋" w:hint="eastAsia"/>
          <w:color w:val="auto"/>
        </w:rPr>
        <w:t>4.5</w:t>
      </w:r>
      <w:r>
        <w:rPr>
          <w:rFonts w:ascii="仿宋" w:eastAsia="仿宋" w:hAnsi="仿宋" w:cs="仿宋" w:hint="eastAsia"/>
          <w:color w:val="auto"/>
        </w:rPr>
        <w:t>米之间时，建筑面积计算值按照该层水平投影面积的</w:t>
      </w:r>
      <w:r>
        <w:rPr>
          <w:rFonts w:ascii="仿宋" w:eastAsia="仿宋" w:hAnsi="仿宋" w:cs="仿宋" w:hint="eastAsia"/>
          <w:color w:val="auto"/>
        </w:rPr>
        <w:t>1.5</w:t>
      </w:r>
      <w:r>
        <w:rPr>
          <w:rFonts w:ascii="仿宋" w:eastAsia="仿宋" w:hAnsi="仿宋" w:cs="仿宋" w:hint="eastAsia"/>
          <w:color w:val="auto"/>
        </w:rPr>
        <w:t>倍计算；层高介于</w:t>
      </w:r>
      <w:r>
        <w:rPr>
          <w:rFonts w:ascii="仿宋" w:eastAsia="仿宋" w:hAnsi="仿宋" w:cs="仿宋" w:hint="eastAsia"/>
          <w:color w:val="auto"/>
        </w:rPr>
        <w:t>4.5</w:t>
      </w:r>
      <w:r>
        <w:rPr>
          <w:rFonts w:ascii="仿宋" w:eastAsia="仿宋" w:hAnsi="仿宋" w:cs="仿宋" w:hint="eastAsia"/>
          <w:color w:val="auto"/>
        </w:rPr>
        <w:t>米—</w:t>
      </w:r>
      <w:r>
        <w:rPr>
          <w:rFonts w:ascii="仿宋" w:eastAsia="仿宋" w:hAnsi="仿宋" w:cs="仿宋" w:hint="eastAsia"/>
          <w:color w:val="auto"/>
        </w:rPr>
        <w:t>7.2</w:t>
      </w:r>
      <w:r>
        <w:rPr>
          <w:rFonts w:ascii="仿宋" w:eastAsia="仿宋" w:hAnsi="仿宋" w:cs="仿宋" w:hint="eastAsia"/>
          <w:color w:val="auto"/>
        </w:rPr>
        <w:t>米之间时，不论层内是否设置隔层，建筑面积计算值按照该层水平投影面积的</w:t>
      </w:r>
      <w:r>
        <w:rPr>
          <w:rFonts w:ascii="仿宋" w:eastAsia="仿宋" w:hAnsi="仿宋" w:cs="仿宋" w:hint="eastAsia"/>
          <w:color w:val="auto"/>
        </w:rPr>
        <w:t>2</w:t>
      </w:r>
      <w:r>
        <w:rPr>
          <w:rFonts w:ascii="仿宋" w:eastAsia="仿宋" w:hAnsi="仿宋" w:cs="仿宋" w:hint="eastAsia"/>
          <w:color w:val="auto"/>
        </w:rPr>
        <w:t>倍计算。住宅建筑公共部分的门厅、大堂和坡屋顶等除外。</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办公建筑、酒店建筑层高大于</w:t>
      </w:r>
      <w:r>
        <w:rPr>
          <w:rFonts w:ascii="仿宋" w:eastAsia="仿宋" w:hAnsi="仿宋" w:cs="仿宋" w:hint="eastAsia"/>
          <w:color w:val="auto"/>
        </w:rPr>
        <w:t>4.5</w:t>
      </w:r>
      <w:r>
        <w:rPr>
          <w:rFonts w:ascii="仿宋" w:eastAsia="仿宋" w:hAnsi="仿宋" w:cs="仿宋" w:hint="eastAsia"/>
          <w:color w:val="auto"/>
        </w:rPr>
        <w:t>米，不论层内是否设置隔层，建筑面积计算值按照该层水平投影面积的</w:t>
      </w:r>
      <w:r>
        <w:rPr>
          <w:rFonts w:ascii="仿宋" w:eastAsia="仿宋" w:hAnsi="仿宋" w:cs="仿宋" w:hint="eastAsia"/>
          <w:color w:val="auto"/>
        </w:rPr>
        <w:t>2</w:t>
      </w:r>
      <w:r>
        <w:rPr>
          <w:rFonts w:ascii="仿宋" w:eastAsia="仿宋" w:hAnsi="仿宋" w:cs="仿宋" w:hint="eastAsia"/>
          <w:color w:val="auto"/>
        </w:rPr>
        <w:t>倍计算；层高大于</w:t>
      </w:r>
      <w:r>
        <w:rPr>
          <w:rFonts w:ascii="仿宋" w:eastAsia="仿宋" w:hAnsi="仿宋" w:cs="仿宋" w:hint="eastAsia"/>
          <w:color w:val="auto"/>
        </w:rPr>
        <w:t>7.6</w:t>
      </w:r>
      <w:r>
        <w:rPr>
          <w:rFonts w:ascii="仿宋" w:eastAsia="仿宋" w:hAnsi="仿宋" w:cs="仿宋" w:hint="eastAsia"/>
          <w:color w:val="auto"/>
        </w:rPr>
        <w:t>米，不论层内是否设置隔层，建筑面积计算值按照该层水平投影面积的</w:t>
      </w:r>
      <w:r>
        <w:rPr>
          <w:rFonts w:ascii="仿宋" w:eastAsia="仿宋" w:hAnsi="仿宋" w:cs="仿宋" w:hint="eastAsia"/>
          <w:color w:val="auto"/>
        </w:rPr>
        <w:t>3</w:t>
      </w:r>
      <w:r>
        <w:rPr>
          <w:rFonts w:ascii="仿宋" w:eastAsia="仿宋" w:hAnsi="仿宋" w:cs="仿宋" w:hint="eastAsia"/>
          <w:color w:val="auto"/>
        </w:rPr>
        <w:t>倍计算。建筑公共部分的门厅、大堂、中庭、会议室除外。</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酒</w:t>
      </w:r>
      <w:r>
        <w:rPr>
          <w:rFonts w:ascii="仿宋" w:eastAsia="仿宋" w:hAnsi="仿宋" w:cs="仿宋" w:hint="eastAsia"/>
          <w:color w:val="auto"/>
        </w:rPr>
        <w:t>店、会展建筑之外的商业用房层高大于</w:t>
      </w:r>
      <w:r>
        <w:rPr>
          <w:rFonts w:ascii="仿宋" w:eastAsia="仿宋" w:hAnsi="仿宋" w:cs="仿宋" w:hint="eastAsia"/>
          <w:color w:val="auto"/>
        </w:rPr>
        <w:t>5.4</w:t>
      </w:r>
      <w:r>
        <w:rPr>
          <w:rFonts w:ascii="仿宋" w:eastAsia="仿宋" w:hAnsi="仿宋" w:cs="仿宋" w:hint="eastAsia"/>
          <w:color w:val="auto"/>
        </w:rPr>
        <w:t>米</w:t>
      </w:r>
      <w:r>
        <w:rPr>
          <w:rFonts w:ascii="仿宋" w:eastAsia="仿宋" w:hAnsi="仿宋" w:cs="仿宋" w:hint="eastAsia"/>
          <w:color w:val="auto"/>
        </w:rPr>
        <w:t>(</w:t>
      </w:r>
      <w:r>
        <w:rPr>
          <w:rFonts w:ascii="仿宋" w:eastAsia="仿宋" w:hAnsi="仿宋" w:cs="仿宋" w:hint="eastAsia"/>
          <w:color w:val="auto"/>
        </w:rPr>
        <w:t>含底层商业</w:t>
      </w:r>
      <w:r>
        <w:rPr>
          <w:rFonts w:ascii="仿宋" w:eastAsia="仿宋" w:hAnsi="仿宋" w:cs="仿宋" w:hint="eastAsia"/>
          <w:color w:val="auto"/>
        </w:rPr>
        <w:t>),</w:t>
      </w:r>
      <w:r>
        <w:rPr>
          <w:rFonts w:ascii="仿宋" w:eastAsia="仿宋" w:hAnsi="仿宋" w:cs="仿宋" w:hint="eastAsia"/>
          <w:color w:val="auto"/>
        </w:rPr>
        <w:t>不论层内是否设置隔层，建筑面积计算值按该层水平投影面积的</w:t>
      </w:r>
      <w:r>
        <w:rPr>
          <w:rFonts w:ascii="仿宋" w:eastAsia="仿宋" w:hAnsi="仿宋" w:cs="仿宋" w:hint="eastAsia"/>
          <w:color w:val="auto"/>
        </w:rPr>
        <w:t>2</w:t>
      </w:r>
      <w:r>
        <w:rPr>
          <w:rFonts w:ascii="仿宋" w:eastAsia="仿宋" w:hAnsi="仿宋" w:cs="仿宋" w:hint="eastAsia"/>
          <w:color w:val="auto"/>
        </w:rPr>
        <w:t>倍计算，建筑公共部分的门厅、大堂、中庭除外。</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超市、大型商场、专卖店、餐饮酒店、娱乐等功能集中布置的单一空间达到</w:t>
      </w:r>
      <w:r>
        <w:rPr>
          <w:rFonts w:ascii="仿宋" w:eastAsia="仿宋" w:hAnsi="仿宋" w:cs="仿宋" w:hint="eastAsia"/>
          <w:color w:val="auto"/>
        </w:rPr>
        <w:t>2000</w:t>
      </w:r>
      <w:r>
        <w:rPr>
          <w:rFonts w:ascii="仿宋" w:eastAsia="仿宋" w:hAnsi="仿宋" w:cs="仿宋" w:hint="eastAsia"/>
          <w:color w:val="auto"/>
        </w:rPr>
        <w:t>平方米以上的商业用房，以及电影院、体育场馆、展示厅、综合会议厅等有特殊功能需要的建筑层高可以根据功能要求适当提高。</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建筑顶层，其套内门厅、起居室、餐厅、与起居室相连的封闭式阳台的通高部分不超过该户套内计容面积的</w:t>
      </w:r>
      <w:r>
        <w:rPr>
          <w:rFonts w:ascii="仿宋" w:eastAsia="仿宋" w:hAnsi="仿宋" w:cs="仿宋" w:hint="eastAsia"/>
          <w:color w:val="auto"/>
        </w:rPr>
        <w:t>25%</w:t>
      </w:r>
      <w:r>
        <w:rPr>
          <w:rFonts w:ascii="仿宋" w:eastAsia="仿宋" w:hAnsi="仿宋" w:cs="仿宋" w:hint="eastAsia"/>
          <w:color w:val="auto"/>
        </w:rPr>
        <w:t>且小于或者等于</w:t>
      </w:r>
      <w:r>
        <w:rPr>
          <w:rFonts w:ascii="仿宋" w:eastAsia="仿宋" w:hAnsi="仿宋" w:cs="仿宋" w:hint="eastAsia"/>
          <w:color w:val="auto"/>
        </w:rPr>
        <w:t>7.2</w:t>
      </w:r>
      <w:r>
        <w:rPr>
          <w:rFonts w:ascii="仿宋" w:eastAsia="仿宋" w:hAnsi="仿宋" w:cs="仿宋" w:hint="eastAsia"/>
          <w:color w:val="auto"/>
        </w:rPr>
        <w:lastRenderedPageBreak/>
        <w:t>米的，该通高部分的计容建筑面积按照该层水</w:t>
      </w:r>
      <w:r>
        <w:rPr>
          <w:rFonts w:ascii="仿宋" w:eastAsia="仿宋" w:hAnsi="仿宋" w:cs="仿宋" w:hint="eastAsia"/>
          <w:color w:val="auto"/>
        </w:rPr>
        <w:t>平投影面积计算；不满足以上条件的部分，按本规定附录二容积率计算规则第</w:t>
      </w:r>
      <w:r>
        <w:rPr>
          <w:rFonts w:ascii="仿宋" w:eastAsia="仿宋" w:hAnsi="仿宋" w:cs="仿宋" w:hint="eastAsia"/>
          <w:color w:val="auto"/>
        </w:rPr>
        <w:t>(</w:t>
      </w:r>
      <w:r>
        <w:rPr>
          <w:rFonts w:ascii="仿宋" w:eastAsia="仿宋" w:hAnsi="仿宋" w:cs="仿宋" w:hint="eastAsia"/>
          <w:color w:val="auto"/>
        </w:rPr>
        <w:t>二</w:t>
      </w:r>
      <w:r>
        <w:rPr>
          <w:rFonts w:ascii="仿宋" w:eastAsia="仿宋" w:hAnsi="仿宋" w:cs="仿宋" w:hint="eastAsia"/>
          <w:color w:val="auto"/>
        </w:rPr>
        <w:t>)</w:t>
      </w:r>
      <w:r>
        <w:rPr>
          <w:rFonts w:ascii="仿宋" w:eastAsia="仿宋" w:hAnsi="仿宋" w:cs="仿宋" w:hint="eastAsia"/>
          <w:color w:val="auto"/>
        </w:rPr>
        <w:t>条执行。</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除特殊</w:t>
      </w:r>
      <w:r>
        <w:rPr>
          <w:rFonts w:ascii="仿宋" w:eastAsia="仿宋" w:hAnsi="仿宋" w:cs="仿宋" w:hint="eastAsia"/>
          <w:color w:val="auto"/>
        </w:rPr>
        <w:t>(</w:t>
      </w:r>
      <w:r>
        <w:rPr>
          <w:rFonts w:ascii="仿宋" w:eastAsia="仿宋" w:hAnsi="仿宋" w:cs="仿宋" w:hint="eastAsia"/>
          <w:color w:val="auto"/>
        </w:rPr>
        <w:t>经相关行业部门认证</w:t>
      </w:r>
      <w:r>
        <w:rPr>
          <w:rFonts w:ascii="仿宋" w:eastAsia="仿宋" w:hAnsi="仿宋" w:cs="仿宋" w:hint="eastAsia"/>
          <w:color w:val="auto"/>
        </w:rPr>
        <w:t>)</w:t>
      </w:r>
      <w:r>
        <w:rPr>
          <w:rFonts w:ascii="仿宋" w:eastAsia="仿宋" w:hAnsi="仿宋" w:cs="仿宋" w:hint="eastAsia"/>
          <w:color w:val="auto"/>
        </w:rPr>
        <w:t>要求外，工业项目中的厂房层高不宜高于</w:t>
      </w:r>
      <w:r>
        <w:rPr>
          <w:rFonts w:ascii="仿宋" w:eastAsia="仿宋" w:hAnsi="仿宋" w:cs="仿宋" w:hint="eastAsia"/>
          <w:color w:val="auto"/>
        </w:rPr>
        <w:t>8</w:t>
      </w:r>
      <w:r>
        <w:rPr>
          <w:rFonts w:ascii="仿宋" w:eastAsia="仿宋" w:hAnsi="仿宋" w:cs="仿宋" w:hint="eastAsia"/>
          <w:color w:val="auto"/>
        </w:rPr>
        <w:t>米，当层高超过</w:t>
      </w:r>
      <w:r>
        <w:rPr>
          <w:rFonts w:ascii="仿宋" w:eastAsia="仿宋" w:hAnsi="仿宋" w:cs="仿宋" w:hint="eastAsia"/>
          <w:color w:val="auto"/>
        </w:rPr>
        <w:t>8</w:t>
      </w:r>
      <w:r>
        <w:rPr>
          <w:rFonts w:ascii="仿宋" w:eastAsia="仿宋" w:hAnsi="仿宋" w:cs="仿宋" w:hint="eastAsia"/>
          <w:color w:val="auto"/>
        </w:rPr>
        <w:t>米时，在计算总容积率时该层建筑面积加倍计算。非厂房以外的其它工业项目用房层高不应高于</w:t>
      </w:r>
      <w:r>
        <w:rPr>
          <w:rFonts w:ascii="仿宋" w:eastAsia="仿宋" w:hAnsi="仿宋" w:cs="仿宋" w:hint="eastAsia"/>
          <w:color w:val="auto"/>
        </w:rPr>
        <w:t>4.2</w:t>
      </w:r>
      <w:r>
        <w:rPr>
          <w:rFonts w:ascii="仿宋" w:eastAsia="仿宋" w:hAnsi="仿宋" w:cs="仿宋" w:hint="eastAsia"/>
          <w:color w:val="auto"/>
        </w:rPr>
        <w:t>米。</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物流仓储用地建筑，当建筑层高超过</w:t>
      </w:r>
      <w:r>
        <w:rPr>
          <w:rFonts w:ascii="仿宋" w:eastAsia="仿宋" w:hAnsi="仿宋" w:cs="仿宋" w:hint="eastAsia"/>
          <w:color w:val="auto"/>
        </w:rPr>
        <w:t>8</w:t>
      </w:r>
      <w:r>
        <w:rPr>
          <w:rFonts w:ascii="仿宋" w:eastAsia="仿宋" w:hAnsi="仿宋" w:cs="仿宋" w:hint="eastAsia"/>
          <w:color w:val="auto"/>
        </w:rPr>
        <w:t>米时，在计算总容积率时该层建筑面积加倍计算。</w:t>
      </w:r>
    </w:p>
    <w:p w:rsidR="00925AC4" w:rsidRDefault="008E7712">
      <w:pPr>
        <w:numPr>
          <w:ilvl w:val="0"/>
          <w:numId w:val="79"/>
        </w:numPr>
        <w:ind w:firstLine="560"/>
        <w:rPr>
          <w:rFonts w:ascii="仿宋" w:eastAsia="仿宋" w:hAnsi="仿宋" w:cs="仿宋" w:hint="eastAsia"/>
          <w:color w:val="auto"/>
        </w:rPr>
      </w:pPr>
      <w:r w:rsidRPr="008E7712">
        <w:rPr>
          <w:rFonts w:ascii="仿宋" w:eastAsia="仿宋" w:hAnsi="仿宋" w:cs="仿宋" w:hint="eastAsia"/>
          <w:color w:val="auto"/>
        </w:rPr>
        <w:t>阳台建筑面积应按围护设施外表面所围空间水平投影面积的</w:t>
      </w:r>
      <w:r w:rsidRPr="008E7712">
        <w:rPr>
          <w:rFonts w:ascii="仿宋" w:eastAsia="仿宋" w:hAnsi="仿宋" w:cs="仿宋"/>
          <w:color w:val="auto"/>
        </w:rPr>
        <w:t>1/2计算；当阳台封闭时，应按其外围护结构外表面所围空间的水平投影面</w:t>
      </w:r>
      <w:r>
        <w:rPr>
          <w:rFonts w:ascii="仿宋" w:eastAsia="仿宋" w:hAnsi="仿宋" w:cs="仿宋"/>
          <w:color w:val="auto"/>
        </w:rPr>
        <w:t>积计算</w:t>
      </w:r>
      <w:r w:rsidR="00285E1E">
        <w:rPr>
          <w:rFonts w:ascii="仿宋" w:eastAsia="仿宋" w:hAnsi="仿宋" w:cs="仿宋" w:hint="eastAsia"/>
          <w:color w:val="auto"/>
        </w:rPr>
        <w:t>。</w:t>
      </w:r>
    </w:p>
    <w:p w:rsidR="008E7712" w:rsidRPr="008E7712" w:rsidRDefault="008E7712" w:rsidP="008E7712">
      <w:pPr>
        <w:numPr>
          <w:ilvl w:val="0"/>
          <w:numId w:val="79"/>
        </w:numPr>
        <w:ind w:firstLine="560"/>
        <w:rPr>
          <w:rFonts w:ascii="仿宋" w:eastAsia="仿宋" w:hAnsi="仿宋" w:cs="仿宋"/>
          <w:color w:val="auto"/>
        </w:rPr>
      </w:pPr>
      <w:r w:rsidRPr="008E7712">
        <w:rPr>
          <w:rFonts w:ascii="仿宋" w:eastAsia="仿宋" w:hAnsi="仿宋" w:cs="仿宋"/>
          <w:color w:val="auto"/>
        </w:rPr>
        <w:t>功能空间使用面积应按功能空间墙体内表面所围合空间的水平投影面积计算。</w:t>
      </w:r>
    </w:p>
    <w:p w:rsidR="008E7712" w:rsidRPr="008E7712" w:rsidRDefault="008E7712" w:rsidP="008E7712">
      <w:pPr>
        <w:numPr>
          <w:ilvl w:val="0"/>
          <w:numId w:val="79"/>
        </w:numPr>
        <w:ind w:firstLine="560"/>
        <w:rPr>
          <w:rFonts w:ascii="仿宋" w:eastAsia="仿宋" w:hAnsi="仿宋" w:cs="仿宋"/>
          <w:color w:val="auto"/>
        </w:rPr>
      </w:pPr>
      <w:r w:rsidRPr="008E7712">
        <w:rPr>
          <w:rFonts w:ascii="仿宋" w:eastAsia="仿宋" w:hAnsi="仿宋" w:cs="仿宋"/>
          <w:color w:val="auto"/>
        </w:rPr>
        <w:t>功能单元使用面积应按功能单元内各功能空间使用面积之和计算。</w:t>
      </w:r>
    </w:p>
    <w:p w:rsidR="008E7712" w:rsidRDefault="008E7712" w:rsidP="008E7712">
      <w:pPr>
        <w:numPr>
          <w:ilvl w:val="0"/>
          <w:numId w:val="79"/>
        </w:numPr>
        <w:ind w:firstLine="560"/>
        <w:rPr>
          <w:rFonts w:ascii="仿宋" w:eastAsia="仿宋" w:hAnsi="仿宋" w:cs="仿宋" w:hint="eastAsia"/>
          <w:color w:val="auto"/>
        </w:rPr>
      </w:pPr>
      <w:r w:rsidRPr="008E7712">
        <w:rPr>
          <w:rFonts w:ascii="仿宋" w:eastAsia="仿宋" w:hAnsi="仿宋" w:cs="仿宋"/>
          <w:color w:val="auto"/>
        </w:rPr>
        <w:t>功能单元建筑面积应按功能单元使用面积、功能单元墙体水平投影面积、功能单元内阳台面积之和计算。</w:t>
      </w:r>
    </w:p>
    <w:p w:rsidR="008E7712" w:rsidRPr="008E7712" w:rsidRDefault="008E7712" w:rsidP="008E7712">
      <w:pPr>
        <w:numPr>
          <w:ilvl w:val="0"/>
          <w:numId w:val="79"/>
        </w:numPr>
        <w:ind w:firstLine="560"/>
        <w:rPr>
          <w:rFonts w:ascii="仿宋" w:eastAsia="仿宋" w:hAnsi="仿宋" w:cs="仿宋"/>
          <w:color w:val="auto"/>
        </w:rPr>
      </w:pPr>
      <w:r w:rsidRPr="008E7712">
        <w:rPr>
          <w:rFonts w:ascii="仿宋" w:eastAsia="仿宋" w:hAnsi="仿宋" w:cs="仿宋"/>
          <w:color w:val="auto"/>
        </w:rPr>
        <w:t>永久性结构的建筑空间，有永久性顶盖、结构层高或斜面结构板顶高在2.20m及以上的，应按下列规定计算建筑面积</w:t>
      </w:r>
      <w:r w:rsidRPr="008E7712">
        <w:rPr>
          <w:rFonts w:ascii="仿宋" w:eastAsia="仿宋" w:hAnsi="仿宋" w:cs="仿宋" w:hint="eastAsia"/>
          <w:color w:val="auto"/>
        </w:rPr>
        <w:t>∶</w:t>
      </w:r>
      <w:r w:rsidRPr="008E7712">
        <w:rPr>
          <w:rFonts w:ascii="仿宋" w:eastAsia="仿宋" w:hAnsi="仿宋" w:cs="仿宋"/>
          <w:color w:val="auto"/>
        </w:rPr>
        <w:t>1 有围护结构、封闭围合的建筑空间，应按其外围护结构外表面所围空间的水平投影面积计算；2 无围护结构、以柱围合，或部分围护结构与柱共同围合，不封闭的建筑空间，应按其柱或外围护结构外表面所围空间的水平投影面积计算；3 无围护结构、单排柱或独立柱、不封闭的建筑空间，应按其顶盖水平投影面积的1/2计算；4 无围护结构、有围护设施、无柱、附属在建筑外围护结构、不封闭的建筑空间，应按其围护设施外表面所围空间水平投影面积的1/2计算。</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lastRenderedPageBreak/>
        <w:t>住宅建筑中的阳台、各类形式的入户花园、空中花园、花池、退台、设备平台、结构板、构造板、抗震板、空调板以及结构镂空部位</w:t>
      </w:r>
      <w:r>
        <w:rPr>
          <w:rFonts w:ascii="仿宋" w:eastAsia="仿宋" w:hAnsi="仿宋" w:cs="仿宋" w:hint="eastAsia"/>
          <w:color w:val="auto"/>
        </w:rPr>
        <w:t>(</w:t>
      </w:r>
      <w:r>
        <w:rPr>
          <w:rFonts w:ascii="仿宋" w:eastAsia="仿宋" w:hAnsi="仿宋" w:cs="仿宋" w:hint="eastAsia"/>
          <w:color w:val="auto"/>
        </w:rPr>
        <w:t>应设计剪力墙隔离</w:t>
      </w:r>
      <w:r>
        <w:rPr>
          <w:rFonts w:ascii="仿宋" w:eastAsia="仿宋" w:hAnsi="仿宋" w:cs="仿宋" w:hint="eastAsia"/>
          <w:color w:val="auto"/>
        </w:rPr>
        <w:t>)</w:t>
      </w:r>
      <w:r>
        <w:rPr>
          <w:rFonts w:ascii="仿宋" w:eastAsia="仿宋" w:hAnsi="仿宋" w:cs="仿宋" w:hint="eastAsia"/>
          <w:color w:val="auto"/>
        </w:rPr>
        <w:t>和凸窗等非公共活动空间部位的水平投影面积不得大于该层计容建筑面积的</w:t>
      </w:r>
      <w:r>
        <w:rPr>
          <w:rFonts w:ascii="仿宋" w:eastAsia="仿宋" w:hAnsi="仿宋" w:cs="仿宋" w:hint="eastAsia"/>
          <w:color w:val="auto"/>
        </w:rPr>
        <w:t>20%,</w:t>
      </w:r>
      <w:r>
        <w:rPr>
          <w:rFonts w:ascii="仿宋" w:eastAsia="仿宋" w:hAnsi="仿宋" w:cs="仿宋" w:hint="eastAsia"/>
          <w:color w:val="auto"/>
        </w:rPr>
        <w:t>其中结构板、构造板、抗震板、空调板以及结构镂空等部位的水平投影面积不得大于该层计容建筑面积的</w:t>
      </w:r>
      <w:r>
        <w:rPr>
          <w:rFonts w:ascii="仿宋" w:eastAsia="仿宋" w:hAnsi="仿宋" w:cs="仿宋" w:hint="eastAsia"/>
          <w:color w:val="auto"/>
        </w:rPr>
        <w:t>5%</w:t>
      </w:r>
      <w:r>
        <w:rPr>
          <w:rFonts w:ascii="仿宋" w:eastAsia="仿宋" w:hAnsi="仿宋" w:cs="仿宋" w:hint="eastAsia"/>
          <w:color w:val="auto"/>
        </w:rPr>
        <w:t>。</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各类连板，应采用有效构造措施确保人员不能到达，且不得附加除结构必需荷载要求以外的各项荷载。</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因城市风貌景观要求，对住宅外立面进行公建化设计而全封闭的外挑阳台，经规划部门同意后，其建筑面积减半计算。</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商业建筑应设置专用排烟烟道，烟道部分不纳入容积率计算。</w:t>
      </w:r>
    </w:p>
    <w:p w:rsidR="00925AC4" w:rsidRPr="002C1D09" w:rsidRDefault="002C1D09" w:rsidP="002C1D09">
      <w:pPr>
        <w:numPr>
          <w:ilvl w:val="0"/>
          <w:numId w:val="79"/>
        </w:numPr>
        <w:ind w:firstLine="560"/>
        <w:rPr>
          <w:rFonts w:ascii="仿宋" w:eastAsia="仿宋" w:hAnsi="仿宋" w:cs="仿宋"/>
          <w:color w:val="auto"/>
        </w:rPr>
      </w:pPr>
      <w:r w:rsidRPr="002C1D09">
        <w:rPr>
          <w:rFonts w:ascii="仿宋" w:eastAsia="仿宋" w:hAnsi="仿宋" w:cs="仿宋"/>
          <w:color w:val="auto"/>
        </w:rPr>
        <w:t>下列空间与部位不应计算建筑面积</w:t>
      </w:r>
      <w:r w:rsidRPr="002C1D09">
        <w:rPr>
          <w:rFonts w:ascii="仿宋" w:eastAsia="仿宋" w:hAnsi="仿宋" w:cs="仿宋" w:hint="eastAsia"/>
          <w:color w:val="auto"/>
        </w:rPr>
        <w:t>∶</w:t>
      </w:r>
      <w:r w:rsidRPr="002C1D09">
        <w:rPr>
          <w:rFonts w:ascii="仿宋" w:eastAsia="仿宋" w:hAnsi="仿宋" w:cs="仿宋"/>
          <w:color w:val="auto"/>
        </w:rPr>
        <w:t>1 结构层高或斜面结构板顶高度小于2.20m的建筑空间；2 无顶盖的建筑空间；3 附属在建筑外围护结构上的构（配）件；4 建筑出挑部分的下部空间；5 建筑物中用作城市街巷通行的公共交通空间；6 独立于建筑物之外的各类构筑物。</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女儿墙高度大于</w:t>
      </w:r>
      <w:r>
        <w:rPr>
          <w:rFonts w:ascii="仿宋" w:eastAsia="仿宋" w:hAnsi="仿宋" w:cs="仿宋" w:hint="eastAsia"/>
          <w:color w:val="auto"/>
        </w:rPr>
        <w:t>1.8</w:t>
      </w:r>
      <w:r>
        <w:rPr>
          <w:rFonts w:ascii="仿宋" w:eastAsia="仿宋" w:hAnsi="仿宋" w:cs="仿宋" w:hint="eastAsia"/>
          <w:color w:val="auto"/>
        </w:rPr>
        <w:t>米的部分，其围合长度超过女儿墙周长</w:t>
      </w:r>
      <w:r>
        <w:rPr>
          <w:rFonts w:ascii="仿宋" w:eastAsia="仿宋" w:hAnsi="仿宋" w:cs="仿宋" w:hint="eastAsia"/>
          <w:color w:val="auto"/>
        </w:rPr>
        <w:t>20%</w:t>
      </w:r>
      <w:r>
        <w:rPr>
          <w:rFonts w:ascii="仿宋" w:eastAsia="仿宋" w:hAnsi="仿宋" w:cs="仿宋" w:hint="eastAsia"/>
          <w:color w:val="auto"/>
        </w:rPr>
        <w:t>时，按照该屋面水平投影面积计入计容建筑面积。</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地下室、半地下室只用作人防、车库和设备用房非经营性设施的建筑面积不纳入容积率计算；如设置上述功能以外的房间，该部分房间应纳入容积率计算，并采用钢筋混凝土墙体与人防、车库和设备用房完全隔断，且该部分房间与车库相连部分应作降板处理，降板高度不低于</w:t>
      </w:r>
      <w:r>
        <w:rPr>
          <w:rFonts w:ascii="仿宋" w:eastAsia="仿宋" w:hAnsi="仿宋" w:cs="仿宋" w:hint="eastAsia"/>
          <w:color w:val="auto"/>
        </w:rPr>
        <w:t>1</w:t>
      </w:r>
      <w:r>
        <w:rPr>
          <w:rFonts w:ascii="仿宋" w:eastAsia="仿宋" w:hAnsi="仿宋" w:cs="仿宋" w:hint="eastAsia"/>
          <w:color w:val="auto"/>
        </w:rPr>
        <w:t>米。</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半地下室非掩盖面做商业用房，进深不宜小于</w:t>
      </w:r>
      <w:r>
        <w:rPr>
          <w:rFonts w:ascii="仿宋" w:eastAsia="仿宋" w:hAnsi="仿宋" w:cs="仿宋" w:hint="eastAsia"/>
          <w:color w:val="auto"/>
        </w:rPr>
        <w:t>12</w:t>
      </w:r>
      <w:r>
        <w:rPr>
          <w:rFonts w:ascii="仿宋" w:eastAsia="仿宋" w:hAnsi="仿宋" w:cs="仿宋" w:hint="eastAsia"/>
          <w:color w:val="auto"/>
        </w:rPr>
        <w:t>米，对应的进深部分计入容积率。</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因交通设施、公用设施工程影响，或者因满足文物保护、防洪要求，导致建设项目地</w:t>
      </w:r>
      <w:r>
        <w:rPr>
          <w:rFonts w:ascii="仿宋" w:eastAsia="仿宋" w:hAnsi="仿宋" w:cs="仿宋" w:hint="eastAsia"/>
          <w:color w:val="auto"/>
        </w:rPr>
        <w:t>下空间使用受限，仅使用地下及局部被室外</w:t>
      </w:r>
      <w:r>
        <w:rPr>
          <w:rFonts w:ascii="仿宋" w:eastAsia="仿宋" w:hAnsi="仿宋" w:cs="仿宋" w:hint="eastAsia"/>
          <w:color w:val="auto"/>
        </w:rPr>
        <w:lastRenderedPageBreak/>
        <w:t>地坪掩埋的地上建筑配建停车位数量不能满足要求的，经专题论证，其不足部分在地上建筑中配建的，不纳入容积率计算，但其地下建筑中除停车库和设备用房外，应当纳入容积率计算</w:t>
      </w:r>
      <w:r>
        <w:rPr>
          <w:rFonts w:ascii="仿宋" w:eastAsia="仿宋" w:hAnsi="仿宋" w:cs="仿宋" w:hint="eastAsia"/>
          <w:color w:val="auto"/>
        </w:rPr>
        <w:t>。</w:t>
      </w:r>
    </w:p>
    <w:p w:rsidR="00925AC4" w:rsidRDefault="00285E1E">
      <w:pPr>
        <w:numPr>
          <w:ilvl w:val="0"/>
          <w:numId w:val="79"/>
        </w:numPr>
        <w:ind w:firstLine="560"/>
        <w:rPr>
          <w:rFonts w:ascii="仿宋" w:eastAsia="仿宋" w:hAnsi="仿宋" w:cs="仿宋"/>
          <w:color w:val="auto"/>
        </w:rPr>
      </w:pPr>
      <w:r>
        <w:rPr>
          <w:rFonts w:ascii="仿宋" w:eastAsia="仿宋" w:hAnsi="仿宋" w:cs="仿宋" w:hint="eastAsia"/>
          <w:color w:val="auto"/>
        </w:rPr>
        <w:t>建设项目设计方案中出现本规则之外或难以界定的情况时，可以组织专家论证其方案的合理性，以专家论证结论作为方案审查的参考依据。</w:t>
      </w:r>
    </w:p>
    <w:p w:rsidR="00925AC4" w:rsidRDefault="00285E1E" w:rsidP="008E7712">
      <w:pPr>
        <w:pStyle w:val="2"/>
        <w:numPr>
          <w:ilvl w:val="0"/>
          <w:numId w:val="78"/>
        </w:numPr>
        <w:ind w:firstLine="562"/>
        <w:rPr>
          <w:rFonts w:ascii="仿宋" w:eastAsia="仿宋" w:hAnsi="仿宋" w:cs="仿宋"/>
          <w:color w:val="auto"/>
          <w:sz w:val="28"/>
          <w:szCs w:val="28"/>
        </w:rPr>
      </w:pPr>
      <w:bookmarkStart w:id="71" w:name="_Toc8256"/>
      <w:r>
        <w:rPr>
          <w:rFonts w:ascii="仿宋" w:eastAsia="仿宋" w:hAnsi="仿宋" w:cs="仿宋" w:hint="eastAsia"/>
          <w:color w:val="auto"/>
          <w:sz w:val="28"/>
          <w:szCs w:val="28"/>
        </w:rPr>
        <w:t>以下建筑面积不计入容积率</w:t>
      </w:r>
      <w:bookmarkEnd w:id="71"/>
    </w:p>
    <w:p w:rsidR="00925AC4" w:rsidRDefault="00285E1E">
      <w:pPr>
        <w:numPr>
          <w:ilvl w:val="0"/>
          <w:numId w:val="80"/>
        </w:numPr>
        <w:ind w:firstLine="560"/>
        <w:rPr>
          <w:rFonts w:ascii="仿宋" w:eastAsia="仿宋" w:hAnsi="仿宋" w:cs="仿宋"/>
          <w:color w:val="auto"/>
        </w:rPr>
      </w:pPr>
      <w:r>
        <w:rPr>
          <w:rFonts w:ascii="仿宋" w:eastAsia="仿宋" w:hAnsi="仿宋" w:cs="仿宋" w:hint="eastAsia"/>
          <w:color w:val="auto"/>
        </w:rPr>
        <w:t>高、多层民用建筑底层设架空层用作通道、停车、布置绿化小品、居民休闲设施等公共用途的，其建筑面积可不计入建筑容积率，但应计入总建筑面积。架空层不得围合封闭改作他用或出售、出租。</w:t>
      </w:r>
    </w:p>
    <w:p w:rsidR="00925AC4" w:rsidRDefault="00285E1E">
      <w:pPr>
        <w:numPr>
          <w:ilvl w:val="0"/>
          <w:numId w:val="80"/>
        </w:numPr>
        <w:ind w:firstLine="560"/>
        <w:rPr>
          <w:rFonts w:ascii="仿宋" w:eastAsia="仿宋" w:hAnsi="仿宋" w:cs="仿宋"/>
          <w:color w:val="auto"/>
        </w:rPr>
      </w:pPr>
      <w:r>
        <w:rPr>
          <w:rFonts w:ascii="仿宋" w:eastAsia="仿宋" w:hAnsi="仿宋" w:cs="仿宋" w:hint="eastAsia"/>
          <w:color w:val="auto"/>
        </w:rPr>
        <w:t>给城市提供公共开放空间的建筑面积。</w:t>
      </w:r>
    </w:p>
    <w:p w:rsidR="00925AC4" w:rsidRDefault="00285E1E">
      <w:pPr>
        <w:numPr>
          <w:ilvl w:val="0"/>
          <w:numId w:val="80"/>
        </w:numPr>
        <w:ind w:firstLine="560"/>
        <w:rPr>
          <w:rFonts w:ascii="仿宋" w:eastAsia="仿宋" w:hAnsi="仿宋" w:cs="仿宋"/>
          <w:color w:val="auto"/>
        </w:rPr>
      </w:pPr>
      <w:r>
        <w:rPr>
          <w:rFonts w:ascii="仿宋" w:eastAsia="仿宋" w:hAnsi="仿宋" w:cs="仿宋" w:hint="eastAsia"/>
          <w:color w:val="auto"/>
        </w:rPr>
        <w:t>国家相关规范规定不计入建筑面积的部分。</w:t>
      </w:r>
    </w:p>
    <w:p w:rsidR="00925AC4" w:rsidRDefault="00285E1E" w:rsidP="008E7712">
      <w:pPr>
        <w:pStyle w:val="2"/>
        <w:numPr>
          <w:ilvl w:val="0"/>
          <w:numId w:val="78"/>
        </w:numPr>
        <w:ind w:firstLine="562"/>
        <w:rPr>
          <w:rFonts w:ascii="仿宋" w:eastAsia="仿宋" w:hAnsi="仿宋" w:cs="仿宋"/>
          <w:color w:val="auto"/>
          <w:sz w:val="28"/>
          <w:szCs w:val="18"/>
        </w:rPr>
      </w:pPr>
      <w:bookmarkStart w:id="72" w:name="_Toc12191"/>
      <w:r>
        <w:rPr>
          <w:rFonts w:ascii="仿宋" w:eastAsia="仿宋" w:hAnsi="仿宋" w:cs="仿宋" w:hint="eastAsia"/>
          <w:color w:val="auto"/>
          <w:sz w:val="28"/>
          <w:szCs w:val="18"/>
        </w:rPr>
        <w:t>规划设计要求</w:t>
      </w:r>
      <w:bookmarkEnd w:id="72"/>
    </w:p>
    <w:p w:rsidR="00925AC4" w:rsidRDefault="00285E1E" w:rsidP="008E7712">
      <w:pPr>
        <w:ind w:firstLine="560"/>
        <w:rPr>
          <w:rFonts w:ascii="仿宋" w:eastAsia="仿宋" w:hAnsi="仿宋" w:cs="仿宋"/>
          <w:color w:val="auto"/>
          <w:szCs w:val="31"/>
        </w:rPr>
      </w:pPr>
      <w:r>
        <w:rPr>
          <w:rFonts w:ascii="仿宋" w:eastAsia="仿宋" w:hAnsi="仿宋" w:cs="仿宋" w:hint="eastAsia"/>
          <w:color w:val="auto"/>
        </w:rPr>
        <w:t>住宅建筑除厨房外，其它各类房间外需要设置阳台的，该房间进深</w:t>
      </w:r>
      <w:r>
        <w:rPr>
          <w:rFonts w:ascii="仿宋" w:eastAsia="仿宋" w:hAnsi="仿宋" w:cs="仿宋" w:hint="eastAsia"/>
          <w:color w:val="auto"/>
        </w:rPr>
        <w:t>(</w:t>
      </w:r>
      <w:r>
        <w:rPr>
          <w:rFonts w:ascii="仿宋" w:eastAsia="仿宋" w:hAnsi="仿宋" w:cs="仿宋" w:hint="eastAsia"/>
          <w:color w:val="auto"/>
        </w:rPr>
        <w:t>开间</w:t>
      </w:r>
      <w:r>
        <w:rPr>
          <w:rFonts w:ascii="仿宋" w:eastAsia="仿宋" w:hAnsi="仿宋" w:cs="仿宋" w:hint="eastAsia"/>
          <w:color w:val="auto"/>
        </w:rPr>
        <w:t>)</w:t>
      </w:r>
      <w:r>
        <w:rPr>
          <w:rFonts w:ascii="仿宋" w:eastAsia="仿宋" w:hAnsi="仿宋" w:cs="仿宋" w:hint="eastAsia"/>
          <w:color w:val="auto"/>
        </w:rPr>
        <w:t>尺寸不</w:t>
      </w:r>
      <w:r w:rsidR="00796C1F">
        <w:rPr>
          <w:rFonts w:ascii="仿宋" w:eastAsia="仿宋" w:hAnsi="仿宋" w:cs="仿宋" w:hint="eastAsia"/>
          <w:color w:val="auto"/>
        </w:rPr>
        <w:t>宜</w:t>
      </w:r>
      <w:r>
        <w:rPr>
          <w:rFonts w:ascii="仿宋" w:eastAsia="仿宋" w:hAnsi="仿宋" w:cs="仿宋" w:hint="eastAsia"/>
          <w:color w:val="auto"/>
        </w:rPr>
        <w:t>小于</w:t>
      </w:r>
      <w:r>
        <w:rPr>
          <w:rFonts w:ascii="仿宋" w:eastAsia="仿宋" w:hAnsi="仿宋" w:cs="仿宋" w:hint="eastAsia"/>
          <w:color w:val="auto"/>
        </w:rPr>
        <w:t>2.7</w:t>
      </w:r>
      <w:r>
        <w:rPr>
          <w:rFonts w:ascii="仿宋" w:eastAsia="仿宋" w:hAnsi="仿宋" w:cs="仿宋" w:hint="eastAsia"/>
          <w:color w:val="auto"/>
        </w:rPr>
        <w:t>米，各种形式阳台外不得设置花池、空调板、设备平台、凸窗等附属构件。</w:t>
      </w:r>
    </w:p>
    <w:p w:rsidR="00925AC4" w:rsidRDefault="00285E1E" w:rsidP="008E7712">
      <w:pPr>
        <w:pStyle w:val="2"/>
        <w:numPr>
          <w:ilvl w:val="0"/>
          <w:numId w:val="78"/>
        </w:numPr>
        <w:ind w:firstLine="562"/>
        <w:rPr>
          <w:rFonts w:ascii="仿宋" w:eastAsia="仿宋" w:hAnsi="仿宋" w:cs="仿宋"/>
          <w:color w:val="auto"/>
          <w:sz w:val="28"/>
          <w:szCs w:val="18"/>
        </w:rPr>
      </w:pPr>
      <w:bookmarkStart w:id="73" w:name="_Toc7527"/>
      <w:r>
        <w:rPr>
          <w:rFonts w:ascii="仿宋" w:eastAsia="仿宋" w:hAnsi="仿宋" w:cs="仿宋" w:hint="eastAsia"/>
          <w:color w:val="auto"/>
          <w:sz w:val="28"/>
          <w:szCs w:val="18"/>
        </w:rPr>
        <w:t>建筑基地面积计算</w:t>
      </w:r>
      <w:bookmarkEnd w:id="73"/>
    </w:p>
    <w:p w:rsidR="00925AC4" w:rsidRDefault="00285E1E">
      <w:pPr>
        <w:numPr>
          <w:ilvl w:val="0"/>
          <w:numId w:val="81"/>
        </w:numPr>
        <w:ind w:firstLine="560"/>
        <w:rPr>
          <w:rFonts w:ascii="仿宋" w:eastAsia="仿宋" w:hAnsi="仿宋" w:cs="仿宋"/>
          <w:color w:val="auto"/>
        </w:rPr>
      </w:pPr>
      <w:r>
        <w:rPr>
          <w:rFonts w:ascii="仿宋" w:eastAsia="仿宋" w:hAnsi="仿宋" w:cs="仿宋" w:hint="eastAsia"/>
          <w:color w:val="auto"/>
        </w:rPr>
        <w:t>建筑基地边界</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建筑基地四至边界应以城市道路、河流、规划控制的道路红线、绿线等边界和相邻建筑基地边界为界限。</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街坊内建设用地性质不同类的，应在控规中细分地块。</w:t>
      </w:r>
    </w:p>
    <w:p w:rsidR="00925AC4" w:rsidRDefault="00285E1E">
      <w:pPr>
        <w:numPr>
          <w:ilvl w:val="0"/>
          <w:numId w:val="81"/>
        </w:numPr>
        <w:ind w:firstLine="560"/>
        <w:rPr>
          <w:rFonts w:ascii="仿宋" w:eastAsia="仿宋" w:hAnsi="仿宋" w:cs="仿宋"/>
          <w:color w:val="auto"/>
        </w:rPr>
      </w:pPr>
      <w:r>
        <w:rPr>
          <w:rFonts w:ascii="仿宋" w:eastAsia="仿宋" w:hAnsi="仿宋" w:cs="仿宋" w:hint="eastAsia"/>
          <w:color w:val="auto"/>
        </w:rPr>
        <w:t>建筑基地面积</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以城市自然资源和规划行政管理部门正式划定的规划净用地面积为准，不计入建筑基地面积的用地，主要包括：城市道路用地、河道绿地、生产防护绿地等代征用地；国土空间规划划定的有关控制线范围内的用</w:t>
      </w:r>
      <w:r>
        <w:rPr>
          <w:rFonts w:ascii="仿宋" w:eastAsia="仿宋" w:hAnsi="仿宋" w:cs="仿宋" w:hint="eastAsia"/>
          <w:color w:val="auto"/>
        </w:rPr>
        <w:lastRenderedPageBreak/>
        <w:t>地；</w:t>
      </w:r>
      <w:r>
        <w:rPr>
          <w:rFonts w:ascii="仿宋" w:eastAsia="仿宋" w:hAnsi="仿宋" w:cs="仿宋" w:hint="eastAsia"/>
          <w:color w:val="auto"/>
        </w:rPr>
        <w:t>3000</w:t>
      </w:r>
      <w:r>
        <w:rPr>
          <w:rFonts w:ascii="仿宋" w:eastAsia="仿宋" w:hAnsi="仿宋" w:cs="仿宋" w:hint="eastAsia"/>
          <w:color w:val="auto"/>
        </w:rPr>
        <w:t>平方米以上公共绿地与居住小区以上的公共绿地、独立的公益设施和公共服务设施用地，如中学、小学的活动用地，独立的市政设施用地，如</w:t>
      </w:r>
      <w:r>
        <w:rPr>
          <w:rFonts w:ascii="仿宋" w:eastAsia="仿宋" w:hAnsi="仿宋" w:cs="仿宋" w:hint="eastAsia"/>
          <w:color w:val="auto"/>
        </w:rPr>
        <w:t>10</w:t>
      </w:r>
      <w:r>
        <w:rPr>
          <w:rFonts w:ascii="仿宋" w:eastAsia="仿宋" w:hAnsi="仿宋" w:cs="仿宋" w:hint="eastAsia"/>
          <w:color w:val="auto"/>
        </w:rPr>
        <w:t>千伏以上变电站、水泵站等。</w:t>
      </w:r>
    </w:p>
    <w:p w:rsidR="00925AC4" w:rsidRDefault="00285E1E">
      <w:pPr>
        <w:pStyle w:val="2"/>
        <w:numPr>
          <w:ilvl w:val="0"/>
          <w:numId w:val="78"/>
        </w:numPr>
        <w:ind w:firstLineChars="0"/>
        <w:rPr>
          <w:rFonts w:ascii="仿宋" w:eastAsia="仿宋" w:hAnsi="仿宋" w:cs="仿宋"/>
          <w:color w:val="auto"/>
          <w:sz w:val="28"/>
          <w:szCs w:val="18"/>
        </w:rPr>
      </w:pPr>
      <w:bookmarkStart w:id="74" w:name="_Toc28947"/>
      <w:r>
        <w:rPr>
          <w:rFonts w:ascii="仿宋" w:eastAsia="仿宋" w:hAnsi="仿宋" w:cs="仿宋" w:hint="eastAsia"/>
          <w:color w:val="auto"/>
          <w:sz w:val="28"/>
          <w:szCs w:val="18"/>
        </w:rPr>
        <w:t>建</w:t>
      </w:r>
      <w:r>
        <w:rPr>
          <w:rFonts w:ascii="仿宋" w:eastAsia="仿宋" w:hAnsi="仿宋" w:cs="仿宋" w:hint="eastAsia"/>
          <w:color w:val="auto"/>
          <w:sz w:val="28"/>
          <w:szCs w:val="18"/>
        </w:rPr>
        <w:t>筑密度计算规则</w:t>
      </w:r>
      <w:bookmarkEnd w:id="74"/>
    </w:p>
    <w:p w:rsidR="00925AC4" w:rsidRDefault="00285E1E">
      <w:pPr>
        <w:numPr>
          <w:ilvl w:val="0"/>
          <w:numId w:val="82"/>
        </w:numPr>
        <w:ind w:firstLine="560"/>
        <w:rPr>
          <w:rFonts w:ascii="仿宋" w:eastAsia="仿宋" w:hAnsi="仿宋" w:cs="仿宋"/>
          <w:color w:val="auto"/>
        </w:rPr>
      </w:pPr>
      <w:r>
        <w:rPr>
          <w:rFonts w:ascii="仿宋" w:eastAsia="仿宋" w:hAnsi="仿宋" w:cs="仿宋" w:hint="eastAsia"/>
          <w:color w:val="auto"/>
        </w:rPr>
        <w:t>独立的建筑，按墙体外围及立柱外边水平面积计算；</w:t>
      </w:r>
    </w:p>
    <w:p w:rsidR="00925AC4" w:rsidRDefault="00285E1E">
      <w:pPr>
        <w:numPr>
          <w:ilvl w:val="0"/>
          <w:numId w:val="82"/>
        </w:numPr>
        <w:ind w:firstLine="560"/>
        <w:rPr>
          <w:rFonts w:ascii="仿宋" w:eastAsia="仿宋" w:hAnsi="仿宋" w:cs="仿宋"/>
          <w:color w:val="auto"/>
        </w:rPr>
      </w:pPr>
      <w:r>
        <w:rPr>
          <w:rFonts w:ascii="仿宋" w:eastAsia="仿宋" w:hAnsi="仿宋" w:cs="仿宋" w:hint="eastAsia"/>
          <w:color w:val="auto"/>
        </w:rPr>
        <w:t>室外有顶盖、有立柱或墙体落地的走廊、门廊、门厅、阳台、平台、楼梯等按墙体外围及立柱外边水平面积计算。</w:t>
      </w:r>
    </w:p>
    <w:p w:rsidR="00925AC4" w:rsidRDefault="00285E1E">
      <w:pPr>
        <w:numPr>
          <w:ilvl w:val="0"/>
          <w:numId w:val="82"/>
        </w:numPr>
        <w:ind w:firstLine="560"/>
        <w:rPr>
          <w:rFonts w:ascii="仿宋" w:eastAsia="仿宋" w:hAnsi="仿宋" w:cs="仿宋"/>
          <w:color w:val="auto"/>
        </w:rPr>
      </w:pPr>
      <w:r>
        <w:rPr>
          <w:rFonts w:ascii="仿宋" w:eastAsia="仿宋" w:hAnsi="仿宋" w:cs="仿宋" w:hint="eastAsia"/>
          <w:color w:val="auto"/>
        </w:rPr>
        <w:t>以下项目不计入建筑密度：</w:t>
      </w:r>
    </w:p>
    <w:p w:rsidR="00925AC4" w:rsidRDefault="00285E1E">
      <w:pPr>
        <w:numPr>
          <w:ilvl w:val="0"/>
          <w:numId w:val="83"/>
        </w:numPr>
        <w:ind w:firstLine="560"/>
        <w:rPr>
          <w:rFonts w:ascii="仿宋" w:eastAsia="仿宋" w:hAnsi="仿宋" w:cs="仿宋"/>
          <w:color w:val="auto"/>
        </w:rPr>
      </w:pPr>
      <w:r>
        <w:rPr>
          <w:rFonts w:ascii="仿宋" w:eastAsia="仿宋" w:hAnsi="仿宋" w:cs="仿宋" w:hint="eastAsia"/>
          <w:color w:val="auto"/>
        </w:rPr>
        <w:t>高于室外地坪大于</w:t>
      </w:r>
      <w:r>
        <w:rPr>
          <w:rFonts w:ascii="仿宋" w:eastAsia="仿宋" w:hAnsi="仿宋" w:cs="仿宋" w:hint="eastAsia"/>
          <w:color w:val="auto"/>
        </w:rPr>
        <w:t>3.5</w:t>
      </w:r>
      <w:r>
        <w:rPr>
          <w:rFonts w:ascii="仿宋" w:eastAsia="仿宋" w:hAnsi="仿宋" w:cs="仿宋" w:hint="eastAsia"/>
          <w:color w:val="auto"/>
        </w:rPr>
        <w:t>米的悬挑不落地的阳台、花池；</w:t>
      </w:r>
    </w:p>
    <w:p w:rsidR="00925AC4" w:rsidRDefault="00285E1E">
      <w:pPr>
        <w:numPr>
          <w:ilvl w:val="0"/>
          <w:numId w:val="83"/>
        </w:numPr>
        <w:ind w:firstLine="560"/>
        <w:rPr>
          <w:rFonts w:ascii="仿宋" w:eastAsia="仿宋" w:hAnsi="仿宋" w:cs="仿宋"/>
          <w:color w:val="auto"/>
        </w:rPr>
      </w:pPr>
      <w:r>
        <w:rPr>
          <w:rFonts w:ascii="仿宋" w:eastAsia="仿宋" w:hAnsi="仿宋" w:cs="仿宋" w:hint="eastAsia"/>
          <w:color w:val="auto"/>
        </w:rPr>
        <w:t>地下室、半地下室及出入口等地下室附属设施。</w:t>
      </w:r>
    </w:p>
    <w:p w:rsidR="00925AC4" w:rsidRDefault="00285E1E">
      <w:pPr>
        <w:pStyle w:val="2"/>
        <w:numPr>
          <w:ilvl w:val="0"/>
          <w:numId w:val="78"/>
        </w:numPr>
        <w:ind w:firstLineChars="0"/>
        <w:rPr>
          <w:rFonts w:ascii="仿宋" w:eastAsia="仿宋" w:hAnsi="仿宋" w:cs="仿宋"/>
          <w:color w:val="0000FF"/>
        </w:rPr>
      </w:pPr>
      <w:bookmarkStart w:id="75" w:name="_Toc3318"/>
      <w:r>
        <w:rPr>
          <w:rFonts w:ascii="仿宋" w:eastAsia="仿宋" w:hAnsi="仿宋" w:cs="仿宋" w:hint="eastAsia"/>
          <w:color w:val="auto"/>
          <w:sz w:val="28"/>
          <w:szCs w:val="18"/>
        </w:rPr>
        <w:t>建筑高度计算</w:t>
      </w:r>
      <w:bookmarkEnd w:id="75"/>
    </w:p>
    <w:p w:rsidR="00925AC4" w:rsidRDefault="00285E1E">
      <w:pPr>
        <w:numPr>
          <w:ilvl w:val="0"/>
          <w:numId w:val="84"/>
        </w:numPr>
        <w:ind w:firstLine="560"/>
        <w:rPr>
          <w:rFonts w:ascii="仿宋" w:eastAsia="仿宋" w:hAnsi="仿宋" w:cs="仿宋"/>
          <w:color w:val="auto"/>
        </w:rPr>
      </w:pPr>
      <w:r>
        <w:rPr>
          <w:rFonts w:ascii="仿宋" w:eastAsia="仿宋" w:hAnsi="仿宋" w:cs="仿宋" w:hint="eastAsia"/>
          <w:color w:val="auto"/>
        </w:rPr>
        <w:t>本规则仅适用于确定建筑间距、退界距离和后退道路时的建筑高度计算。其他规定对建筑高度有限制的</w:t>
      </w:r>
      <w:r>
        <w:rPr>
          <w:rFonts w:ascii="仿宋" w:eastAsia="仿宋" w:hAnsi="仿宋" w:cs="仿宋" w:hint="eastAsia"/>
          <w:color w:val="auto"/>
        </w:rPr>
        <w:t>(</w:t>
      </w:r>
      <w:r>
        <w:rPr>
          <w:rFonts w:ascii="仿宋" w:eastAsia="仿宋" w:hAnsi="仿宋" w:cs="仿宋" w:hint="eastAsia"/>
          <w:color w:val="auto"/>
        </w:rPr>
        <w:t>如机场、气象台、微波通道、安全保密、日照分析、视线分析等</w:t>
      </w:r>
      <w:r>
        <w:rPr>
          <w:rFonts w:ascii="仿宋" w:eastAsia="仿宋" w:hAnsi="仿宋" w:cs="仿宋" w:hint="eastAsia"/>
          <w:color w:val="auto"/>
        </w:rPr>
        <w:t>),</w:t>
      </w:r>
      <w:r>
        <w:rPr>
          <w:rFonts w:ascii="仿宋" w:eastAsia="仿宋" w:hAnsi="仿宋" w:cs="仿宋" w:hint="eastAsia"/>
          <w:color w:val="auto"/>
        </w:rPr>
        <w:t>按建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筑物的最高点计算。</w:t>
      </w:r>
    </w:p>
    <w:p w:rsidR="00925AC4" w:rsidRDefault="00285E1E">
      <w:pPr>
        <w:numPr>
          <w:ilvl w:val="0"/>
          <w:numId w:val="84"/>
        </w:numPr>
        <w:ind w:firstLine="560"/>
        <w:rPr>
          <w:rFonts w:ascii="仿宋" w:eastAsia="仿宋" w:hAnsi="仿宋" w:cs="仿宋"/>
          <w:color w:val="auto"/>
        </w:rPr>
      </w:pPr>
      <w:r>
        <w:rPr>
          <w:rFonts w:ascii="仿宋" w:eastAsia="仿宋" w:hAnsi="仿宋" w:cs="仿宋" w:hint="eastAsia"/>
          <w:color w:val="auto"/>
        </w:rPr>
        <w:t>在计算建筑间距时，建筑高度按</w:t>
      </w:r>
      <w:r>
        <w:rPr>
          <w:rFonts w:ascii="仿宋" w:eastAsia="仿宋" w:hAnsi="仿宋" w:cs="仿宋" w:hint="eastAsia"/>
          <w:color w:val="auto"/>
        </w:rPr>
        <w:t>下列规定计算：</w:t>
      </w:r>
    </w:p>
    <w:p w:rsidR="00925AC4" w:rsidRDefault="00285E1E">
      <w:pPr>
        <w:numPr>
          <w:ilvl w:val="0"/>
          <w:numId w:val="85"/>
        </w:numPr>
        <w:ind w:firstLine="560"/>
        <w:rPr>
          <w:rFonts w:ascii="仿宋" w:eastAsia="仿宋" w:hAnsi="仿宋" w:cs="仿宋"/>
          <w:color w:val="auto"/>
        </w:rPr>
      </w:pPr>
      <w:r>
        <w:rPr>
          <w:rFonts w:ascii="仿宋" w:eastAsia="仿宋" w:hAnsi="仿宋" w:cs="仿宋" w:hint="eastAsia"/>
          <w:color w:val="auto"/>
        </w:rPr>
        <w:t>建筑屋面为坡屋面时，建筑高度应为建筑室外设计地面至其檐口与屋脊的平均高度。</w:t>
      </w:r>
    </w:p>
    <w:p w:rsidR="00925AC4" w:rsidRDefault="00285E1E">
      <w:pPr>
        <w:numPr>
          <w:ilvl w:val="0"/>
          <w:numId w:val="85"/>
        </w:numPr>
        <w:ind w:firstLine="560"/>
        <w:rPr>
          <w:rFonts w:ascii="仿宋" w:eastAsia="仿宋" w:hAnsi="仿宋" w:cs="仿宋"/>
          <w:color w:val="auto"/>
        </w:rPr>
      </w:pPr>
      <w:r>
        <w:rPr>
          <w:rFonts w:ascii="仿宋" w:eastAsia="仿宋" w:hAnsi="仿宋" w:cs="仿宋" w:hint="eastAsia"/>
          <w:color w:val="auto"/>
        </w:rPr>
        <w:t>建筑屋面为平屋面</w:t>
      </w:r>
      <w:r>
        <w:rPr>
          <w:rFonts w:ascii="仿宋" w:eastAsia="仿宋" w:hAnsi="仿宋" w:cs="仿宋" w:hint="eastAsia"/>
          <w:color w:val="auto"/>
        </w:rPr>
        <w:t>(</w:t>
      </w:r>
      <w:r>
        <w:rPr>
          <w:rFonts w:ascii="仿宋" w:eastAsia="仿宋" w:hAnsi="仿宋" w:cs="仿宋" w:hint="eastAsia"/>
          <w:color w:val="auto"/>
        </w:rPr>
        <w:t>包括有女儿墙的平屋面</w:t>
      </w:r>
      <w:r>
        <w:rPr>
          <w:rFonts w:ascii="仿宋" w:eastAsia="仿宋" w:hAnsi="仿宋" w:cs="仿宋" w:hint="eastAsia"/>
          <w:color w:val="auto"/>
        </w:rPr>
        <w:t>)</w:t>
      </w:r>
      <w:r>
        <w:rPr>
          <w:rFonts w:ascii="仿宋" w:eastAsia="仿宋" w:hAnsi="仿宋" w:cs="仿宋" w:hint="eastAsia"/>
          <w:color w:val="auto"/>
        </w:rPr>
        <w:t>时，建筑高度应为建筑室外设计地面至其屋面面层的高度。</w:t>
      </w:r>
    </w:p>
    <w:p w:rsidR="00925AC4" w:rsidRDefault="00285E1E">
      <w:pPr>
        <w:numPr>
          <w:ilvl w:val="0"/>
          <w:numId w:val="85"/>
        </w:numPr>
        <w:ind w:firstLine="560"/>
        <w:rPr>
          <w:rFonts w:ascii="仿宋" w:eastAsia="仿宋" w:hAnsi="仿宋" w:cs="仿宋"/>
          <w:color w:val="auto"/>
        </w:rPr>
      </w:pPr>
      <w:r>
        <w:rPr>
          <w:rFonts w:ascii="仿宋" w:eastAsia="仿宋" w:hAnsi="仿宋" w:cs="仿宋" w:hint="eastAsia"/>
          <w:color w:val="auto"/>
        </w:rPr>
        <w:t>同一座建筑有多种形式的屋面时，建筑高度应按上述方法分别计算后，取其中最大值。</w:t>
      </w:r>
    </w:p>
    <w:p w:rsidR="00925AC4" w:rsidRDefault="00285E1E">
      <w:pPr>
        <w:numPr>
          <w:ilvl w:val="0"/>
          <w:numId w:val="85"/>
        </w:numPr>
        <w:ind w:firstLine="560"/>
        <w:rPr>
          <w:rFonts w:ascii="仿宋" w:eastAsia="仿宋" w:hAnsi="仿宋" w:cs="仿宋"/>
          <w:color w:val="auto"/>
        </w:rPr>
      </w:pPr>
      <w:r>
        <w:rPr>
          <w:rFonts w:ascii="仿宋" w:eastAsia="仿宋" w:hAnsi="仿宋" w:cs="仿宋" w:hint="eastAsia"/>
          <w:color w:val="auto"/>
        </w:rPr>
        <w:t>对于台阶式地坪，当位于不同高层地坪上的同一建筑应按其建筑高度最大者确定该建筑的高度。</w:t>
      </w:r>
    </w:p>
    <w:p w:rsidR="00925AC4" w:rsidRDefault="00285E1E">
      <w:pPr>
        <w:numPr>
          <w:ilvl w:val="0"/>
          <w:numId w:val="85"/>
        </w:numPr>
        <w:ind w:firstLine="560"/>
        <w:rPr>
          <w:rFonts w:ascii="仿宋" w:eastAsia="仿宋" w:hAnsi="仿宋" w:cs="仿宋"/>
          <w:color w:val="auto"/>
        </w:rPr>
      </w:pPr>
      <w:r>
        <w:rPr>
          <w:rFonts w:ascii="仿宋" w:eastAsia="仿宋" w:hAnsi="仿宋" w:cs="仿宋" w:hint="eastAsia"/>
          <w:color w:val="auto"/>
        </w:rPr>
        <w:lastRenderedPageBreak/>
        <w:t>局部突出屋顶的瞭望塔、冷却塔、水箱间、微波天线间或设施、电梯机房、排风和排烟机房以及楼梯出口小间等辅助用房占屋面面积不大于</w:t>
      </w:r>
      <w:r>
        <w:rPr>
          <w:rFonts w:ascii="仿宋" w:eastAsia="仿宋" w:hAnsi="仿宋" w:cs="仿宋" w:hint="eastAsia"/>
          <w:color w:val="auto"/>
        </w:rPr>
        <w:t>1/4</w:t>
      </w:r>
      <w:r>
        <w:rPr>
          <w:rFonts w:ascii="仿宋" w:eastAsia="仿宋" w:hAnsi="仿宋" w:cs="仿宋" w:hint="eastAsia"/>
          <w:color w:val="auto"/>
        </w:rPr>
        <w:t>者，可不计入建筑高度。</w:t>
      </w:r>
    </w:p>
    <w:p w:rsidR="00925AC4" w:rsidRDefault="00285E1E">
      <w:pPr>
        <w:pStyle w:val="2"/>
        <w:numPr>
          <w:ilvl w:val="0"/>
          <w:numId w:val="78"/>
        </w:numPr>
        <w:ind w:firstLineChars="0"/>
        <w:rPr>
          <w:rFonts w:ascii="仿宋" w:eastAsia="仿宋" w:hAnsi="仿宋" w:cs="仿宋"/>
          <w:color w:val="auto"/>
          <w:sz w:val="28"/>
          <w:szCs w:val="18"/>
        </w:rPr>
      </w:pPr>
      <w:bookmarkStart w:id="76" w:name="_Toc27333"/>
      <w:r>
        <w:rPr>
          <w:rFonts w:ascii="仿宋" w:eastAsia="仿宋" w:hAnsi="仿宋" w:cs="仿宋" w:hint="eastAsia"/>
          <w:color w:val="auto"/>
          <w:sz w:val="28"/>
          <w:szCs w:val="18"/>
        </w:rPr>
        <w:t>建筑层数计算</w:t>
      </w:r>
      <w:bookmarkEnd w:id="76"/>
    </w:p>
    <w:p w:rsidR="00925AC4" w:rsidRDefault="00285E1E">
      <w:pPr>
        <w:numPr>
          <w:ilvl w:val="0"/>
          <w:numId w:val="86"/>
        </w:numPr>
        <w:ind w:firstLine="560"/>
        <w:rPr>
          <w:rFonts w:ascii="仿宋" w:eastAsia="仿宋" w:hAnsi="仿宋" w:cs="仿宋"/>
          <w:color w:val="auto"/>
        </w:rPr>
      </w:pPr>
      <w:r>
        <w:rPr>
          <w:rFonts w:ascii="仿宋" w:eastAsia="仿宋" w:hAnsi="仿宋" w:cs="仿宋" w:hint="eastAsia"/>
          <w:color w:val="auto"/>
        </w:rPr>
        <w:t>顶层为跃层户型的，跃层户型的二层部分不视为标准层，可不计层数。</w:t>
      </w:r>
    </w:p>
    <w:p w:rsidR="00925AC4" w:rsidRDefault="00285E1E">
      <w:pPr>
        <w:numPr>
          <w:ilvl w:val="0"/>
          <w:numId w:val="86"/>
        </w:numPr>
        <w:ind w:firstLine="560"/>
        <w:rPr>
          <w:rFonts w:ascii="仿宋" w:eastAsia="仿宋" w:hAnsi="仿宋" w:cs="仿宋"/>
          <w:color w:val="auto"/>
        </w:rPr>
      </w:pPr>
      <w:r>
        <w:rPr>
          <w:rFonts w:ascii="仿宋" w:eastAsia="仿宋" w:hAnsi="仿宋" w:cs="仿宋" w:hint="eastAsia"/>
          <w:color w:val="auto"/>
        </w:rPr>
        <w:t>复式、错层等变层高住宅的层高设计与计算应严格执行最新的《城市居住区规划设计标准》有关要求，且当净高大</w:t>
      </w:r>
      <w:r>
        <w:rPr>
          <w:rFonts w:ascii="仿宋" w:eastAsia="仿宋" w:hAnsi="仿宋" w:cs="仿宋" w:hint="eastAsia"/>
          <w:color w:val="auto"/>
        </w:rPr>
        <w:t>于</w:t>
      </w:r>
      <w:r>
        <w:rPr>
          <w:rFonts w:ascii="仿宋" w:eastAsia="仿宋" w:hAnsi="仿宋" w:cs="仿宋" w:hint="eastAsia"/>
          <w:color w:val="auto"/>
        </w:rPr>
        <w:t>等于</w:t>
      </w:r>
      <w:r>
        <w:rPr>
          <w:rFonts w:ascii="仿宋" w:eastAsia="仿宋" w:hAnsi="仿宋" w:cs="仿宋" w:hint="eastAsia"/>
          <w:color w:val="auto"/>
        </w:rPr>
        <w:t>2.2</w:t>
      </w:r>
      <w:r>
        <w:rPr>
          <w:rFonts w:ascii="仿宋" w:eastAsia="仿宋" w:hAnsi="仿宋" w:cs="仿宋" w:hint="eastAsia"/>
          <w:color w:val="auto"/>
        </w:rPr>
        <w:t>米时规定为一个自然层，并以自然层计算层数。</w:t>
      </w:r>
    </w:p>
    <w:p w:rsidR="00925AC4" w:rsidRDefault="00285E1E">
      <w:pPr>
        <w:numPr>
          <w:ilvl w:val="0"/>
          <w:numId w:val="86"/>
        </w:numPr>
        <w:ind w:firstLine="560"/>
        <w:rPr>
          <w:rFonts w:ascii="仿宋" w:eastAsia="仿宋" w:hAnsi="仿宋" w:cs="仿宋"/>
          <w:color w:val="auto"/>
        </w:rPr>
      </w:pPr>
      <w:r>
        <w:rPr>
          <w:rFonts w:ascii="仿宋" w:eastAsia="仿宋" w:hAnsi="仿宋" w:cs="仿宋" w:hint="eastAsia"/>
          <w:color w:val="auto"/>
        </w:rPr>
        <w:t>架空层计入层数。</w:t>
      </w:r>
    </w:p>
    <w:p w:rsidR="00925AC4" w:rsidRDefault="00285E1E">
      <w:pPr>
        <w:pStyle w:val="2"/>
        <w:numPr>
          <w:ilvl w:val="0"/>
          <w:numId w:val="78"/>
        </w:numPr>
        <w:ind w:firstLineChars="0"/>
        <w:rPr>
          <w:rFonts w:ascii="仿宋" w:eastAsia="仿宋" w:hAnsi="仿宋" w:cs="仿宋"/>
          <w:color w:val="auto"/>
          <w:sz w:val="28"/>
          <w:szCs w:val="18"/>
        </w:rPr>
      </w:pPr>
      <w:bookmarkStart w:id="77" w:name="_Toc6752"/>
      <w:r>
        <w:rPr>
          <w:rFonts w:ascii="仿宋" w:eastAsia="仿宋" w:hAnsi="仿宋" w:cs="仿宋" w:hint="eastAsia"/>
          <w:color w:val="auto"/>
          <w:sz w:val="28"/>
          <w:szCs w:val="18"/>
        </w:rPr>
        <w:t>建筑间距、后退距离计算</w:t>
      </w:r>
      <w:bookmarkEnd w:id="77"/>
    </w:p>
    <w:p w:rsidR="00925AC4" w:rsidRDefault="00285E1E">
      <w:pPr>
        <w:numPr>
          <w:ilvl w:val="0"/>
          <w:numId w:val="87"/>
        </w:numPr>
        <w:ind w:firstLine="560"/>
        <w:rPr>
          <w:rFonts w:ascii="仿宋" w:eastAsia="仿宋" w:hAnsi="仿宋" w:cs="仿宋"/>
          <w:color w:val="auto"/>
        </w:rPr>
      </w:pPr>
      <w:r>
        <w:rPr>
          <w:rFonts w:ascii="仿宋" w:eastAsia="仿宋" w:hAnsi="仿宋" w:cs="仿宋" w:hint="eastAsia"/>
          <w:color w:val="auto"/>
        </w:rPr>
        <w:t>建筑间距指相邻建筑外墙面</w:t>
      </w:r>
      <w:r>
        <w:rPr>
          <w:rFonts w:ascii="仿宋" w:eastAsia="仿宋" w:hAnsi="仿宋" w:cs="仿宋" w:hint="eastAsia"/>
          <w:color w:val="auto"/>
        </w:rPr>
        <w:t>(</w:t>
      </w:r>
      <w:r>
        <w:rPr>
          <w:rFonts w:ascii="仿宋" w:eastAsia="仿宋" w:hAnsi="仿宋" w:cs="仿宋" w:hint="eastAsia"/>
          <w:color w:val="auto"/>
        </w:rPr>
        <w:t>含阳台、外廊、飘窗、幕墙</w:t>
      </w:r>
      <w:r>
        <w:rPr>
          <w:rFonts w:ascii="仿宋" w:eastAsia="仿宋" w:hAnsi="仿宋" w:cs="仿宋" w:hint="eastAsia"/>
          <w:color w:val="auto"/>
        </w:rPr>
        <w:t>)</w:t>
      </w:r>
      <w:r>
        <w:rPr>
          <w:rFonts w:ascii="仿宋" w:eastAsia="仿宋" w:hAnsi="仿宋" w:cs="仿宋" w:hint="eastAsia"/>
          <w:color w:val="auto"/>
        </w:rPr>
        <w:t>最近点之间的水平距离。外墙面上附属的装饰性构架、遮阳、雨棚、挑檐等墙外设施不计入建筑间距。</w:t>
      </w:r>
    </w:p>
    <w:p w:rsidR="00925AC4" w:rsidRDefault="00285E1E">
      <w:pPr>
        <w:numPr>
          <w:ilvl w:val="0"/>
          <w:numId w:val="87"/>
        </w:numPr>
        <w:ind w:firstLine="560"/>
        <w:rPr>
          <w:rFonts w:ascii="仿宋" w:eastAsia="仿宋" w:hAnsi="仿宋" w:cs="仿宋"/>
          <w:color w:val="auto"/>
        </w:rPr>
      </w:pPr>
      <w:r>
        <w:rPr>
          <w:rFonts w:ascii="仿宋" w:eastAsia="仿宋" w:hAnsi="仿宋" w:cs="仿宋" w:hint="eastAsia"/>
          <w:color w:val="auto"/>
        </w:rPr>
        <w:t>建筑后退距离指建筑外墙面</w:t>
      </w:r>
      <w:r>
        <w:rPr>
          <w:rFonts w:ascii="仿宋" w:eastAsia="仿宋" w:hAnsi="仿宋" w:cs="仿宋" w:hint="eastAsia"/>
          <w:color w:val="auto"/>
        </w:rPr>
        <w:t>(</w:t>
      </w:r>
      <w:r>
        <w:rPr>
          <w:rFonts w:ascii="仿宋" w:eastAsia="仿宋" w:hAnsi="仿宋" w:cs="仿宋" w:hint="eastAsia"/>
          <w:color w:val="auto"/>
        </w:rPr>
        <w:t>含阳台、外廊、飘窗、幕墙</w:t>
      </w:r>
      <w:r>
        <w:rPr>
          <w:rFonts w:ascii="仿宋" w:eastAsia="仿宋" w:hAnsi="仿宋" w:cs="仿宋" w:hint="eastAsia"/>
          <w:color w:val="auto"/>
        </w:rPr>
        <w:t>)</w:t>
      </w:r>
      <w:r>
        <w:rPr>
          <w:rFonts w:ascii="仿宋" w:eastAsia="仿宋" w:hAnsi="仿宋" w:cs="仿宋" w:hint="eastAsia"/>
          <w:color w:val="auto"/>
        </w:rPr>
        <w:t>与各色线最近点之间的水平距离。外墙面上附</w:t>
      </w:r>
      <w:r>
        <w:rPr>
          <w:rFonts w:ascii="仿宋" w:eastAsia="仿宋" w:hAnsi="仿宋" w:cs="仿宋" w:hint="eastAsia"/>
          <w:color w:val="auto"/>
        </w:rPr>
        <w:t>属的装饰性构架、遮阳、雨棚、挑檐等墙外设施不计入建筑后退距离。</w:t>
      </w:r>
    </w:p>
    <w:p w:rsidR="00925AC4" w:rsidRDefault="00285E1E">
      <w:pPr>
        <w:numPr>
          <w:ilvl w:val="0"/>
          <w:numId w:val="87"/>
        </w:numPr>
        <w:ind w:firstLine="560"/>
        <w:rPr>
          <w:rFonts w:ascii="仿宋" w:eastAsia="仿宋" w:hAnsi="仿宋" w:cs="仿宋"/>
          <w:color w:val="auto"/>
        </w:rPr>
      </w:pPr>
      <w:r>
        <w:rPr>
          <w:rFonts w:ascii="仿宋" w:eastAsia="仿宋" w:hAnsi="仿宋" w:cs="仿宋" w:hint="eastAsia"/>
          <w:color w:val="auto"/>
        </w:rPr>
        <w:t>顶层为跃层户型的跃层部分层高计入间距或后退距离计算。</w:t>
      </w:r>
    </w:p>
    <w:p w:rsidR="00925AC4" w:rsidRDefault="00285E1E">
      <w:pPr>
        <w:pStyle w:val="2"/>
        <w:numPr>
          <w:ilvl w:val="0"/>
          <w:numId w:val="78"/>
        </w:numPr>
        <w:ind w:firstLineChars="0"/>
        <w:rPr>
          <w:rFonts w:ascii="仿宋" w:eastAsia="仿宋" w:hAnsi="仿宋" w:cs="仿宋"/>
          <w:color w:val="auto"/>
          <w:sz w:val="28"/>
          <w:szCs w:val="18"/>
        </w:rPr>
      </w:pPr>
      <w:bookmarkStart w:id="78" w:name="_Toc22572"/>
      <w:r>
        <w:rPr>
          <w:rFonts w:ascii="仿宋" w:eastAsia="仿宋" w:hAnsi="仿宋" w:cs="仿宋" w:hint="eastAsia"/>
          <w:color w:val="auto"/>
          <w:sz w:val="28"/>
          <w:szCs w:val="18"/>
        </w:rPr>
        <w:t>绿地率计算规则</w:t>
      </w:r>
      <w:bookmarkEnd w:id="78"/>
    </w:p>
    <w:p w:rsidR="00925AC4" w:rsidRDefault="00285E1E">
      <w:pPr>
        <w:numPr>
          <w:ilvl w:val="0"/>
          <w:numId w:val="88"/>
        </w:numPr>
        <w:ind w:firstLine="560"/>
        <w:rPr>
          <w:rFonts w:ascii="仿宋" w:eastAsia="仿宋" w:hAnsi="仿宋" w:cs="仿宋"/>
          <w:color w:val="auto"/>
        </w:rPr>
      </w:pPr>
      <w:r>
        <w:rPr>
          <w:rFonts w:ascii="仿宋" w:eastAsia="仿宋" w:hAnsi="仿宋" w:cs="仿宋" w:hint="eastAsia"/>
          <w:color w:val="auto"/>
        </w:rPr>
        <w:t>宅旁</w:t>
      </w:r>
      <w:r>
        <w:rPr>
          <w:rFonts w:ascii="仿宋" w:eastAsia="仿宋" w:hAnsi="仿宋" w:cs="仿宋" w:hint="eastAsia"/>
          <w:color w:val="auto"/>
        </w:rPr>
        <w:t>(</w:t>
      </w:r>
      <w:r>
        <w:rPr>
          <w:rFonts w:ascii="仿宋" w:eastAsia="仿宋" w:hAnsi="仿宋" w:cs="仿宋" w:hint="eastAsia"/>
          <w:color w:val="auto"/>
        </w:rPr>
        <w:t>宅间</w:t>
      </w:r>
      <w:r>
        <w:rPr>
          <w:rFonts w:ascii="仿宋" w:eastAsia="仿宋" w:hAnsi="仿宋" w:cs="仿宋" w:hint="eastAsia"/>
          <w:color w:val="auto"/>
        </w:rPr>
        <w:t>)</w:t>
      </w:r>
      <w:r>
        <w:rPr>
          <w:rFonts w:ascii="仿宋" w:eastAsia="仿宋" w:hAnsi="仿宋" w:cs="仿宋" w:hint="eastAsia"/>
          <w:color w:val="auto"/>
        </w:rPr>
        <w:t>绿地、院落式组团绿地、开敞型院落组团绿地以及其他块状、带状公共绿地面积起止界的计算：</w:t>
      </w:r>
    </w:p>
    <w:p w:rsidR="00925AC4" w:rsidRDefault="00285E1E">
      <w:pPr>
        <w:numPr>
          <w:ilvl w:val="0"/>
          <w:numId w:val="89"/>
        </w:numPr>
        <w:ind w:firstLine="560"/>
        <w:rPr>
          <w:rFonts w:ascii="仿宋" w:eastAsia="仿宋" w:hAnsi="仿宋" w:cs="仿宋"/>
          <w:color w:val="auto"/>
        </w:rPr>
      </w:pPr>
      <w:r>
        <w:rPr>
          <w:rFonts w:ascii="仿宋" w:eastAsia="仿宋" w:hAnsi="仿宋" w:cs="仿宋" w:hint="eastAsia"/>
          <w:color w:val="auto"/>
        </w:rPr>
        <w:t>绿地边界对宅间路等内部道路算到路边，对有明确红线的组团路或以上道路算至红线。</w:t>
      </w:r>
    </w:p>
    <w:p w:rsidR="00925AC4" w:rsidRDefault="00285E1E">
      <w:pPr>
        <w:numPr>
          <w:ilvl w:val="0"/>
          <w:numId w:val="89"/>
        </w:numPr>
        <w:ind w:firstLine="560"/>
        <w:rPr>
          <w:rFonts w:ascii="仿宋" w:eastAsia="仿宋" w:hAnsi="仿宋" w:cs="仿宋"/>
          <w:color w:val="auto"/>
        </w:rPr>
      </w:pPr>
      <w:r>
        <w:rPr>
          <w:rFonts w:ascii="仿宋" w:eastAsia="仿宋" w:hAnsi="仿宋" w:cs="仿宋" w:hint="eastAsia"/>
          <w:color w:val="auto"/>
        </w:rPr>
        <w:t>距建</w:t>
      </w:r>
      <w:r>
        <w:rPr>
          <w:rFonts w:ascii="仿宋" w:eastAsia="仿宋" w:hAnsi="仿宋" w:cs="仿宋" w:hint="eastAsia"/>
          <w:color w:val="auto"/>
        </w:rPr>
        <w:t>(</w:t>
      </w:r>
      <w:r>
        <w:rPr>
          <w:rFonts w:ascii="仿宋" w:eastAsia="仿宋" w:hAnsi="仿宋" w:cs="仿宋" w:hint="eastAsia"/>
          <w:color w:val="auto"/>
        </w:rPr>
        <w:t>构</w:t>
      </w:r>
      <w:r>
        <w:rPr>
          <w:rFonts w:ascii="仿宋" w:eastAsia="仿宋" w:hAnsi="仿宋" w:cs="仿宋" w:hint="eastAsia"/>
          <w:color w:val="auto"/>
        </w:rPr>
        <w:t>)</w:t>
      </w:r>
      <w:r>
        <w:rPr>
          <w:rFonts w:ascii="仿宋" w:eastAsia="仿宋" w:hAnsi="仿宋" w:cs="仿宋" w:hint="eastAsia"/>
          <w:color w:val="auto"/>
        </w:rPr>
        <w:t>筑物外墙脚</w:t>
      </w:r>
      <w:r>
        <w:rPr>
          <w:rFonts w:ascii="仿宋" w:eastAsia="仿宋" w:hAnsi="仿宋" w:cs="仿宋" w:hint="eastAsia"/>
          <w:color w:val="auto"/>
        </w:rPr>
        <w:t>1.5</w:t>
      </w:r>
      <w:r>
        <w:rPr>
          <w:rFonts w:ascii="仿宋" w:eastAsia="仿宋" w:hAnsi="仿宋" w:cs="仿宋" w:hint="eastAsia"/>
          <w:color w:val="auto"/>
        </w:rPr>
        <w:t>米。</w:t>
      </w:r>
    </w:p>
    <w:p w:rsidR="00925AC4" w:rsidRDefault="00285E1E">
      <w:pPr>
        <w:numPr>
          <w:ilvl w:val="0"/>
          <w:numId w:val="89"/>
        </w:numPr>
        <w:ind w:firstLine="560"/>
        <w:rPr>
          <w:rFonts w:ascii="仿宋" w:eastAsia="仿宋" w:hAnsi="仿宋" w:cs="仿宋"/>
          <w:color w:val="auto"/>
        </w:rPr>
      </w:pPr>
      <w:r>
        <w:rPr>
          <w:rFonts w:ascii="仿宋" w:eastAsia="仿宋" w:hAnsi="仿宋" w:cs="仿宋" w:hint="eastAsia"/>
          <w:color w:val="auto"/>
        </w:rPr>
        <w:t>算至用地红线或围墙。</w:t>
      </w:r>
    </w:p>
    <w:p w:rsidR="00925AC4" w:rsidRDefault="00285E1E">
      <w:pPr>
        <w:numPr>
          <w:ilvl w:val="0"/>
          <w:numId w:val="88"/>
        </w:numPr>
        <w:ind w:firstLine="560"/>
        <w:rPr>
          <w:rFonts w:ascii="仿宋" w:eastAsia="仿宋" w:hAnsi="仿宋" w:cs="仿宋"/>
          <w:color w:val="auto"/>
        </w:rPr>
      </w:pPr>
      <w:r>
        <w:rPr>
          <w:rFonts w:ascii="仿宋" w:eastAsia="仿宋" w:hAnsi="仿宋" w:cs="仿宋" w:hint="eastAsia"/>
          <w:color w:val="auto"/>
        </w:rPr>
        <w:lastRenderedPageBreak/>
        <w:t>建设项目用地范围内的各类绿地</w:t>
      </w:r>
      <w:r>
        <w:rPr>
          <w:rFonts w:ascii="仿宋" w:eastAsia="仿宋" w:hAnsi="仿宋" w:cs="仿宋" w:hint="eastAsia"/>
          <w:color w:val="auto"/>
        </w:rPr>
        <w:t>(</w:t>
      </w:r>
      <w:r>
        <w:rPr>
          <w:rFonts w:ascii="仿宋" w:eastAsia="仿宋" w:hAnsi="仿宋" w:cs="仿宋" w:hint="eastAsia"/>
          <w:color w:val="auto"/>
        </w:rPr>
        <w:t>折算系数</w:t>
      </w:r>
      <w:r>
        <w:rPr>
          <w:rFonts w:ascii="仿宋" w:eastAsia="仿宋" w:hAnsi="仿宋" w:cs="仿宋" w:hint="eastAsia"/>
          <w:color w:val="auto"/>
        </w:rPr>
        <w:t>)</w:t>
      </w:r>
      <w:r>
        <w:rPr>
          <w:rFonts w:ascii="仿宋" w:eastAsia="仿宋" w:hAnsi="仿宋" w:cs="仿宋" w:hint="eastAsia"/>
          <w:color w:val="auto"/>
        </w:rPr>
        <w:t>包括以下类型绿地：</w:t>
      </w:r>
    </w:p>
    <w:p w:rsidR="00925AC4" w:rsidRDefault="00285E1E">
      <w:pPr>
        <w:numPr>
          <w:ilvl w:val="0"/>
          <w:numId w:val="90"/>
        </w:numPr>
        <w:ind w:firstLine="560"/>
        <w:rPr>
          <w:rFonts w:ascii="仿宋" w:eastAsia="仿宋" w:hAnsi="仿宋" w:cs="仿宋"/>
          <w:color w:val="auto"/>
        </w:rPr>
      </w:pPr>
      <w:r>
        <w:rPr>
          <w:rFonts w:ascii="仿宋" w:eastAsia="仿宋" w:hAnsi="仿宋" w:cs="仿宋" w:hint="eastAsia"/>
          <w:color w:val="auto"/>
        </w:rPr>
        <w:t>地面绿化用地：覆盖各类生长植物，上部无建筑物、构筑物遮挡，适于栽植各类植物的用地。折算系</w:t>
      </w:r>
      <w:r>
        <w:rPr>
          <w:rFonts w:ascii="仿宋" w:eastAsia="仿宋" w:hAnsi="仿宋" w:cs="仿宋" w:hint="eastAsia"/>
          <w:color w:val="auto"/>
        </w:rPr>
        <w:t>数：按投影面积的</w:t>
      </w:r>
      <w:r>
        <w:rPr>
          <w:rFonts w:ascii="仿宋" w:eastAsia="仿宋" w:hAnsi="仿宋" w:cs="仿宋" w:hint="eastAsia"/>
          <w:color w:val="auto"/>
        </w:rPr>
        <w:t>100%</w:t>
      </w:r>
      <w:r>
        <w:rPr>
          <w:rFonts w:ascii="仿宋" w:eastAsia="仿宋" w:hAnsi="仿宋" w:cs="仿宋" w:hint="eastAsia"/>
          <w:color w:val="auto"/>
        </w:rPr>
        <w:t>计算。</w:t>
      </w:r>
    </w:p>
    <w:p w:rsidR="00925AC4" w:rsidRDefault="00285E1E">
      <w:pPr>
        <w:numPr>
          <w:ilvl w:val="0"/>
          <w:numId w:val="90"/>
        </w:numPr>
        <w:ind w:firstLine="560"/>
        <w:rPr>
          <w:rFonts w:ascii="仿宋" w:eastAsia="仿宋" w:hAnsi="仿宋" w:cs="仿宋"/>
          <w:color w:val="auto"/>
        </w:rPr>
      </w:pPr>
      <w:r>
        <w:rPr>
          <w:rFonts w:ascii="仿宋" w:eastAsia="仿宋" w:hAnsi="仿宋" w:cs="仿宋" w:hint="eastAsia"/>
          <w:color w:val="auto"/>
        </w:rPr>
        <w:t>悬空建筑</w:t>
      </w:r>
      <w:r>
        <w:rPr>
          <w:rFonts w:ascii="仿宋" w:eastAsia="仿宋" w:hAnsi="仿宋" w:cs="仿宋" w:hint="eastAsia"/>
          <w:color w:val="auto"/>
        </w:rPr>
        <w:t>(</w:t>
      </w:r>
      <w:r>
        <w:rPr>
          <w:rFonts w:ascii="仿宋" w:eastAsia="仿宋" w:hAnsi="仿宋" w:cs="仿宋" w:hint="eastAsia"/>
          <w:color w:val="auto"/>
        </w:rPr>
        <w:t>阳台、雨蓬等</w:t>
      </w:r>
      <w:r>
        <w:rPr>
          <w:rFonts w:ascii="仿宋" w:eastAsia="仿宋" w:hAnsi="仿宋" w:cs="仿宋" w:hint="eastAsia"/>
          <w:color w:val="auto"/>
        </w:rPr>
        <w:t>)</w:t>
      </w:r>
      <w:r>
        <w:rPr>
          <w:rFonts w:ascii="仿宋" w:eastAsia="仿宋" w:hAnsi="仿宋" w:cs="仿宋" w:hint="eastAsia"/>
          <w:color w:val="auto"/>
        </w:rPr>
        <w:t>下绿化用地。折算系数，见下表：</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22"/>
        <w:gridCol w:w="3017"/>
        <w:gridCol w:w="3031"/>
      </w:tblGrid>
      <w:tr w:rsidR="00925AC4">
        <w:trPr>
          <w:trHeight w:val="563"/>
        </w:trPr>
        <w:tc>
          <w:tcPr>
            <w:tcW w:w="282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绿化类型</w:t>
            </w:r>
          </w:p>
        </w:tc>
        <w:tc>
          <w:tcPr>
            <w:tcW w:w="30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要求</w:t>
            </w:r>
          </w:p>
        </w:tc>
        <w:tc>
          <w:tcPr>
            <w:tcW w:w="303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折算系数</w:t>
            </w:r>
          </w:p>
        </w:tc>
      </w:tr>
      <w:tr w:rsidR="00925AC4">
        <w:trPr>
          <w:trHeight w:val="558"/>
        </w:trPr>
        <w:tc>
          <w:tcPr>
            <w:tcW w:w="2822"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悬空建筑</w:t>
            </w:r>
            <w:r>
              <w:rPr>
                <w:rFonts w:ascii="仿宋" w:eastAsia="仿宋" w:hAnsi="仿宋" w:cs="仿宋"/>
                <w:color w:val="auto"/>
              </w:rPr>
              <w:t>(</w:t>
            </w:r>
            <w:r>
              <w:rPr>
                <w:rFonts w:ascii="仿宋" w:eastAsia="仿宋" w:hAnsi="仿宋" w:cs="仿宋"/>
                <w:color w:val="auto"/>
              </w:rPr>
              <w:t>阳台、雨蓬、架空层等</w:t>
            </w:r>
            <w:r>
              <w:rPr>
                <w:rFonts w:ascii="仿宋" w:eastAsia="仿宋" w:hAnsi="仿宋" w:cs="仿宋"/>
                <w:color w:val="auto"/>
              </w:rPr>
              <w:t>)</w:t>
            </w:r>
            <w:r>
              <w:rPr>
                <w:rFonts w:ascii="仿宋" w:eastAsia="仿宋" w:hAnsi="仿宋" w:cs="仿宋"/>
                <w:color w:val="auto"/>
              </w:rPr>
              <w:t>下绿化用地</w:t>
            </w:r>
          </w:p>
        </w:tc>
        <w:tc>
          <w:tcPr>
            <w:tcW w:w="30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净空高度≥</w:t>
            </w:r>
            <w:r>
              <w:rPr>
                <w:rFonts w:ascii="仿宋" w:eastAsia="仿宋" w:hAnsi="仿宋" w:cs="仿宋"/>
                <w:color w:val="auto"/>
              </w:rPr>
              <w:t>4.8m</w:t>
            </w:r>
          </w:p>
        </w:tc>
        <w:tc>
          <w:tcPr>
            <w:tcW w:w="303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50%</w:t>
            </w:r>
          </w:p>
        </w:tc>
      </w:tr>
      <w:tr w:rsidR="00925AC4">
        <w:trPr>
          <w:trHeight w:val="577"/>
        </w:trPr>
        <w:tc>
          <w:tcPr>
            <w:tcW w:w="2822" w:type="dxa"/>
            <w:vMerge/>
            <w:tcBorders>
              <w:top w:val="nil"/>
              <w:bottom w:val="nil"/>
            </w:tcBorders>
            <w:vAlign w:val="center"/>
          </w:tcPr>
          <w:p w:rsidR="00925AC4" w:rsidRDefault="00925AC4">
            <w:pPr>
              <w:pStyle w:val="ab"/>
              <w:jc w:val="center"/>
              <w:rPr>
                <w:rFonts w:ascii="仿宋" w:eastAsia="仿宋" w:hAnsi="仿宋" w:cs="仿宋" w:hint="default"/>
                <w:color w:val="auto"/>
              </w:rPr>
            </w:pPr>
          </w:p>
        </w:tc>
        <w:tc>
          <w:tcPr>
            <w:tcW w:w="30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4.8m</w:t>
            </w:r>
            <w:r>
              <w:rPr>
                <w:rFonts w:ascii="仿宋" w:eastAsia="仿宋" w:hAnsi="仿宋" w:cs="仿宋"/>
                <w:color w:val="auto"/>
              </w:rPr>
              <w:t>≥净空高度≥</w:t>
            </w:r>
            <w:r>
              <w:rPr>
                <w:rFonts w:ascii="仿宋" w:eastAsia="仿宋" w:hAnsi="仿宋" w:cs="仿宋"/>
                <w:color w:val="auto"/>
              </w:rPr>
              <w:t>2.2m</w:t>
            </w:r>
          </w:p>
        </w:tc>
        <w:tc>
          <w:tcPr>
            <w:tcW w:w="303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20%</w:t>
            </w:r>
          </w:p>
        </w:tc>
      </w:tr>
      <w:tr w:rsidR="00925AC4">
        <w:trPr>
          <w:trHeight w:val="562"/>
        </w:trPr>
        <w:tc>
          <w:tcPr>
            <w:tcW w:w="2822"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30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净空高度</w:t>
            </w:r>
            <w:r>
              <w:rPr>
                <w:rFonts w:ascii="仿宋" w:eastAsia="仿宋" w:hAnsi="仿宋" w:cs="仿宋"/>
                <w:color w:val="auto"/>
              </w:rPr>
              <w:t>&lt;2.2m</w:t>
            </w:r>
          </w:p>
        </w:tc>
        <w:tc>
          <w:tcPr>
            <w:tcW w:w="3031"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不予计算</w:t>
            </w:r>
          </w:p>
        </w:tc>
      </w:tr>
    </w:tbl>
    <w:p w:rsidR="00925AC4" w:rsidRDefault="00285E1E">
      <w:pPr>
        <w:numPr>
          <w:ilvl w:val="0"/>
          <w:numId w:val="90"/>
        </w:numPr>
        <w:ind w:firstLine="560"/>
        <w:rPr>
          <w:rFonts w:ascii="仿宋" w:eastAsia="仿宋" w:hAnsi="仿宋" w:cs="仿宋"/>
          <w:color w:val="auto"/>
        </w:rPr>
      </w:pPr>
      <w:r>
        <w:rPr>
          <w:rFonts w:ascii="仿宋" w:eastAsia="仿宋" w:hAnsi="仿宋" w:cs="仿宋" w:hint="eastAsia"/>
          <w:color w:val="auto"/>
        </w:rPr>
        <w:t>在绿地包围内的水体、园林建筑小品、园林铺装及园路等。</w:t>
      </w:r>
    </w:p>
    <w:p w:rsidR="00925AC4" w:rsidRDefault="00285E1E">
      <w:pPr>
        <w:numPr>
          <w:ilvl w:val="0"/>
          <w:numId w:val="91"/>
        </w:numPr>
        <w:ind w:firstLine="560"/>
        <w:rPr>
          <w:rFonts w:ascii="仿宋" w:eastAsia="仿宋" w:hAnsi="仿宋" w:cs="仿宋"/>
          <w:color w:val="auto"/>
        </w:rPr>
      </w:pPr>
      <w:r>
        <w:rPr>
          <w:rFonts w:ascii="仿宋" w:eastAsia="仿宋" w:hAnsi="仿宋" w:cs="仿宋" w:hint="eastAsia"/>
          <w:color w:val="auto"/>
        </w:rPr>
        <w:t>主要有以下类型：</w:t>
      </w:r>
    </w:p>
    <w:p w:rsidR="00925AC4" w:rsidRDefault="00285E1E">
      <w:pPr>
        <w:numPr>
          <w:ilvl w:val="0"/>
          <w:numId w:val="92"/>
        </w:numPr>
        <w:ind w:firstLine="560"/>
        <w:rPr>
          <w:rFonts w:ascii="仿宋" w:eastAsia="仿宋" w:hAnsi="仿宋" w:cs="仿宋"/>
          <w:color w:val="auto"/>
        </w:rPr>
      </w:pPr>
      <w:r>
        <w:rPr>
          <w:rFonts w:ascii="仿宋" w:eastAsia="仿宋" w:hAnsi="仿宋" w:cs="仿宋" w:hint="eastAsia"/>
          <w:color w:val="auto"/>
        </w:rPr>
        <w:t>景观水体；</w:t>
      </w:r>
    </w:p>
    <w:p w:rsidR="00925AC4" w:rsidRDefault="00285E1E">
      <w:pPr>
        <w:numPr>
          <w:ilvl w:val="0"/>
          <w:numId w:val="92"/>
        </w:numPr>
        <w:ind w:firstLine="560"/>
        <w:rPr>
          <w:rFonts w:ascii="仿宋" w:eastAsia="仿宋" w:hAnsi="仿宋" w:cs="仿宋"/>
          <w:color w:val="auto"/>
        </w:rPr>
      </w:pPr>
      <w:r>
        <w:rPr>
          <w:rFonts w:ascii="仿宋" w:eastAsia="仿宋" w:hAnsi="仿宋" w:cs="仿宋" w:hint="eastAsia"/>
          <w:color w:val="auto"/>
        </w:rPr>
        <w:t>跌水；</w:t>
      </w:r>
    </w:p>
    <w:p w:rsidR="00925AC4" w:rsidRDefault="00285E1E">
      <w:pPr>
        <w:numPr>
          <w:ilvl w:val="0"/>
          <w:numId w:val="92"/>
        </w:numPr>
        <w:ind w:firstLine="560"/>
        <w:rPr>
          <w:rFonts w:ascii="仿宋" w:eastAsia="仿宋" w:hAnsi="仿宋" w:cs="仿宋"/>
          <w:color w:val="auto"/>
        </w:rPr>
      </w:pPr>
      <w:r>
        <w:rPr>
          <w:rFonts w:ascii="仿宋" w:eastAsia="仿宋" w:hAnsi="仿宋" w:cs="仿宋" w:hint="eastAsia"/>
          <w:color w:val="auto"/>
        </w:rPr>
        <w:t>景观良好、水质清澈、水岸造型优美的各类水池</w:t>
      </w:r>
      <w:r>
        <w:rPr>
          <w:rFonts w:ascii="仿宋" w:eastAsia="仿宋" w:hAnsi="仿宋" w:cs="仿宋" w:hint="eastAsia"/>
          <w:color w:val="auto"/>
        </w:rPr>
        <w:t>(</w:t>
      </w:r>
      <w:r>
        <w:rPr>
          <w:rFonts w:ascii="仿宋" w:eastAsia="仿宋" w:hAnsi="仿宋" w:cs="仿宋" w:hint="eastAsia"/>
          <w:color w:val="auto"/>
        </w:rPr>
        <w:t>不包括游泳池、旱喷池及各类水体浑浊、景观效果差的生产水池</w:t>
      </w:r>
      <w:r>
        <w:rPr>
          <w:rFonts w:ascii="仿宋" w:eastAsia="仿宋" w:hAnsi="仿宋" w:cs="仿宋" w:hint="eastAsia"/>
          <w:color w:val="auto"/>
        </w:rPr>
        <w:t>);</w:t>
      </w:r>
    </w:p>
    <w:p w:rsidR="00925AC4" w:rsidRDefault="00285E1E">
      <w:pPr>
        <w:numPr>
          <w:ilvl w:val="0"/>
          <w:numId w:val="92"/>
        </w:numPr>
        <w:ind w:firstLine="560"/>
        <w:rPr>
          <w:rFonts w:ascii="仿宋" w:eastAsia="仿宋" w:hAnsi="仿宋" w:cs="仿宋"/>
          <w:color w:val="auto"/>
        </w:rPr>
      </w:pPr>
      <w:r>
        <w:rPr>
          <w:rFonts w:ascii="仿宋" w:eastAsia="仿宋" w:hAnsi="仿宋" w:cs="仿宋" w:hint="eastAsia"/>
          <w:color w:val="auto"/>
        </w:rPr>
        <w:t>园林建筑小品：亭、台、楼、阁、廊、榭、轩、枋、塔等；</w:t>
      </w:r>
    </w:p>
    <w:p w:rsidR="00925AC4" w:rsidRDefault="00285E1E">
      <w:pPr>
        <w:numPr>
          <w:ilvl w:val="0"/>
          <w:numId w:val="92"/>
        </w:numPr>
        <w:ind w:firstLine="560"/>
        <w:rPr>
          <w:rFonts w:ascii="仿宋" w:eastAsia="仿宋" w:hAnsi="仿宋" w:cs="仿宋"/>
          <w:color w:val="auto"/>
        </w:rPr>
      </w:pPr>
      <w:r>
        <w:rPr>
          <w:rFonts w:ascii="仿宋" w:eastAsia="仿宋" w:hAnsi="仿宋" w:cs="仿宋" w:hint="eastAsia"/>
          <w:color w:val="auto"/>
        </w:rPr>
        <w:t>园林铺装：提供休闲健身活动的各类艺术铺装；</w:t>
      </w:r>
    </w:p>
    <w:p w:rsidR="00925AC4" w:rsidRDefault="00285E1E">
      <w:pPr>
        <w:numPr>
          <w:ilvl w:val="0"/>
          <w:numId w:val="92"/>
        </w:numPr>
        <w:ind w:firstLine="560"/>
        <w:rPr>
          <w:rFonts w:ascii="仿宋" w:eastAsia="仿宋" w:hAnsi="仿宋" w:cs="仿宋"/>
          <w:color w:val="auto"/>
        </w:rPr>
      </w:pPr>
      <w:r>
        <w:rPr>
          <w:rFonts w:ascii="仿宋" w:eastAsia="仿宋" w:hAnsi="仿宋" w:cs="仿宋" w:hint="eastAsia"/>
          <w:color w:val="auto"/>
        </w:rPr>
        <w:t>园路：是指宽度</w:t>
      </w:r>
      <w:r>
        <w:rPr>
          <w:rFonts w:ascii="仿宋" w:eastAsia="仿宋" w:hAnsi="仿宋" w:cs="仿宋" w:hint="eastAsia"/>
          <w:color w:val="auto"/>
        </w:rPr>
        <w:t>2.5</w:t>
      </w:r>
      <w:r>
        <w:rPr>
          <w:rFonts w:ascii="仿宋" w:eastAsia="仿宋" w:hAnsi="仿宋" w:cs="仿宋" w:hint="eastAsia"/>
          <w:color w:val="auto"/>
        </w:rPr>
        <w:t>米以内的园林小径。</w:t>
      </w:r>
    </w:p>
    <w:p w:rsidR="00925AC4" w:rsidRDefault="00285E1E">
      <w:pPr>
        <w:numPr>
          <w:ilvl w:val="0"/>
          <w:numId w:val="91"/>
        </w:numPr>
        <w:ind w:firstLine="560"/>
        <w:rPr>
          <w:rFonts w:ascii="仿宋" w:eastAsia="仿宋" w:hAnsi="仿宋" w:cs="仿宋"/>
          <w:color w:val="auto"/>
        </w:rPr>
      </w:pPr>
      <w:r>
        <w:rPr>
          <w:rFonts w:ascii="仿宋" w:eastAsia="仿宋" w:hAnsi="仿宋" w:cs="仿宋" w:hint="eastAsia"/>
          <w:color w:val="auto"/>
        </w:rPr>
        <w:t>透水铺砖率：绿地内铺装采用透水铺砖材料达到总铺装量的</w:t>
      </w:r>
      <w:r>
        <w:rPr>
          <w:rFonts w:ascii="仿宋" w:eastAsia="仿宋" w:hAnsi="仿宋" w:cs="仿宋" w:hint="eastAsia"/>
          <w:color w:val="auto"/>
        </w:rPr>
        <w:t>80%</w:t>
      </w:r>
      <w:r>
        <w:rPr>
          <w:rFonts w:ascii="仿宋" w:eastAsia="仿宋" w:hAnsi="仿宋" w:cs="仿宋" w:hint="eastAsia"/>
          <w:color w:val="auto"/>
        </w:rPr>
        <w:t>以上纳入绿地率计算，小于则不纳入。</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绿地内铺装面积总量控制要求见下表。折算系数，见下表：</w:t>
      </w:r>
    </w:p>
    <w:tbl>
      <w:tblPr>
        <w:tblStyle w:val="TableNormal"/>
        <w:tblW w:w="8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3"/>
        <w:gridCol w:w="5344"/>
        <w:gridCol w:w="1393"/>
      </w:tblGrid>
      <w:tr w:rsidR="00925AC4">
        <w:trPr>
          <w:trHeight w:val="563"/>
        </w:trPr>
        <w:tc>
          <w:tcPr>
            <w:tcW w:w="212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建设项目</w:t>
            </w:r>
          </w:p>
        </w:tc>
        <w:tc>
          <w:tcPr>
            <w:tcW w:w="534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要求</w:t>
            </w:r>
          </w:p>
        </w:tc>
        <w:tc>
          <w:tcPr>
            <w:tcW w:w="139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折算系数</w:t>
            </w:r>
          </w:p>
        </w:tc>
      </w:tr>
      <w:tr w:rsidR="00925AC4">
        <w:trPr>
          <w:trHeight w:val="1075"/>
        </w:trPr>
        <w:tc>
          <w:tcPr>
            <w:tcW w:w="212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在绿地包围内的水体、园林建筑小品、园林铺装及园路等</w:t>
            </w:r>
          </w:p>
        </w:tc>
        <w:tc>
          <w:tcPr>
            <w:tcW w:w="534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各类水体面积、园林建筑小品占地、园林铺装面积及园路面积之和≤绿化用地</w:t>
            </w:r>
            <w:r>
              <w:rPr>
                <w:rFonts w:ascii="仿宋" w:eastAsia="仿宋" w:hAnsi="仿宋" w:cs="仿宋"/>
                <w:color w:val="auto"/>
              </w:rPr>
              <w:t>30%</w:t>
            </w:r>
            <w:r>
              <w:rPr>
                <w:rFonts w:ascii="仿宋" w:eastAsia="仿宋" w:hAnsi="仿宋" w:cs="仿宋"/>
                <w:color w:val="auto"/>
              </w:rPr>
              <w:t>且园林建筑小品占地面积≤绿化用地的</w:t>
            </w:r>
            <w:r>
              <w:rPr>
                <w:rFonts w:ascii="仿宋" w:eastAsia="仿宋" w:hAnsi="仿宋" w:cs="仿宋"/>
                <w:color w:val="auto"/>
              </w:rPr>
              <w:t>3%</w:t>
            </w:r>
          </w:p>
        </w:tc>
        <w:tc>
          <w:tcPr>
            <w:tcW w:w="139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100%</w:t>
            </w:r>
          </w:p>
        </w:tc>
      </w:tr>
      <w:tr w:rsidR="00925AC4">
        <w:trPr>
          <w:trHeight w:val="791"/>
        </w:trPr>
        <w:tc>
          <w:tcPr>
            <w:tcW w:w="212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534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各类水体面积、园林建筑小品占地、园林铺装面积及园路面积之和</w:t>
            </w:r>
            <w:r>
              <w:rPr>
                <w:rFonts w:ascii="仿宋" w:eastAsia="仿宋" w:hAnsi="仿宋" w:cs="仿宋"/>
                <w:color w:val="auto"/>
              </w:rPr>
              <w:t>&gt;</w:t>
            </w:r>
            <w:r>
              <w:rPr>
                <w:rFonts w:ascii="仿宋" w:eastAsia="仿宋" w:hAnsi="仿宋" w:cs="仿宋"/>
                <w:color w:val="auto"/>
              </w:rPr>
              <w:t>绿化用地的</w:t>
            </w:r>
            <w:r>
              <w:rPr>
                <w:rFonts w:ascii="仿宋" w:eastAsia="仿宋" w:hAnsi="仿宋" w:cs="仿宋"/>
                <w:color w:val="auto"/>
              </w:rPr>
              <w:t>30%</w:t>
            </w:r>
          </w:p>
        </w:tc>
        <w:tc>
          <w:tcPr>
            <w:tcW w:w="139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超出部分不予计算</w:t>
            </w:r>
          </w:p>
        </w:tc>
      </w:tr>
    </w:tbl>
    <w:p w:rsidR="00925AC4" w:rsidRDefault="00285E1E">
      <w:pPr>
        <w:numPr>
          <w:ilvl w:val="0"/>
          <w:numId w:val="90"/>
        </w:numPr>
        <w:ind w:firstLine="560"/>
        <w:rPr>
          <w:rFonts w:ascii="仿宋" w:eastAsia="仿宋" w:hAnsi="仿宋" w:cs="仿宋"/>
          <w:color w:val="auto"/>
        </w:rPr>
      </w:pPr>
      <w:r>
        <w:rPr>
          <w:rFonts w:ascii="仿宋" w:eastAsia="仿宋" w:hAnsi="仿宋" w:cs="仿宋" w:hint="eastAsia"/>
          <w:color w:val="auto"/>
        </w:rPr>
        <w:lastRenderedPageBreak/>
        <w:t>组团集中绿地：是指长度不小于</w:t>
      </w:r>
      <w:r>
        <w:rPr>
          <w:rFonts w:ascii="仿宋" w:eastAsia="仿宋" w:hAnsi="仿宋" w:cs="仿宋" w:hint="eastAsia"/>
          <w:color w:val="auto"/>
        </w:rPr>
        <w:t>15</w:t>
      </w:r>
      <w:r>
        <w:rPr>
          <w:rFonts w:ascii="仿宋" w:eastAsia="仿宋" w:hAnsi="仿宋" w:cs="仿宋" w:hint="eastAsia"/>
          <w:color w:val="auto"/>
        </w:rPr>
        <w:t>米，宽度不小于</w:t>
      </w:r>
      <w:r>
        <w:rPr>
          <w:rFonts w:ascii="仿宋" w:eastAsia="仿宋" w:hAnsi="仿宋" w:cs="仿宋" w:hint="eastAsia"/>
          <w:color w:val="auto"/>
        </w:rPr>
        <w:t>10</w:t>
      </w:r>
      <w:r>
        <w:rPr>
          <w:rFonts w:ascii="仿宋" w:eastAsia="仿宋" w:hAnsi="仿宋" w:cs="仿宋" w:hint="eastAsia"/>
          <w:color w:val="auto"/>
        </w:rPr>
        <w:t>米，且面积不小于</w:t>
      </w:r>
      <w:r>
        <w:rPr>
          <w:rFonts w:ascii="仿宋" w:eastAsia="仿宋" w:hAnsi="仿宋" w:cs="仿宋" w:hint="eastAsia"/>
          <w:color w:val="auto"/>
        </w:rPr>
        <w:t>400</w:t>
      </w:r>
      <w:r>
        <w:rPr>
          <w:rFonts w:ascii="仿宋" w:eastAsia="仿宋" w:hAnsi="仿宋" w:cs="仿宋" w:hint="eastAsia"/>
          <w:color w:val="auto"/>
        </w:rPr>
        <w:t>平方米的集中绿地。</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居住人口大于</w:t>
      </w:r>
      <w:r>
        <w:rPr>
          <w:rFonts w:ascii="仿宋" w:eastAsia="仿宋" w:hAnsi="仿宋" w:cs="仿宋" w:hint="eastAsia"/>
          <w:color w:val="auto"/>
        </w:rPr>
        <w:t>1000</w:t>
      </w:r>
      <w:r>
        <w:rPr>
          <w:rFonts w:ascii="仿宋" w:eastAsia="仿宋" w:hAnsi="仿宋" w:cs="仿宋" w:hint="eastAsia"/>
          <w:color w:val="auto"/>
        </w:rPr>
        <w:t>人的居住区集中绿地面积计算应按下表的要求执行。折算系数，见下表：</w:t>
      </w:r>
    </w:p>
    <w:tbl>
      <w:tblPr>
        <w:tblStyle w:val="TableNormal"/>
        <w:tblW w:w="88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4"/>
        <w:gridCol w:w="5713"/>
        <w:gridCol w:w="2083"/>
      </w:tblGrid>
      <w:tr w:rsidR="00925AC4">
        <w:trPr>
          <w:trHeight w:val="554"/>
        </w:trPr>
        <w:tc>
          <w:tcPr>
            <w:tcW w:w="105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建设项目</w:t>
            </w: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要求</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折算系数</w:t>
            </w:r>
          </w:p>
        </w:tc>
      </w:tr>
      <w:tr w:rsidR="00925AC4">
        <w:trPr>
          <w:trHeight w:val="579"/>
        </w:trPr>
        <w:tc>
          <w:tcPr>
            <w:tcW w:w="1054"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居住小区</w:t>
            </w: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绿地种植面积≥组团集中绿地面积的</w:t>
            </w:r>
            <w:r>
              <w:rPr>
                <w:rFonts w:ascii="仿宋" w:eastAsia="仿宋" w:hAnsi="仿宋" w:cs="仿宋"/>
                <w:color w:val="auto"/>
              </w:rPr>
              <w:t>70%</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100%</w:t>
            </w:r>
          </w:p>
        </w:tc>
      </w:tr>
      <w:tr w:rsidR="00925AC4">
        <w:trPr>
          <w:trHeight w:val="718"/>
        </w:trPr>
        <w:tc>
          <w:tcPr>
            <w:tcW w:w="1054" w:type="dxa"/>
            <w:vMerge/>
            <w:vAlign w:val="center"/>
          </w:tcPr>
          <w:p w:rsidR="00925AC4" w:rsidRDefault="00925AC4">
            <w:pPr>
              <w:pStyle w:val="ab"/>
              <w:jc w:val="center"/>
              <w:rPr>
                <w:rFonts w:ascii="仿宋" w:eastAsia="仿宋" w:hAnsi="仿宋" w:cs="仿宋" w:hint="default"/>
                <w:color w:val="auto"/>
              </w:rPr>
            </w:pP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组团集中绿地面积的</w:t>
            </w:r>
            <w:r>
              <w:rPr>
                <w:rFonts w:ascii="仿宋" w:eastAsia="仿宋" w:hAnsi="仿宋" w:cs="仿宋"/>
                <w:color w:val="auto"/>
              </w:rPr>
              <w:t>50%</w:t>
            </w:r>
            <w:r>
              <w:rPr>
                <w:rFonts w:ascii="仿宋" w:eastAsia="仿宋" w:hAnsi="仿宋" w:cs="仿宋"/>
                <w:color w:val="auto"/>
              </w:rPr>
              <w:t>≤绿地种植面积≤组团集中绿地面积的</w:t>
            </w:r>
            <w:r>
              <w:rPr>
                <w:rFonts w:ascii="仿宋" w:eastAsia="仿宋" w:hAnsi="仿宋" w:cs="仿宋"/>
                <w:color w:val="auto"/>
              </w:rPr>
              <w:t>70%</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50%</w:t>
            </w:r>
          </w:p>
        </w:tc>
      </w:tr>
      <w:tr w:rsidR="00925AC4">
        <w:trPr>
          <w:trHeight w:val="569"/>
        </w:trPr>
        <w:tc>
          <w:tcPr>
            <w:tcW w:w="1054" w:type="dxa"/>
            <w:vMerge/>
            <w:vAlign w:val="center"/>
          </w:tcPr>
          <w:p w:rsidR="00925AC4" w:rsidRDefault="00925AC4">
            <w:pPr>
              <w:pStyle w:val="ab"/>
              <w:jc w:val="center"/>
              <w:rPr>
                <w:rFonts w:ascii="仿宋" w:eastAsia="仿宋" w:hAnsi="仿宋" w:cs="仿宋" w:hint="default"/>
                <w:color w:val="auto"/>
              </w:rPr>
            </w:pP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绿地种植面积≤组团集中绿地面积的</w:t>
            </w:r>
            <w:r>
              <w:rPr>
                <w:rFonts w:ascii="仿宋" w:eastAsia="仿宋" w:hAnsi="仿宋" w:cs="仿宋"/>
                <w:color w:val="auto"/>
              </w:rPr>
              <w:t>50%</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不予计算</w:t>
            </w:r>
          </w:p>
        </w:tc>
      </w:tr>
      <w:tr w:rsidR="00925AC4">
        <w:trPr>
          <w:trHeight w:val="559"/>
        </w:trPr>
        <w:tc>
          <w:tcPr>
            <w:tcW w:w="1054"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其他项目</w:t>
            </w: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绿地种植面积之和≥绿化用地面积的</w:t>
            </w:r>
            <w:r>
              <w:rPr>
                <w:rFonts w:ascii="仿宋" w:eastAsia="仿宋" w:hAnsi="仿宋" w:cs="仿宋"/>
                <w:color w:val="auto"/>
              </w:rPr>
              <w:t>70%</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100%</w:t>
            </w:r>
          </w:p>
        </w:tc>
      </w:tr>
      <w:tr w:rsidR="00925AC4">
        <w:trPr>
          <w:trHeight w:val="639"/>
        </w:trPr>
        <w:tc>
          <w:tcPr>
            <w:tcW w:w="1054" w:type="dxa"/>
            <w:vMerge/>
            <w:vAlign w:val="center"/>
          </w:tcPr>
          <w:p w:rsidR="00925AC4" w:rsidRDefault="00925AC4">
            <w:pPr>
              <w:pStyle w:val="ab"/>
              <w:jc w:val="center"/>
              <w:rPr>
                <w:rFonts w:ascii="仿宋" w:eastAsia="仿宋" w:hAnsi="仿宋" w:cs="仿宋" w:hint="default"/>
                <w:color w:val="auto"/>
              </w:rPr>
            </w:pP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绿化用地面积的</w:t>
            </w:r>
            <w:r>
              <w:rPr>
                <w:rFonts w:ascii="仿宋" w:eastAsia="仿宋" w:hAnsi="仿宋" w:cs="仿宋"/>
                <w:color w:val="auto"/>
              </w:rPr>
              <w:t>50%</w:t>
            </w:r>
            <w:r>
              <w:rPr>
                <w:rFonts w:ascii="仿宋" w:eastAsia="仿宋" w:hAnsi="仿宋" w:cs="仿宋"/>
                <w:color w:val="auto"/>
              </w:rPr>
              <w:t>≤绿地种植面积之和≤绿化用地面积的</w:t>
            </w:r>
            <w:r>
              <w:rPr>
                <w:rFonts w:ascii="仿宋" w:eastAsia="仿宋" w:hAnsi="仿宋" w:cs="仿宋"/>
                <w:color w:val="auto"/>
              </w:rPr>
              <w:t>70%</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80%</w:t>
            </w:r>
          </w:p>
        </w:tc>
      </w:tr>
      <w:tr w:rsidR="00925AC4">
        <w:trPr>
          <w:trHeight w:val="639"/>
        </w:trPr>
        <w:tc>
          <w:tcPr>
            <w:tcW w:w="1054" w:type="dxa"/>
            <w:vMerge/>
            <w:vAlign w:val="center"/>
          </w:tcPr>
          <w:p w:rsidR="00925AC4" w:rsidRDefault="00925AC4">
            <w:pPr>
              <w:pStyle w:val="ab"/>
              <w:jc w:val="center"/>
              <w:rPr>
                <w:rFonts w:ascii="仿宋" w:eastAsia="仿宋" w:hAnsi="仿宋" w:cs="仿宋" w:hint="default"/>
                <w:color w:val="auto"/>
              </w:rPr>
            </w:pPr>
          </w:p>
        </w:tc>
        <w:tc>
          <w:tcPr>
            <w:tcW w:w="57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绿地种植面积之和≤绿化用地面积的</w:t>
            </w:r>
            <w:r>
              <w:rPr>
                <w:rFonts w:ascii="仿宋" w:eastAsia="仿宋" w:hAnsi="仿宋" w:cs="仿宋"/>
                <w:color w:val="auto"/>
              </w:rPr>
              <w:t>50%</w:t>
            </w:r>
          </w:p>
        </w:tc>
        <w:tc>
          <w:tcPr>
            <w:tcW w:w="208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按实际绿地种植面积</w:t>
            </w:r>
            <w:r>
              <w:rPr>
                <w:rFonts w:ascii="仿宋" w:eastAsia="仿宋" w:hAnsi="仿宋" w:cs="仿宋"/>
                <w:color w:val="auto"/>
              </w:rPr>
              <w:t>100%</w:t>
            </w:r>
            <w:r>
              <w:rPr>
                <w:rFonts w:ascii="仿宋" w:eastAsia="仿宋" w:hAnsi="仿宋" w:cs="仿宋"/>
                <w:color w:val="auto"/>
              </w:rPr>
              <w:t>计算</w:t>
            </w:r>
          </w:p>
        </w:tc>
      </w:tr>
      <w:tr w:rsidR="00925AC4">
        <w:trPr>
          <w:trHeight w:val="703"/>
        </w:trPr>
        <w:tc>
          <w:tcPr>
            <w:tcW w:w="8850"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备注：组团绿地中园林小品建筑密度不大于组团绿地面积的</w:t>
            </w:r>
            <w:r>
              <w:rPr>
                <w:rFonts w:ascii="仿宋" w:eastAsia="仿宋" w:hAnsi="仿宋" w:cs="仿宋"/>
                <w:color w:val="auto"/>
              </w:rPr>
              <w:t>3%,</w:t>
            </w:r>
            <w:r>
              <w:rPr>
                <w:rFonts w:ascii="仿宋" w:eastAsia="仿宋" w:hAnsi="仿宋" w:cs="仿宋"/>
                <w:color w:val="auto"/>
              </w:rPr>
              <w:t>折算系数以绿化用地面积为基准</w:t>
            </w:r>
          </w:p>
        </w:tc>
      </w:tr>
    </w:tbl>
    <w:p w:rsidR="00925AC4" w:rsidRDefault="00285E1E">
      <w:pPr>
        <w:numPr>
          <w:ilvl w:val="0"/>
          <w:numId w:val="90"/>
        </w:numPr>
        <w:ind w:firstLine="560"/>
        <w:rPr>
          <w:rFonts w:ascii="仿宋" w:eastAsia="仿宋" w:hAnsi="仿宋" w:cs="仿宋"/>
          <w:color w:val="auto"/>
        </w:rPr>
      </w:pPr>
      <w:r>
        <w:rPr>
          <w:rFonts w:ascii="仿宋" w:eastAsia="仿宋" w:hAnsi="仿宋" w:cs="仿宋" w:hint="eastAsia"/>
          <w:color w:val="auto"/>
        </w:rPr>
        <w:t>屋顶绿化</w:t>
      </w:r>
    </w:p>
    <w:p w:rsidR="00925AC4" w:rsidRDefault="00285E1E">
      <w:pPr>
        <w:numPr>
          <w:ilvl w:val="0"/>
          <w:numId w:val="93"/>
        </w:numPr>
        <w:ind w:firstLine="560"/>
        <w:rPr>
          <w:rFonts w:ascii="仿宋" w:eastAsia="仿宋" w:hAnsi="仿宋" w:cs="仿宋"/>
          <w:color w:val="auto"/>
        </w:rPr>
      </w:pPr>
      <w:r>
        <w:rPr>
          <w:rFonts w:ascii="仿宋" w:eastAsia="仿宋" w:hAnsi="仿宋" w:cs="仿宋" w:hint="eastAsia"/>
          <w:color w:val="auto"/>
        </w:rPr>
        <w:t>主要有以下类型包括：</w:t>
      </w:r>
    </w:p>
    <w:p w:rsidR="00925AC4" w:rsidRDefault="00285E1E">
      <w:pPr>
        <w:numPr>
          <w:ilvl w:val="0"/>
          <w:numId w:val="94"/>
        </w:numPr>
        <w:ind w:firstLine="560"/>
        <w:rPr>
          <w:rFonts w:ascii="仿宋" w:eastAsia="仿宋" w:hAnsi="仿宋" w:cs="仿宋"/>
          <w:color w:val="auto"/>
        </w:rPr>
      </w:pPr>
      <w:r>
        <w:rPr>
          <w:rFonts w:ascii="仿宋" w:eastAsia="仿宋" w:hAnsi="仿宋" w:cs="仿宋" w:hint="eastAsia"/>
          <w:color w:val="auto"/>
        </w:rPr>
        <w:t>地下车库屋顶绿化；</w:t>
      </w:r>
    </w:p>
    <w:p w:rsidR="00925AC4" w:rsidRDefault="00285E1E">
      <w:pPr>
        <w:numPr>
          <w:ilvl w:val="0"/>
          <w:numId w:val="94"/>
        </w:numPr>
        <w:ind w:firstLine="560"/>
        <w:rPr>
          <w:rFonts w:ascii="仿宋" w:eastAsia="仿宋" w:hAnsi="仿宋" w:cs="仿宋"/>
          <w:color w:val="auto"/>
        </w:rPr>
      </w:pPr>
      <w:r>
        <w:rPr>
          <w:rFonts w:ascii="仿宋" w:eastAsia="仿宋" w:hAnsi="仿宋" w:cs="仿宋" w:hint="eastAsia"/>
          <w:color w:val="auto"/>
        </w:rPr>
        <w:t>地下建筑物的屋顶绿化；</w:t>
      </w:r>
    </w:p>
    <w:p w:rsidR="00925AC4" w:rsidRDefault="00285E1E">
      <w:pPr>
        <w:numPr>
          <w:ilvl w:val="0"/>
          <w:numId w:val="94"/>
        </w:numPr>
        <w:ind w:firstLine="560"/>
        <w:rPr>
          <w:rFonts w:ascii="仿宋" w:eastAsia="仿宋" w:hAnsi="仿宋" w:cs="仿宋"/>
          <w:color w:val="auto"/>
        </w:rPr>
      </w:pPr>
      <w:r>
        <w:rPr>
          <w:rFonts w:ascii="仿宋" w:eastAsia="仿宋" w:hAnsi="仿宋" w:cs="仿宋" w:hint="eastAsia"/>
          <w:color w:val="auto"/>
        </w:rPr>
        <w:t>24</w:t>
      </w:r>
      <w:r>
        <w:rPr>
          <w:rFonts w:ascii="仿宋" w:eastAsia="仿宋" w:hAnsi="仿宋" w:cs="仿宋" w:hint="eastAsia"/>
          <w:color w:val="auto"/>
        </w:rPr>
        <w:t>米以下建筑物的屋顶绿化。</w:t>
      </w:r>
    </w:p>
    <w:p w:rsidR="00925AC4" w:rsidRDefault="00285E1E">
      <w:pPr>
        <w:numPr>
          <w:ilvl w:val="0"/>
          <w:numId w:val="93"/>
        </w:numPr>
        <w:ind w:firstLine="560"/>
        <w:rPr>
          <w:rFonts w:ascii="仿宋" w:eastAsia="仿宋" w:hAnsi="仿宋" w:cs="仿宋"/>
          <w:color w:val="auto"/>
        </w:rPr>
      </w:pPr>
      <w:r>
        <w:rPr>
          <w:rFonts w:ascii="仿宋" w:eastAsia="仿宋" w:hAnsi="仿宋" w:cs="仿宋" w:hint="eastAsia"/>
          <w:color w:val="auto"/>
        </w:rPr>
        <w:t>绿色屋顶率：新建居住、公共管理和公共设施、商业服务业用地的建筑中，建筑高度低于</w:t>
      </w:r>
      <w:r>
        <w:rPr>
          <w:rFonts w:ascii="仿宋" w:eastAsia="仿宋" w:hAnsi="仿宋" w:cs="仿宋" w:hint="eastAsia"/>
          <w:color w:val="auto"/>
        </w:rPr>
        <w:t>24</w:t>
      </w:r>
      <w:r>
        <w:rPr>
          <w:rFonts w:ascii="仿宋" w:eastAsia="仿宋" w:hAnsi="仿宋" w:cs="仿宋" w:hint="eastAsia"/>
          <w:color w:val="auto"/>
        </w:rPr>
        <w:t>米的建筑适宜进行屋顶绿化，绿化屋顶面积宜占建筑屋顶面积的</w:t>
      </w:r>
      <w:r>
        <w:rPr>
          <w:rFonts w:ascii="仿宋" w:eastAsia="仿宋" w:hAnsi="仿宋" w:cs="仿宋" w:hint="eastAsia"/>
          <w:color w:val="auto"/>
        </w:rPr>
        <w:t>30%</w:t>
      </w:r>
      <w:r>
        <w:rPr>
          <w:rFonts w:ascii="仿宋" w:eastAsia="仿宋" w:hAnsi="仿宋" w:cs="仿宋" w:hint="eastAsia"/>
          <w:color w:val="auto"/>
        </w:rPr>
        <w:t>以上。</w:t>
      </w:r>
    </w:p>
    <w:p w:rsidR="00925AC4" w:rsidRDefault="00285E1E" w:rsidP="008E7712">
      <w:pPr>
        <w:ind w:firstLine="560"/>
        <w:rPr>
          <w:rFonts w:ascii="仿宋" w:eastAsia="仿宋" w:hAnsi="仿宋" w:cs="仿宋"/>
          <w:color w:val="auto"/>
        </w:rPr>
      </w:pPr>
      <w:r>
        <w:rPr>
          <w:rFonts w:ascii="仿宋" w:eastAsia="仿宋" w:hAnsi="仿宋" w:cs="仿宋" w:hint="eastAsia"/>
          <w:color w:val="auto"/>
        </w:rPr>
        <w:t>绿色屋顶面积小于</w:t>
      </w:r>
      <w:r>
        <w:rPr>
          <w:rFonts w:ascii="仿宋" w:eastAsia="仿宋" w:hAnsi="仿宋" w:cs="仿宋" w:hint="eastAsia"/>
          <w:color w:val="auto"/>
        </w:rPr>
        <w:t>30%,</w:t>
      </w:r>
      <w:r>
        <w:rPr>
          <w:rFonts w:ascii="仿宋" w:eastAsia="仿宋" w:hAnsi="仿宋" w:cs="仿宋" w:hint="eastAsia"/>
          <w:color w:val="auto"/>
        </w:rPr>
        <w:t>折算系数：不予计算；绿色屋顶面积大于</w:t>
      </w:r>
      <w:r>
        <w:rPr>
          <w:rFonts w:ascii="仿宋" w:eastAsia="仿宋" w:hAnsi="仿宋" w:cs="仿宋" w:hint="eastAsia"/>
          <w:color w:val="auto"/>
        </w:rPr>
        <w:t>30%,</w:t>
      </w:r>
      <w:r>
        <w:rPr>
          <w:rFonts w:ascii="仿宋" w:eastAsia="仿宋" w:hAnsi="仿宋" w:cs="仿宋" w:hint="eastAsia"/>
          <w:color w:val="auto"/>
        </w:rPr>
        <w:t>折算系数：按实际绿化屋顶面积计算。折算系数，见下表：</w:t>
      </w:r>
    </w:p>
    <w:tbl>
      <w:tblPr>
        <w:tblStyle w:val="TableNormal"/>
        <w:tblW w:w="90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3"/>
        <w:gridCol w:w="1987"/>
        <w:gridCol w:w="4395"/>
        <w:gridCol w:w="824"/>
      </w:tblGrid>
      <w:tr w:rsidR="00925AC4">
        <w:trPr>
          <w:trHeight w:val="634"/>
        </w:trPr>
        <w:tc>
          <w:tcPr>
            <w:tcW w:w="182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绿化类型</w:t>
            </w:r>
          </w:p>
        </w:tc>
        <w:tc>
          <w:tcPr>
            <w:tcW w:w="6382"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要求</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折算</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系数</w:t>
            </w:r>
          </w:p>
        </w:tc>
      </w:tr>
      <w:tr w:rsidR="00925AC4">
        <w:trPr>
          <w:trHeight w:val="639"/>
        </w:trPr>
        <w:tc>
          <w:tcPr>
            <w:tcW w:w="1823" w:type="dxa"/>
            <w:vMerge w:val="restart"/>
            <w:vAlign w:val="center"/>
          </w:tcPr>
          <w:p w:rsidR="00925AC4" w:rsidRDefault="00285E1E">
            <w:pPr>
              <w:pStyle w:val="ab"/>
              <w:jc w:val="both"/>
              <w:rPr>
                <w:rFonts w:ascii="仿宋" w:eastAsia="仿宋" w:hAnsi="仿宋" w:cs="仿宋" w:hint="default"/>
                <w:color w:val="auto"/>
              </w:rPr>
            </w:pPr>
            <w:r>
              <w:rPr>
                <w:rFonts w:ascii="仿宋" w:eastAsia="仿宋" w:hAnsi="仿宋" w:cs="仿宋"/>
                <w:color w:val="auto"/>
              </w:rPr>
              <w:lastRenderedPageBreak/>
              <w:t>地下车库、地下建筑物的屋顶绿化</w:t>
            </w:r>
          </w:p>
        </w:tc>
        <w:tc>
          <w:tcPr>
            <w:tcW w:w="1987"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地下构筑物顶板标高低于</w:t>
            </w:r>
            <w:r>
              <w:rPr>
                <w:rFonts w:ascii="仿宋" w:eastAsia="仿宋" w:hAnsi="仿宋" w:cs="仿宋"/>
                <w:color w:val="auto"/>
              </w:rPr>
              <w:t>-0.6m(</w:t>
            </w:r>
            <w:r>
              <w:rPr>
                <w:rFonts w:ascii="仿宋" w:eastAsia="仿宋" w:hAnsi="仿宋" w:cs="仿宋"/>
                <w:color w:val="auto"/>
              </w:rPr>
              <w:t>设定室外地坪标高为</w:t>
            </w:r>
          </w:p>
          <w:p w:rsidR="00925AC4" w:rsidRDefault="00285E1E">
            <w:pPr>
              <w:pStyle w:val="ab"/>
              <w:jc w:val="center"/>
              <w:rPr>
                <w:rFonts w:ascii="仿宋" w:eastAsia="仿宋" w:hAnsi="仿宋" w:cs="仿宋" w:hint="default"/>
                <w:color w:val="auto"/>
              </w:rPr>
            </w:pPr>
            <w:r>
              <w:rPr>
                <w:rFonts w:ascii="仿宋" w:eastAsia="仿宋" w:hAnsi="仿宋" w:cs="仿宋"/>
                <w:color w:val="auto"/>
              </w:rPr>
              <w:t>+0.0)</w:t>
            </w:r>
          </w:p>
        </w:tc>
        <w:tc>
          <w:tcPr>
            <w:tcW w:w="43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平均覆土厚度≥</w:t>
            </w:r>
            <w:r>
              <w:rPr>
                <w:rFonts w:ascii="仿宋" w:eastAsia="仿宋" w:hAnsi="仿宋" w:cs="仿宋"/>
                <w:color w:val="auto"/>
              </w:rPr>
              <w:t>1m,</w:t>
            </w:r>
            <w:r>
              <w:rPr>
                <w:rFonts w:ascii="仿宋" w:eastAsia="仿宋" w:hAnsi="仿宋" w:cs="仿宋"/>
                <w:color w:val="auto"/>
              </w:rPr>
              <w:t>以乔木为基调，乔、灌、地被配置合理的植物种植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100%</w:t>
            </w:r>
          </w:p>
        </w:tc>
      </w:tr>
      <w:tr w:rsidR="00925AC4">
        <w:trPr>
          <w:trHeight w:val="649"/>
        </w:trPr>
        <w:tc>
          <w:tcPr>
            <w:tcW w:w="1823" w:type="dxa"/>
            <w:vMerge/>
            <w:vAlign w:val="center"/>
          </w:tcPr>
          <w:p w:rsidR="00925AC4" w:rsidRDefault="00925AC4">
            <w:pPr>
              <w:pStyle w:val="ab"/>
              <w:jc w:val="center"/>
              <w:rPr>
                <w:rFonts w:ascii="仿宋" w:eastAsia="仿宋" w:hAnsi="仿宋" w:cs="仿宋" w:hint="default"/>
                <w:color w:val="auto"/>
              </w:rPr>
            </w:pPr>
          </w:p>
        </w:tc>
        <w:tc>
          <w:tcPr>
            <w:tcW w:w="1987" w:type="dxa"/>
            <w:vMerge/>
            <w:vAlign w:val="center"/>
          </w:tcPr>
          <w:p w:rsidR="00925AC4" w:rsidRDefault="00925AC4">
            <w:pPr>
              <w:pStyle w:val="ab"/>
              <w:jc w:val="center"/>
              <w:rPr>
                <w:rFonts w:ascii="仿宋" w:eastAsia="仿宋" w:hAnsi="仿宋" w:cs="仿宋" w:hint="default"/>
                <w:color w:val="auto"/>
              </w:rPr>
            </w:pPr>
          </w:p>
        </w:tc>
        <w:tc>
          <w:tcPr>
            <w:tcW w:w="43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0.6m</w:t>
            </w:r>
            <w:r>
              <w:rPr>
                <w:rFonts w:ascii="仿宋" w:eastAsia="仿宋" w:hAnsi="仿宋" w:cs="仿宋"/>
                <w:color w:val="auto"/>
              </w:rPr>
              <w:t>≤平均覆土厚度</w:t>
            </w:r>
            <w:r>
              <w:rPr>
                <w:rFonts w:ascii="仿宋" w:eastAsia="仿宋" w:hAnsi="仿宋" w:cs="仿宋"/>
                <w:color w:val="auto"/>
              </w:rPr>
              <w:t>&lt;</w:t>
            </w:r>
            <w:r>
              <w:rPr>
                <w:rFonts w:ascii="仿宋" w:eastAsia="仿宋" w:hAnsi="仿宋" w:cs="仿宋"/>
                <w:color w:val="auto"/>
              </w:rPr>
              <w:t>1m,</w:t>
            </w:r>
            <w:r>
              <w:rPr>
                <w:rFonts w:ascii="仿宋" w:eastAsia="仿宋" w:hAnsi="仿宋" w:cs="仿宋"/>
                <w:color w:val="auto"/>
              </w:rPr>
              <w:t>以小乔木为基调，配置灌木、地被的植物种植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80%</w:t>
            </w:r>
          </w:p>
        </w:tc>
      </w:tr>
      <w:tr w:rsidR="00925AC4">
        <w:trPr>
          <w:trHeight w:val="629"/>
        </w:trPr>
        <w:tc>
          <w:tcPr>
            <w:tcW w:w="1823" w:type="dxa"/>
            <w:vMerge/>
            <w:vAlign w:val="center"/>
          </w:tcPr>
          <w:p w:rsidR="00925AC4" w:rsidRDefault="00925AC4">
            <w:pPr>
              <w:pStyle w:val="ab"/>
              <w:jc w:val="center"/>
              <w:rPr>
                <w:rFonts w:ascii="仿宋" w:eastAsia="仿宋" w:hAnsi="仿宋" w:cs="仿宋" w:hint="default"/>
                <w:color w:val="auto"/>
              </w:rPr>
            </w:pPr>
          </w:p>
        </w:tc>
        <w:tc>
          <w:tcPr>
            <w:tcW w:w="1987" w:type="dxa"/>
            <w:vMerge/>
            <w:vAlign w:val="center"/>
          </w:tcPr>
          <w:p w:rsidR="00925AC4" w:rsidRDefault="00925AC4">
            <w:pPr>
              <w:pStyle w:val="ab"/>
              <w:jc w:val="center"/>
              <w:rPr>
                <w:rFonts w:ascii="仿宋" w:eastAsia="仿宋" w:hAnsi="仿宋" w:cs="仿宋" w:hint="default"/>
                <w:color w:val="auto"/>
              </w:rPr>
            </w:pPr>
          </w:p>
        </w:tc>
        <w:tc>
          <w:tcPr>
            <w:tcW w:w="43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0.3m</w:t>
            </w:r>
            <w:r>
              <w:rPr>
                <w:rFonts w:ascii="仿宋" w:eastAsia="仿宋" w:hAnsi="仿宋" w:cs="仿宋"/>
                <w:color w:val="auto"/>
              </w:rPr>
              <w:t>≤平均覆土厚度</w:t>
            </w:r>
            <w:r>
              <w:rPr>
                <w:rFonts w:ascii="仿宋" w:eastAsia="仿宋" w:hAnsi="仿宋" w:cs="仿宋"/>
                <w:color w:val="auto"/>
              </w:rPr>
              <w:t>&lt;0.6m,</w:t>
            </w:r>
            <w:r>
              <w:rPr>
                <w:rFonts w:ascii="仿宋" w:eastAsia="仿宋" w:hAnsi="仿宋" w:cs="仿宋"/>
                <w:color w:val="auto"/>
              </w:rPr>
              <w:t>以灌木为基调，配置地被的植物种植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40%</w:t>
            </w:r>
          </w:p>
        </w:tc>
      </w:tr>
      <w:tr w:rsidR="00925AC4">
        <w:trPr>
          <w:trHeight w:val="649"/>
        </w:trPr>
        <w:tc>
          <w:tcPr>
            <w:tcW w:w="1823" w:type="dxa"/>
            <w:vMerge/>
            <w:vAlign w:val="center"/>
          </w:tcPr>
          <w:p w:rsidR="00925AC4" w:rsidRDefault="00925AC4">
            <w:pPr>
              <w:pStyle w:val="ab"/>
              <w:jc w:val="center"/>
              <w:rPr>
                <w:rFonts w:ascii="仿宋" w:eastAsia="仿宋" w:hAnsi="仿宋" w:cs="仿宋" w:hint="default"/>
                <w:color w:val="auto"/>
              </w:rPr>
            </w:pPr>
          </w:p>
        </w:tc>
        <w:tc>
          <w:tcPr>
            <w:tcW w:w="1987"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地下构筑物顶板标高介于</w:t>
            </w:r>
            <w:r>
              <w:rPr>
                <w:rFonts w:ascii="仿宋" w:eastAsia="仿宋" w:hAnsi="仿宋" w:cs="仿宋"/>
                <w:color w:val="auto"/>
              </w:rPr>
              <w:t>-0.6</w:t>
            </w:r>
            <w:r>
              <w:rPr>
                <w:rFonts w:ascii="仿宋" w:eastAsia="仿宋" w:hAnsi="仿宋" w:cs="仿宋"/>
                <w:color w:val="auto"/>
              </w:rPr>
              <w:t>至</w:t>
            </w:r>
            <w:r>
              <w:rPr>
                <w:rFonts w:ascii="仿宋" w:eastAsia="仿宋" w:hAnsi="仿宋" w:cs="仿宋"/>
                <w:color w:val="auto"/>
              </w:rPr>
              <w:t>-1.2m</w:t>
            </w:r>
            <w:r>
              <w:rPr>
                <w:rFonts w:ascii="仿宋" w:eastAsia="仿宋" w:hAnsi="仿宋" w:cs="仿宋"/>
                <w:color w:val="auto"/>
              </w:rPr>
              <w:t>的地下构筑物</w:t>
            </w:r>
            <w:r>
              <w:rPr>
                <w:rFonts w:ascii="仿宋" w:eastAsia="仿宋" w:hAnsi="仿宋" w:cs="仿宋"/>
                <w:color w:val="auto"/>
              </w:rPr>
              <w:t>(</w:t>
            </w:r>
            <w:r>
              <w:rPr>
                <w:rFonts w:ascii="仿宋" w:eastAsia="仿宋" w:hAnsi="仿宋" w:cs="仿宋"/>
                <w:color w:val="auto"/>
              </w:rPr>
              <w:t>设定室外地坪标高为</w:t>
            </w:r>
            <w:r>
              <w:rPr>
                <w:rFonts w:ascii="仿宋" w:eastAsia="仿宋" w:hAnsi="仿宋" w:cs="仿宋"/>
                <w:color w:val="auto"/>
              </w:rPr>
              <w:t>+0.0)</w:t>
            </w:r>
          </w:p>
        </w:tc>
        <w:tc>
          <w:tcPr>
            <w:tcW w:w="43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平均覆土厚度≥</w:t>
            </w:r>
            <w:r>
              <w:rPr>
                <w:rFonts w:ascii="仿宋" w:eastAsia="仿宋" w:hAnsi="仿宋" w:cs="仿宋"/>
                <w:color w:val="auto"/>
              </w:rPr>
              <w:t>1m,</w:t>
            </w:r>
            <w:r>
              <w:rPr>
                <w:rFonts w:ascii="仿宋" w:eastAsia="仿宋" w:hAnsi="仿宋" w:cs="仿宋"/>
                <w:color w:val="auto"/>
              </w:rPr>
              <w:t>以乔木为基调，乔、灌、地被配置合理的植物种植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60%</w:t>
            </w:r>
          </w:p>
        </w:tc>
      </w:tr>
      <w:tr w:rsidR="00925AC4">
        <w:trPr>
          <w:trHeight w:val="619"/>
        </w:trPr>
        <w:tc>
          <w:tcPr>
            <w:tcW w:w="1823" w:type="dxa"/>
            <w:vMerge/>
            <w:vAlign w:val="center"/>
          </w:tcPr>
          <w:p w:rsidR="00925AC4" w:rsidRDefault="00925AC4">
            <w:pPr>
              <w:pStyle w:val="ab"/>
              <w:jc w:val="center"/>
              <w:rPr>
                <w:rFonts w:ascii="仿宋" w:eastAsia="仿宋" w:hAnsi="仿宋" w:cs="仿宋" w:hint="default"/>
                <w:color w:val="auto"/>
              </w:rPr>
            </w:pPr>
          </w:p>
        </w:tc>
        <w:tc>
          <w:tcPr>
            <w:tcW w:w="1987" w:type="dxa"/>
            <w:vMerge/>
            <w:vAlign w:val="center"/>
          </w:tcPr>
          <w:p w:rsidR="00925AC4" w:rsidRDefault="00925AC4">
            <w:pPr>
              <w:pStyle w:val="ab"/>
              <w:jc w:val="center"/>
              <w:rPr>
                <w:rFonts w:ascii="仿宋" w:eastAsia="仿宋" w:hAnsi="仿宋" w:cs="仿宋" w:hint="default"/>
                <w:color w:val="auto"/>
              </w:rPr>
            </w:pPr>
          </w:p>
        </w:tc>
        <w:tc>
          <w:tcPr>
            <w:tcW w:w="43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0.6m</w:t>
            </w:r>
            <w:r>
              <w:rPr>
                <w:rFonts w:ascii="仿宋" w:eastAsia="仿宋" w:hAnsi="仿宋" w:cs="仿宋"/>
                <w:color w:val="auto"/>
              </w:rPr>
              <w:t>≤平均覆土厚度</w:t>
            </w:r>
            <w:r>
              <w:rPr>
                <w:rFonts w:ascii="仿宋" w:eastAsia="仿宋" w:hAnsi="仿宋" w:cs="仿宋"/>
                <w:color w:val="auto"/>
              </w:rPr>
              <w:t>&lt;1m,</w:t>
            </w:r>
            <w:r>
              <w:rPr>
                <w:rFonts w:ascii="仿宋" w:eastAsia="仿宋" w:hAnsi="仿宋" w:cs="仿宋"/>
                <w:color w:val="auto"/>
              </w:rPr>
              <w:t>以小乔木为基调，配置、地被的植物种植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40%</w:t>
            </w:r>
          </w:p>
        </w:tc>
      </w:tr>
      <w:tr w:rsidR="00925AC4">
        <w:trPr>
          <w:trHeight w:val="649"/>
        </w:trPr>
        <w:tc>
          <w:tcPr>
            <w:tcW w:w="1823" w:type="dxa"/>
            <w:vMerge/>
            <w:vAlign w:val="center"/>
          </w:tcPr>
          <w:p w:rsidR="00925AC4" w:rsidRDefault="00925AC4">
            <w:pPr>
              <w:pStyle w:val="ab"/>
              <w:jc w:val="center"/>
              <w:rPr>
                <w:rFonts w:ascii="仿宋" w:eastAsia="仿宋" w:hAnsi="仿宋" w:cs="仿宋" w:hint="default"/>
                <w:color w:val="auto"/>
              </w:rPr>
            </w:pPr>
          </w:p>
        </w:tc>
        <w:tc>
          <w:tcPr>
            <w:tcW w:w="1987" w:type="dxa"/>
            <w:vMerge/>
            <w:vAlign w:val="center"/>
          </w:tcPr>
          <w:p w:rsidR="00925AC4" w:rsidRDefault="00925AC4">
            <w:pPr>
              <w:pStyle w:val="ab"/>
              <w:jc w:val="center"/>
              <w:rPr>
                <w:rFonts w:ascii="仿宋" w:eastAsia="仿宋" w:hAnsi="仿宋" w:cs="仿宋" w:hint="default"/>
                <w:color w:val="auto"/>
              </w:rPr>
            </w:pPr>
          </w:p>
        </w:tc>
        <w:tc>
          <w:tcPr>
            <w:tcW w:w="439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0.3m</w:t>
            </w:r>
            <w:r>
              <w:rPr>
                <w:rFonts w:ascii="仿宋" w:eastAsia="仿宋" w:hAnsi="仿宋" w:cs="仿宋"/>
                <w:color w:val="auto"/>
              </w:rPr>
              <w:t>≤平均覆土厚度</w:t>
            </w:r>
            <w:r>
              <w:rPr>
                <w:rFonts w:ascii="仿宋" w:eastAsia="仿宋" w:hAnsi="仿宋" w:cs="仿宋"/>
                <w:color w:val="auto"/>
              </w:rPr>
              <w:t>&lt;0.6m,</w:t>
            </w:r>
            <w:r>
              <w:rPr>
                <w:rFonts w:ascii="仿宋" w:eastAsia="仿宋" w:hAnsi="仿宋" w:cs="仿宋"/>
                <w:color w:val="auto"/>
              </w:rPr>
              <w:t>以灌木为基调，配置地被的植物种植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20%</w:t>
            </w:r>
          </w:p>
        </w:tc>
      </w:tr>
      <w:tr w:rsidR="00925AC4">
        <w:trPr>
          <w:trHeight w:val="369"/>
        </w:trPr>
        <w:tc>
          <w:tcPr>
            <w:tcW w:w="1823"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裙房屋顶绿化和小于</w:t>
            </w:r>
            <w:r>
              <w:rPr>
                <w:rFonts w:ascii="仿宋" w:eastAsia="仿宋" w:hAnsi="仿宋" w:cs="仿宋"/>
                <w:color w:val="auto"/>
              </w:rPr>
              <w:t>24m</w:t>
            </w:r>
            <w:r>
              <w:rPr>
                <w:rFonts w:ascii="仿宋" w:eastAsia="仿宋" w:hAnsi="仿宋" w:cs="仿宋"/>
                <w:color w:val="auto"/>
              </w:rPr>
              <w:t>的建筑</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物屋顶绿化</w:t>
            </w:r>
          </w:p>
        </w:tc>
        <w:tc>
          <w:tcPr>
            <w:tcW w:w="6382"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0.6m&gt;</w:t>
            </w:r>
            <w:r>
              <w:rPr>
                <w:rFonts w:ascii="仿宋" w:eastAsia="仿宋" w:hAnsi="仿宋" w:cs="仿宋"/>
                <w:color w:val="auto"/>
              </w:rPr>
              <w:t>平均覆土厚度≥</w:t>
            </w:r>
            <w:r>
              <w:rPr>
                <w:rFonts w:ascii="仿宋" w:eastAsia="仿宋" w:hAnsi="仿宋" w:cs="仿宋"/>
                <w:color w:val="auto"/>
              </w:rPr>
              <w:t>0.3m,</w:t>
            </w:r>
            <w:r>
              <w:rPr>
                <w:rFonts w:ascii="仿宋" w:eastAsia="仿宋" w:hAnsi="仿宋" w:cs="仿宋"/>
                <w:color w:val="auto"/>
              </w:rPr>
              <w:t>以灌木为基调，配置的植物种植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20%</w:t>
            </w:r>
          </w:p>
        </w:tc>
      </w:tr>
      <w:tr w:rsidR="00925AC4">
        <w:trPr>
          <w:trHeight w:val="649"/>
        </w:trPr>
        <w:tc>
          <w:tcPr>
            <w:tcW w:w="1823" w:type="dxa"/>
            <w:vMerge/>
            <w:vAlign w:val="center"/>
          </w:tcPr>
          <w:p w:rsidR="00925AC4" w:rsidRDefault="00925AC4">
            <w:pPr>
              <w:pStyle w:val="ab"/>
              <w:jc w:val="center"/>
              <w:rPr>
                <w:rFonts w:ascii="仿宋" w:eastAsia="仿宋" w:hAnsi="仿宋" w:cs="仿宋" w:hint="default"/>
                <w:color w:val="auto"/>
              </w:rPr>
            </w:pPr>
          </w:p>
        </w:tc>
        <w:tc>
          <w:tcPr>
            <w:tcW w:w="6382"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平均覆土厚度≥</w:t>
            </w:r>
            <w:r>
              <w:rPr>
                <w:rFonts w:ascii="仿宋" w:eastAsia="仿宋" w:hAnsi="仿宋" w:cs="仿宋"/>
                <w:color w:val="auto"/>
              </w:rPr>
              <w:t>0.6m,</w:t>
            </w:r>
            <w:r>
              <w:rPr>
                <w:rFonts w:ascii="仿宋" w:eastAsia="仿宋" w:hAnsi="仿宋" w:cs="仿宋"/>
                <w:color w:val="auto"/>
              </w:rPr>
              <w:t>以小乔木为基调，配置灌木、地被的植物种植</w:t>
            </w:r>
          </w:p>
        </w:tc>
        <w:tc>
          <w:tcPr>
            <w:tcW w:w="8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40%</w:t>
            </w:r>
          </w:p>
        </w:tc>
      </w:tr>
      <w:tr w:rsidR="00925AC4">
        <w:trPr>
          <w:trHeight w:val="794"/>
        </w:trPr>
        <w:tc>
          <w:tcPr>
            <w:tcW w:w="9029"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备注：</w:t>
            </w:r>
            <w:r>
              <w:rPr>
                <w:rFonts w:ascii="仿宋" w:eastAsia="仿宋" w:hAnsi="仿宋" w:cs="仿宋"/>
                <w:color w:val="auto"/>
              </w:rPr>
              <w:t>1.</w:t>
            </w:r>
            <w:r>
              <w:rPr>
                <w:rFonts w:ascii="仿宋" w:eastAsia="仿宋" w:hAnsi="仿宋" w:cs="仿宋"/>
                <w:color w:val="auto"/>
              </w:rPr>
              <w:t>高度指地下车库、地下建筑物覆土顶面相对于设计室外地坪的标高；</w:t>
            </w:r>
            <w:r>
              <w:rPr>
                <w:rFonts w:ascii="仿宋" w:eastAsia="仿宋" w:hAnsi="仿宋" w:cs="仿宋"/>
                <w:color w:val="auto"/>
              </w:rPr>
              <w:t>2.</w:t>
            </w:r>
            <w:r>
              <w:rPr>
                <w:rFonts w:ascii="仿宋" w:eastAsia="仿宋" w:hAnsi="仿宋" w:cs="仿宋"/>
                <w:color w:val="auto"/>
              </w:rPr>
              <w:t>除上述类型外的屋顶绿化、垂直绿化、阳台绿化不计算绿地面积</w:t>
            </w:r>
          </w:p>
        </w:tc>
      </w:tr>
    </w:tbl>
    <w:p w:rsidR="00925AC4" w:rsidRDefault="00285E1E">
      <w:pPr>
        <w:numPr>
          <w:ilvl w:val="0"/>
          <w:numId w:val="90"/>
        </w:numPr>
        <w:ind w:firstLine="560"/>
        <w:rPr>
          <w:rFonts w:ascii="仿宋" w:eastAsia="仿宋" w:hAnsi="仿宋" w:cs="仿宋"/>
          <w:color w:val="auto"/>
        </w:rPr>
      </w:pPr>
      <w:r>
        <w:rPr>
          <w:rFonts w:ascii="仿宋" w:eastAsia="仿宋" w:hAnsi="仿宋" w:cs="仿宋" w:hint="eastAsia"/>
          <w:color w:val="auto"/>
        </w:rPr>
        <w:t>草坪砖绿化，仅指建设项目总平面图中确定的地面停车场地。折算系数，见下表：</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3"/>
        <w:gridCol w:w="5244"/>
        <w:gridCol w:w="1413"/>
      </w:tblGrid>
      <w:tr w:rsidR="00925AC4">
        <w:trPr>
          <w:trHeight w:val="642"/>
        </w:trPr>
        <w:tc>
          <w:tcPr>
            <w:tcW w:w="22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绿化类型</w:t>
            </w:r>
          </w:p>
        </w:tc>
        <w:tc>
          <w:tcPr>
            <w:tcW w:w="524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要求</w:t>
            </w:r>
          </w:p>
        </w:tc>
        <w:tc>
          <w:tcPr>
            <w:tcW w:w="14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折算系数</w:t>
            </w:r>
          </w:p>
        </w:tc>
      </w:tr>
      <w:tr w:rsidR="00925AC4">
        <w:trPr>
          <w:trHeight w:val="647"/>
        </w:trPr>
        <w:tc>
          <w:tcPr>
            <w:tcW w:w="22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草坪砖停车场</w:t>
            </w:r>
          </w:p>
        </w:tc>
        <w:tc>
          <w:tcPr>
            <w:tcW w:w="524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停车位采用植草砖铺装</w:t>
            </w:r>
          </w:p>
        </w:tc>
        <w:tc>
          <w:tcPr>
            <w:tcW w:w="14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20%</w:t>
            </w:r>
          </w:p>
        </w:tc>
      </w:tr>
      <w:tr w:rsidR="00925AC4">
        <w:trPr>
          <w:trHeight w:val="901"/>
        </w:trPr>
        <w:tc>
          <w:tcPr>
            <w:tcW w:w="22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林荫式草坪砖停车场</w:t>
            </w:r>
          </w:p>
        </w:tc>
        <w:tc>
          <w:tcPr>
            <w:tcW w:w="524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停车位采用草砖铺装，且每两个车位种植一棵以上遮阴效果良好的高大乔木</w:t>
            </w:r>
          </w:p>
        </w:tc>
        <w:tc>
          <w:tcPr>
            <w:tcW w:w="141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50%</w:t>
            </w:r>
          </w:p>
        </w:tc>
      </w:tr>
    </w:tbl>
    <w:p w:rsidR="00925AC4" w:rsidRDefault="00285E1E" w:rsidP="008E7712">
      <w:pPr>
        <w:ind w:firstLine="560"/>
        <w:rPr>
          <w:rFonts w:ascii="仿宋" w:eastAsia="仿宋" w:hAnsi="仿宋" w:cs="仿宋"/>
          <w:color w:val="auto"/>
        </w:rPr>
      </w:pPr>
      <w:r>
        <w:rPr>
          <w:rFonts w:ascii="仿宋" w:eastAsia="仿宋" w:hAnsi="仿宋" w:cs="仿宋" w:hint="eastAsia"/>
          <w:color w:val="auto"/>
        </w:rPr>
        <w:t>(7)</w:t>
      </w:r>
      <w:r>
        <w:rPr>
          <w:rFonts w:ascii="仿宋" w:eastAsia="仿宋" w:hAnsi="仿宋" w:cs="仿宋" w:hint="eastAsia"/>
          <w:color w:val="auto"/>
        </w:rPr>
        <w:t>树阵及树池绿地：仅指成片成行列式的栽植及独立设置的树池。折算系数，见下表：</w:t>
      </w:r>
    </w:p>
    <w:tbl>
      <w:tblPr>
        <w:tblStyle w:val="TableNormal"/>
        <w:tblW w:w="886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3"/>
        <w:gridCol w:w="4255"/>
        <w:gridCol w:w="3012"/>
      </w:tblGrid>
      <w:tr w:rsidR="00925AC4">
        <w:trPr>
          <w:trHeight w:val="563"/>
        </w:trPr>
        <w:tc>
          <w:tcPr>
            <w:tcW w:w="159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绿化类型</w:t>
            </w:r>
          </w:p>
        </w:tc>
        <w:tc>
          <w:tcPr>
            <w:tcW w:w="425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要求</w:t>
            </w:r>
          </w:p>
        </w:tc>
        <w:tc>
          <w:tcPr>
            <w:tcW w:w="301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折算系数</w:t>
            </w:r>
          </w:p>
        </w:tc>
      </w:tr>
      <w:tr w:rsidR="00925AC4">
        <w:trPr>
          <w:trHeight w:val="798"/>
        </w:trPr>
        <w:tc>
          <w:tcPr>
            <w:tcW w:w="159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树阵</w:t>
            </w:r>
          </w:p>
        </w:tc>
        <w:tc>
          <w:tcPr>
            <w:tcW w:w="425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干径≥</w:t>
            </w:r>
            <w:r>
              <w:rPr>
                <w:rFonts w:ascii="仿宋" w:eastAsia="仿宋" w:hAnsi="仿宋" w:cs="仿宋"/>
                <w:color w:val="auto"/>
              </w:rPr>
              <w:t>10cm,</w:t>
            </w:r>
            <w:r>
              <w:rPr>
                <w:rFonts w:ascii="仿宋" w:eastAsia="仿宋" w:hAnsi="仿宋" w:cs="仿宋"/>
                <w:color w:val="auto"/>
              </w:rPr>
              <w:t>株距</w:t>
            </w:r>
            <w:r>
              <w:rPr>
                <w:rFonts w:ascii="仿宋" w:eastAsia="仿宋" w:hAnsi="仿宋" w:cs="仿宋"/>
                <w:color w:val="auto"/>
              </w:rPr>
              <w:t>&lt;5m,</w:t>
            </w:r>
          </w:p>
          <w:p w:rsidR="00925AC4" w:rsidRDefault="00285E1E">
            <w:pPr>
              <w:pStyle w:val="ab"/>
              <w:jc w:val="center"/>
              <w:rPr>
                <w:rFonts w:ascii="仿宋" w:eastAsia="仿宋" w:hAnsi="仿宋" w:cs="仿宋" w:hint="default"/>
                <w:color w:val="auto"/>
              </w:rPr>
            </w:pPr>
            <w:r>
              <w:rPr>
                <w:rFonts w:ascii="仿宋" w:eastAsia="仿宋" w:hAnsi="仿宋" w:cs="仿宋"/>
                <w:color w:val="auto"/>
              </w:rPr>
              <w:t>长≥</w:t>
            </w:r>
            <w:r>
              <w:rPr>
                <w:rFonts w:ascii="仿宋" w:eastAsia="仿宋" w:hAnsi="仿宋" w:cs="仿宋"/>
                <w:color w:val="auto"/>
              </w:rPr>
              <w:t>20m,</w:t>
            </w:r>
            <w:r>
              <w:rPr>
                <w:rFonts w:ascii="仿宋" w:eastAsia="仿宋" w:hAnsi="仿宋" w:cs="仿宋"/>
                <w:color w:val="auto"/>
              </w:rPr>
              <w:t>宽≥</w:t>
            </w:r>
            <w:r>
              <w:rPr>
                <w:rFonts w:ascii="仿宋" w:eastAsia="仿宋" w:hAnsi="仿宋" w:cs="仿宋"/>
                <w:color w:val="auto"/>
              </w:rPr>
              <w:t>20m,</w:t>
            </w:r>
          </w:p>
        </w:tc>
        <w:tc>
          <w:tcPr>
            <w:tcW w:w="301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100%</w:t>
            </w:r>
          </w:p>
        </w:tc>
      </w:tr>
      <w:tr w:rsidR="00925AC4">
        <w:trPr>
          <w:trHeight w:val="1007"/>
        </w:trPr>
        <w:tc>
          <w:tcPr>
            <w:tcW w:w="159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425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干径≥</w:t>
            </w:r>
            <w:r>
              <w:rPr>
                <w:rFonts w:ascii="仿宋" w:eastAsia="仿宋" w:hAnsi="仿宋" w:cs="仿宋"/>
                <w:color w:val="auto"/>
              </w:rPr>
              <w:t>10cm,</w:t>
            </w:r>
            <w:r>
              <w:rPr>
                <w:rFonts w:ascii="仿宋" w:eastAsia="仿宋" w:hAnsi="仿宋" w:cs="仿宋"/>
                <w:color w:val="auto"/>
              </w:rPr>
              <w:t>株距</w:t>
            </w:r>
            <w:r>
              <w:rPr>
                <w:rFonts w:ascii="仿宋" w:eastAsia="仿宋" w:hAnsi="仿宋" w:cs="仿宋"/>
                <w:color w:val="auto"/>
              </w:rPr>
              <w:t>&lt;5m</w:t>
            </w:r>
          </w:p>
          <w:p w:rsidR="00925AC4" w:rsidRDefault="00285E1E">
            <w:pPr>
              <w:pStyle w:val="ab"/>
              <w:jc w:val="center"/>
              <w:rPr>
                <w:rFonts w:ascii="仿宋" w:eastAsia="仿宋" w:hAnsi="仿宋" w:cs="仿宋" w:hint="default"/>
                <w:color w:val="auto"/>
              </w:rPr>
            </w:pPr>
            <w:r>
              <w:rPr>
                <w:rFonts w:ascii="仿宋" w:eastAsia="仿宋" w:hAnsi="仿宋" w:cs="仿宋"/>
                <w:color w:val="auto"/>
              </w:rPr>
              <w:t>10m</w:t>
            </w:r>
            <w:r>
              <w:rPr>
                <w:rFonts w:ascii="仿宋" w:eastAsia="仿宋" w:hAnsi="仿宋" w:cs="仿宋"/>
                <w:color w:val="auto"/>
              </w:rPr>
              <w:t>≤长≤</w:t>
            </w:r>
            <w:r>
              <w:rPr>
                <w:rFonts w:ascii="仿宋" w:eastAsia="仿宋" w:hAnsi="仿宋" w:cs="仿宋"/>
                <w:color w:val="auto"/>
              </w:rPr>
              <w:t>20m,10m</w:t>
            </w:r>
            <w:r>
              <w:rPr>
                <w:rFonts w:ascii="仿宋" w:eastAsia="仿宋" w:hAnsi="仿宋" w:cs="仿宋"/>
                <w:color w:val="auto"/>
              </w:rPr>
              <w:t>≤宽≤</w:t>
            </w:r>
            <w:r>
              <w:rPr>
                <w:rFonts w:ascii="仿宋" w:eastAsia="仿宋" w:hAnsi="仿宋" w:cs="仿宋"/>
                <w:color w:val="auto"/>
              </w:rPr>
              <w:t>20m,</w:t>
            </w:r>
          </w:p>
        </w:tc>
        <w:tc>
          <w:tcPr>
            <w:tcW w:w="301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50%</w:t>
            </w:r>
          </w:p>
        </w:tc>
      </w:tr>
      <w:tr w:rsidR="00925AC4">
        <w:trPr>
          <w:trHeight w:val="559"/>
        </w:trPr>
        <w:tc>
          <w:tcPr>
            <w:tcW w:w="1593" w:type="dxa"/>
            <w:vMerge w:val="restart"/>
            <w:tcBorders>
              <w:bottom w:val="nil"/>
            </w:tcBorders>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独立树池</w:t>
            </w:r>
          </w:p>
        </w:tc>
        <w:tc>
          <w:tcPr>
            <w:tcW w:w="425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lastRenderedPageBreak/>
              <w:t>干径≥</w:t>
            </w:r>
            <w:r>
              <w:rPr>
                <w:rFonts w:ascii="仿宋" w:eastAsia="仿宋" w:hAnsi="仿宋" w:cs="仿宋"/>
                <w:color w:val="auto"/>
              </w:rPr>
              <w:t>50cm</w:t>
            </w:r>
          </w:p>
        </w:tc>
        <w:tc>
          <w:tcPr>
            <w:tcW w:w="301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按干径的</w:t>
            </w:r>
            <w:r>
              <w:rPr>
                <w:rFonts w:ascii="仿宋" w:eastAsia="仿宋" w:hAnsi="仿宋" w:cs="仿宋"/>
                <w:color w:val="auto"/>
              </w:rPr>
              <w:t>5</w:t>
            </w:r>
            <w:r>
              <w:rPr>
                <w:rFonts w:ascii="仿宋" w:eastAsia="仿宋" w:hAnsi="仿宋" w:cs="仿宋"/>
                <w:color w:val="auto"/>
              </w:rPr>
              <w:t>倍为直径计算</w:t>
            </w:r>
          </w:p>
        </w:tc>
      </w:tr>
      <w:tr w:rsidR="00925AC4">
        <w:trPr>
          <w:trHeight w:val="559"/>
        </w:trPr>
        <w:tc>
          <w:tcPr>
            <w:tcW w:w="1593" w:type="dxa"/>
            <w:vMerge/>
            <w:tcBorders>
              <w:top w:val="nil"/>
              <w:bottom w:val="nil"/>
            </w:tcBorders>
            <w:vAlign w:val="center"/>
          </w:tcPr>
          <w:p w:rsidR="00925AC4" w:rsidRDefault="00925AC4">
            <w:pPr>
              <w:pStyle w:val="ab"/>
              <w:jc w:val="center"/>
              <w:rPr>
                <w:rFonts w:ascii="仿宋" w:eastAsia="仿宋" w:hAnsi="仿宋" w:cs="仿宋" w:hint="default"/>
                <w:color w:val="auto"/>
              </w:rPr>
            </w:pPr>
          </w:p>
        </w:tc>
        <w:tc>
          <w:tcPr>
            <w:tcW w:w="425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30cm</w:t>
            </w:r>
            <w:r>
              <w:rPr>
                <w:rFonts w:ascii="仿宋" w:eastAsia="仿宋" w:hAnsi="仿宋" w:cs="仿宋"/>
                <w:color w:val="auto"/>
              </w:rPr>
              <w:t>≤干径≤</w:t>
            </w:r>
            <w:r>
              <w:rPr>
                <w:rFonts w:ascii="仿宋" w:eastAsia="仿宋" w:hAnsi="仿宋" w:cs="仿宋"/>
                <w:color w:val="auto"/>
              </w:rPr>
              <w:t>50cm</w:t>
            </w:r>
          </w:p>
        </w:tc>
        <w:tc>
          <w:tcPr>
            <w:tcW w:w="301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按</w:t>
            </w:r>
            <w:r>
              <w:rPr>
                <w:rFonts w:ascii="仿宋" w:eastAsia="仿宋" w:hAnsi="仿宋" w:cs="仿宋"/>
                <w:color w:val="auto"/>
              </w:rPr>
              <w:t>2m</w:t>
            </w:r>
            <w:r>
              <w:rPr>
                <w:rFonts w:ascii="仿宋" w:eastAsia="仿宋" w:hAnsi="仿宋" w:cs="仿宋"/>
                <w:color w:val="auto"/>
              </w:rPr>
              <w:t>²计算</w:t>
            </w:r>
          </w:p>
        </w:tc>
      </w:tr>
      <w:tr w:rsidR="00925AC4">
        <w:trPr>
          <w:trHeight w:val="563"/>
        </w:trPr>
        <w:tc>
          <w:tcPr>
            <w:tcW w:w="159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4255"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干径≤</w:t>
            </w:r>
            <w:r>
              <w:rPr>
                <w:rFonts w:ascii="仿宋" w:eastAsia="仿宋" w:hAnsi="仿宋" w:cs="仿宋"/>
                <w:color w:val="auto"/>
              </w:rPr>
              <w:t>30cm</w:t>
            </w:r>
          </w:p>
        </w:tc>
        <w:tc>
          <w:tcPr>
            <w:tcW w:w="3012"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不予计算</w:t>
            </w:r>
          </w:p>
        </w:tc>
      </w:tr>
    </w:tbl>
    <w:p w:rsidR="00925AC4" w:rsidRDefault="00925AC4">
      <w:pPr>
        <w:rPr>
          <w:rFonts w:ascii="仿宋" w:eastAsia="仿宋" w:hAnsi="仿宋" w:cs="仿宋"/>
          <w:color w:val="C00000"/>
          <w:sz w:val="21"/>
        </w:rPr>
      </w:pPr>
    </w:p>
    <w:p w:rsidR="00925AC4" w:rsidRDefault="00285E1E">
      <w:pPr>
        <w:pStyle w:val="1"/>
        <w:spacing w:line="240" w:lineRule="auto"/>
        <w:jc w:val="left"/>
        <w:rPr>
          <w:rFonts w:ascii="仿宋" w:eastAsia="仿宋" w:hAnsi="仿宋" w:cs="仿宋"/>
          <w:color w:val="auto"/>
          <w:sz w:val="32"/>
          <w:szCs w:val="32"/>
        </w:rPr>
      </w:pPr>
      <w:r>
        <w:rPr>
          <w:rFonts w:ascii="仿宋" w:eastAsia="仿宋" w:hAnsi="仿宋" w:cs="仿宋" w:hint="eastAsia"/>
          <w:color w:val="C00000"/>
          <w:sz w:val="21"/>
        </w:rPr>
        <w:br w:type="page"/>
      </w:r>
      <w:bookmarkStart w:id="79" w:name="_bookmark19"/>
      <w:bookmarkStart w:id="80" w:name="_Toc480"/>
      <w:bookmarkEnd w:id="79"/>
      <w:r>
        <w:rPr>
          <w:rFonts w:ascii="仿宋" w:eastAsia="仿宋" w:hAnsi="仿宋" w:cs="仿宋" w:hint="eastAsia"/>
          <w:color w:val="auto"/>
          <w:sz w:val="32"/>
          <w:szCs w:val="32"/>
        </w:rPr>
        <w:lastRenderedPageBreak/>
        <w:t>附录三</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用地用海分类和代码</w:t>
      </w:r>
      <w:bookmarkEnd w:id="80"/>
    </w:p>
    <w:p w:rsidR="00925AC4" w:rsidRDefault="00925AC4" w:rsidP="008E7712">
      <w:pPr>
        <w:spacing w:line="43" w:lineRule="exact"/>
        <w:ind w:firstLine="560"/>
        <w:rPr>
          <w:rFonts w:ascii="仿宋" w:eastAsia="仿宋" w:hAnsi="仿宋" w:cs="仿宋"/>
          <w:color w:val="C00000"/>
        </w:rPr>
      </w:pPr>
    </w:p>
    <w:tbl>
      <w:tblPr>
        <w:tblW w:w="49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922"/>
        <w:gridCol w:w="668"/>
        <w:gridCol w:w="2332"/>
        <w:gridCol w:w="982"/>
        <w:gridCol w:w="2420"/>
      </w:tblGrid>
      <w:tr w:rsidR="00925AC4">
        <w:trPr>
          <w:trHeight w:val="340"/>
          <w:tblHeader/>
        </w:trPr>
        <w:tc>
          <w:tcPr>
            <w:tcW w:w="2573" w:type="dxa"/>
            <w:gridSpan w:val="2"/>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一级类</w:t>
            </w:r>
          </w:p>
        </w:tc>
        <w:tc>
          <w:tcPr>
            <w:tcW w:w="3000" w:type="dxa"/>
            <w:gridSpan w:val="2"/>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二级类</w:t>
            </w:r>
          </w:p>
        </w:tc>
        <w:tc>
          <w:tcPr>
            <w:tcW w:w="3402" w:type="dxa"/>
            <w:gridSpan w:val="2"/>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三级类</w:t>
            </w:r>
          </w:p>
        </w:tc>
      </w:tr>
      <w:tr w:rsidR="00925AC4">
        <w:trPr>
          <w:trHeight w:val="340"/>
          <w:tblHeader/>
        </w:trPr>
        <w:tc>
          <w:tcPr>
            <w:tcW w:w="651" w:type="dxa"/>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代码</w:t>
            </w:r>
          </w:p>
        </w:tc>
        <w:tc>
          <w:tcPr>
            <w:tcW w:w="1922" w:type="dxa"/>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名称</w:t>
            </w:r>
          </w:p>
        </w:tc>
        <w:tc>
          <w:tcPr>
            <w:tcW w:w="668" w:type="dxa"/>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代码</w:t>
            </w:r>
          </w:p>
        </w:tc>
        <w:tc>
          <w:tcPr>
            <w:tcW w:w="2332" w:type="dxa"/>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名称</w:t>
            </w:r>
          </w:p>
        </w:tc>
        <w:tc>
          <w:tcPr>
            <w:tcW w:w="982" w:type="dxa"/>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代码</w:t>
            </w:r>
          </w:p>
        </w:tc>
        <w:tc>
          <w:tcPr>
            <w:tcW w:w="2420" w:type="dxa"/>
            <w:shd w:val="clear" w:color="auto" w:fill="FFFFFF"/>
            <w:vAlign w:val="center"/>
          </w:tcPr>
          <w:p w:rsidR="00925AC4" w:rsidRDefault="00285E1E">
            <w:pPr>
              <w:ind w:firstLineChars="0" w:firstLine="0"/>
              <w:jc w:val="center"/>
              <w:rPr>
                <w:rFonts w:ascii="仿宋" w:eastAsia="仿宋" w:hAnsi="仿宋" w:cs="仿宋"/>
                <w:sz w:val="21"/>
              </w:rPr>
            </w:pPr>
            <w:r>
              <w:rPr>
                <w:rFonts w:ascii="仿宋" w:eastAsia="仿宋" w:hAnsi="仿宋" w:cs="仿宋" w:hint="eastAsia"/>
                <w:sz w:val="21"/>
              </w:rPr>
              <w:t>名称</w:t>
            </w: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01</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耕地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0101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水田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0102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水浇地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0103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旱地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02</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园地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0201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果园</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0202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茶园</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0203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橡胶园</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0204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其他园地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03</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林地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0301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乔木林地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0302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竹林地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0303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灌木林地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0304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其他林地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04</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草地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0401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天然牧草地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0402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人工牧草地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0403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其他草地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湿地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森林沼泽</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灌丛沼泽</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沼泽草地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其他沼泽地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沿海滩涂</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内陆滩涂</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0507</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红树林地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农业设施建设用地</w:t>
            </w: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0601</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乡村道路用地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060101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村道用地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060102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村庄内部道路用地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种植设施建设用地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畜禽养殖设施建设用地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0604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水产养殖设施建设用地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w:t>
            </w:r>
          </w:p>
          <w:p w:rsidR="00925AC4" w:rsidRDefault="00925AC4">
            <w:pPr>
              <w:ind w:firstLineChars="0" w:firstLine="0"/>
              <w:jc w:val="both"/>
              <w:rPr>
                <w:rFonts w:ascii="仿宋" w:eastAsia="仿宋" w:hAnsi="仿宋" w:cs="仿宋"/>
                <w:sz w:val="21"/>
              </w:rPr>
            </w:pPr>
          </w:p>
          <w:p w:rsidR="00925AC4" w:rsidRDefault="00925AC4">
            <w:pPr>
              <w:ind w:firstLineChars="0" w:firstLine="0"/>
              <w:jc w:val="both"/>
              <w:rPr>
                <w:rFonts w:ascii="仿宋" w:eastAsia="仿宋" w:hAnsi="仿宋" w:cs="仿宋"/>
                <w:sz w:val="21"/>
              </w:rPr>
            </w:pPr>
          </w:p>
          <w:p w:rsidR="00925AC4" w:rsidRDefault="00925AC4">
            <w:pPr>
              <w:ind w:firstLineChars="0" w:firstLine="0"/>
              <w:jc w:val="both"/>
              <w:rPr>
                <w:rFonts w:ascii="仿宋" w:eastAsia="仿宋" w:hAnsi="仿宋" w:cs="仿宋"/>
                <w:sz w:val="21"/>
              </w:rPr>
            </w:pPr>
          </w:p>
          <w:p w:rsidR="00925AC4" w:rsidRDefault="00925AC4">
            <w:pPr>
              <w:ind w:firstLineChars="0" w:firstLine="0"/>
              <w:jc w:val="both"/>
              <w:rPr>
                <w:rFonts w:ascii="仿宋" w:eastAsia="仿宋" w:hAnsi="仿宋" w:cs="仿宋"/>
                <w:sz w:val="21"/>
              </w:rPr>
            </w:pPr>
          </w:p>
        </w:tc>
        <w:tc>
          <w:tcPr>
            <w:tcW w:w="1922" w:type="dxa"/>
            <w:vMerge w:val="restart"/>
            <w:shd w:val="clear" w:color="auto" w:fill="FFFFFF"/>
            <w:vAlign w:val="bottom"/>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lastRenderedPageBreak/>
              <w:t>居住用地</w:t>
            </w:r>
          </w:p>
          <w:p w:rsidR="00925AC4" w:rsidRDefault="00925AC4">
            <w:pPr>
              <w:ind w:firstLineChars="0" w:firstLine="0"/>
              <w:jc w:val="both"/>
              <w:rPr>
                <w:rFonts w:ascii="仿宋" w:eastAsia="仿宋" w:hAnsi="仿宋" w:cs="仿宋"/>
                <w:sz w:val="21"/>
              </w:rPr>
            </w:pPr>
          </w:p>
          <w:p w:rsidR="00925AC4" w:rsidRDefault="00925AC4">
            <w:pPr>
              <w:ind w:firstLineChars="0" w:firstLine="0"/>
              <w:jc w:val="both"/>
              <w:rPr>
                <w:rFonts w:ascii="仿宋" w:eastAsia="仿宋" w:hAnsi="仿宋" w:cs="仿宋"/>
                <w:sz w:val="21"/>
              </w:rPr>
            </w:pPr>
          </w:p>
          <w:p w:rsidR="00925AC4" w:rsidRDefault="00925AC4">
            <w:pPr>
              <w:ind w:firstLineChars="0" w:firstLine="0"/>
              <w:jc w:val="both"/>
              <w:rPr>
                <w:rFonts w:ascii="仿宋" w:eastAsia="仿宋" w:hAnsi="仿宋" w:cs="仿宋"/>
                <w:sz w:val="21"/>
              </w:rPr>
            </w:pPr>
          </w:p>
          <w:p w:rsidR="00925AC4" w:rsidRDefault="00925AC4">
            <w:pPr>
              <w:ind w:firstLineChars="0" w:firstLine="0"/>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lastRenderedPageBreak/>
              <w:t>0701</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城镇住宅用地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070101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一类城镇住宅用地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070102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二类城镇住宅用地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070103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三类城镇住宅用地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城镇社区服务设施用地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0703</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农村宅基地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70301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一类农村宅基地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70302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二类农村宅基地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0704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农村社区服务设施用地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公共管理与公共服务用地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机关团体用地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科研用地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0803</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文化用地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080301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图书与展览用地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080302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文化活动用地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0804</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教育用地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080401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高等教育用地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080402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中等职业教育用地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080403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中小学用地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080404</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幼儿园用地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080405</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其他教育用地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0805</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体育用地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080501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体育场馆用地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080502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体育训练用地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0806</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医疗卫生用地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080601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医院用地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080602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基层医疗卫生设施用地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080603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公共卫生用地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0807</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社会福利用地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080701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老年人社会福利用地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080702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儿童社会福利用地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080703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残疾人社会福利用地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080704</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其他社会福利用地</w:t>
            </w: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商业服务业用地</w:t>
            </w: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0901</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商业用地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090101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零售商业用地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090102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批发市场用地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090103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餐饮用地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090104</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旅馆用地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090105</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公用设施营业网点用地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商务金融用地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0903</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娱乐康体用地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090301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娱乐用地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090302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康体用地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0904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其他商业服务业用地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工矿用地</w:t>
            </w: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1001</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工业用地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100101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一类工业用地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100102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二类工业用地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100103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三类工业用地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采矿用地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1003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盐田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11</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仓储用地</w:t>
            </w: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1101</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物流仓储用地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110101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一类物流仓储用地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110102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二类物流仓储用地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110103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三类物流仓储用地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1102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储备库用地</w:t>
            </w:r>
          </w:p>
        </w:tc>
        <w:tc>
          <w:tcPr>
            <w:tcW w:w="982" w:type="dxa"/>
            <w:shd w:val="clear" w:color="auto" w:fill="FFFFFF"/>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交通运输用地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铁路用地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公路用地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机场用地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港口码头用地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管道运输用地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城市轨道交通用地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1207</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城镇道路用地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1208</w:t>
            </w:r>
          </w:p>
        </w:tc>
        <w:tc>
          <w:tcPr>
            <w:tcW w:w="233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交通场站用地</w:t>
            </w: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120801</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对外交通场站用地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120802</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公共交通场站用地</w:t>
            </w:r>
          </w:p>
        </w:tc>
      </w:tr>
      <w:tr w:rsidR="00925AC4">
        <w:trPr>
          <w:trHeight w:val="221"/>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vMerge/>
            <w:shd w:val="clear" w:color="auto" w:fill="FFFFFF"/>
            <w:vAlign w:val="center"/>
          </w:tcPr>
          <w:p w:rsidR="00925AC4" w:rsidRDefault="00925AC4">
            <w:pPr>
              <w:jc w:val="both"/>
              <w:rPr>
                <w:rFonts w:ascii="仿宋" w:eastAsia="仿宋" w:hAnsi="仿宋" w:cs="仿宋"/>
                <w:sz w:val="21"/>
              </w:rPr>
            </w:pPr>
          </w:p>
        </w:tc>
        <w:tc>
          <w:tcPr>
            <w:tcW w:w="2332" w:type="dxa"/>
            <w:vMerge/>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120803</w:t>
            </w:r>
          </w:p>
        </w:tc>
        <w:tc>
          <w:tcPr>
            <w:tcW w:w="2420"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社会停车场用地</w:t>
            </w: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1209</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其他交通设施用地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公用设施用地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供水用地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排水用地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供电用地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供燃气用地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供热用地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通信用地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1307</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邮政用地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1308</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广播电视设施用地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1309</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环卫用地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1310</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消防用地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1311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干渠</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1312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水工设施用地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1313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其他公用设施用地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14</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绿地与开敞空间用地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1401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公园绿地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1402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防护绿地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1403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广场用地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特殊用地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军事设施用地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使领馆用地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宗教用地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文物古迹用地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监教场所用地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殡葬用地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1507</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其他特殊用地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16</w:t>
            </w:r>
          </w:p>
        </w:tc>
        <w:tc>
          <w:tcPr>
            <w:tcW w:w="192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留白用地</w:t>
            </w:r>
          </w:p>
        </w:tc>
        <w:tc>
          <w:tcPr>
            <w:tcW w:w="668" w:type="dxa"/>
            <w:shd w:val="clear" w:color="auto" w:fill="FFFFFF"/>
            <w:vAlign w:val="center"/>
          </w:tcPr>
          <w:p w:rsidR="00925AC4" w:rsidRDefault="00925AC4">
            <w:pPr>
              <w:jc w:val="both"/>
              <w:rPr>
                <w:rFonts w:ascii="仿宋" w:eastAsia="仿宋" w:hAnsi="仿宋" w:cs="仿宋"/>
                <w:sz w:val="21"/>
              </w:rPr>
            </w:pPr>
          </w:p>
        </w:tc>
        <w:tc>
          <w:tcPr>
            <w:tcW w:w="2332" w:type="dxa"/>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陆地水域</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河流水面</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湖泊水面</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水库水面</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坑塘水面</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沟渠</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1706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冰川及常年积雪</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18</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渔业用海</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1801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渔业基础设施用海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1802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增养殖用海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1803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捕捞海域</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工矿通信用海</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工业用海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盐田用海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固体矿产用海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油气用海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可再生能源用海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1906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海底电缆管道用海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lastRenderedPageBreak/>
              <w:t>20</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交通运输用海</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2001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港口用海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2002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航运用海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2003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路桥隧道用海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21</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游憩用海</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2101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风景旅游用海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2102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文体休闲娱乐用海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22</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特殊用海</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2201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军事用海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2202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其他特殊用海</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w:t>
            </w:r>
          </w:p>
        </w:tc>
        <w:tc>
          <w:tcPr>
            <w:tcW w:w="1922" w:type="dxa"/>
            <w:vMerge w:val="restart"/>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其他土地</w:t>
            </w: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2301</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空闲地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2302</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田坎</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2303</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田间道</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2304</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盐碱地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2305</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沙地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2306</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裸土地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vMerge/>
            <w:shd w:val="clear" w:color="auto" w:fill="FFFFFF"/>
            <w:vAlign w:val="center"/>
          </w:tcPr>
          <w:p w:rsidR="00925AC4" w:rsidRDefault="00925AC4">
            <w:pPr>
              <w:jc w:val="both"/>
              <w:rPr>
                <w:rFonts w:ascii="仿宋" w:eastAsia="仿宋" w:hAnsi="仿宋" w:cs="仿宋"/>
                <w:sz w:val="21"/>
              </w:rPr>
            </w:pPr>
          </w:p>
        </w:tc>
        <w:tc>
          <w:tcPr>
            <w:tcW w:w="1922" w:type="dxa"/>
            <w:vMerge/>
            <w:shd w:val="clear" w:color="auto" w:fill="FFFFFF"/>
            <w:vAlign w:val="center"/>
          </w:tcPr>
          <w:p w:rsidR="00925AC4" w:rsidRDefault="00925AC4">
            <w:pPr>
              <w:jc w:val="both"/>
              <w:rPr>
                <w:rFonts w:ascii="仿宋" w:eastAsia="仿宋" w:hAnsi="仿宋" w:cs="仿宋"/>
                <w:sz w:val="21"/>
              </w:rPr>
            </w:pPr>
          </w:p>
        </w:tc>
        <w:tc>
          <w:tcPr>
            <w:tcW w:w="668"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2307</w:t>
            </w:r>
          </w:p>
        </w:tc>
        <w:tc>
          <w:tcPr>
            <w:tcW w:w="233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裸岩石砾地</w:t>
            </w: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r w:rsidR="00925AC4">
        <w:trPr>
          <w:trHeight w:val="340"/>
        </w:trPr>
        <w:tc>
          <w:tcPr>
            <w:tcW w:w="651"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24</w:t>
            </w:r>
          </w:p>
        </w:tc>
        <w:tc>
          <w:tcPr>
            <w:tcW w:w="1922" w:type="dxa"/>
            <w:shd w:val="clear" w:color="auto" w:fill="FFFFFF"/>
            <w:vAlign w:val="center"/>
          </w:tcPr>
          <w:p w:rsidR="00925AC4" w:rsidRDefault="00285E1E">
            <w:pPr>
              <w:ind w:firstLineChars="0" w:firstLine="0"/>
              <w:jc w:val="both"/>
              <w:rPr>
                <w:rFonts w:ascii="仿宋" w:eastAsia="仿宋" w:hAnsi="仿宋" w:cs="仿宋"/>
                <w:sz w:val="21"/>
              </w:rPr>
            </w:pPr>
            <w:r>
              <w:rPr>
                <w:rFonts w:ascii="仿宋" w:eastAsia="仿宋" w:hAnsi="仿宋" w:cs="仿宋" w:hint="eastAsia"/>
                <w:sz w:val="21"/>
              </w:rPr>
              <w:t>其他海域</w:t>
            </w:r>
          </w:p>
        </w:tc>
        <w:tc>
          <w:tcPr>
            <w:tcW w:w="668" w:type="dxa"/>
            <w:shd w:val="clear" w:color="auto" w:fill="FFFFFF"/>
            <w:vAlign w:val="center"/>
          </w:tcPr>
          <w:p w:rsidR="00925AC4" w:rsidRDefault="00925AC4">
            <w:pPr>
              <w:jc w:val="both"/>
              <w:rPr>
                <w:rFonts w:ascii="仿宋" w:eastAsia="仿宋" w:hAnsi="仿宋" w:cs="仿宋"/>
                <w:sz w:val="21"/>
              </w:rPr>
            </w:pPr>
          </w:p>
        </w:tc>
        <w:tc>
          <w:tcPr>
            <w:tcW w:w="2332" w:type="dxa"/>
            <w:shd w:val="clear" w:color="auto" w:fill="FFFFFF"/>
            <w:vAlign w:val="center"/>
          </w:tcPr>
          <w:p w:rsidR="00925AC4" w:rsidRDefault="00925AC4">
            <w:pPr>
              <w:jc w:val="both"/>
              <w:rPr>
                <w:rFonts w:ascii="仿宋" w:eastAsia="仿宋" w:hAnsi="仿宋" w:cs="仿宋"/>
                <w:sz w:val="21"/>
              </w:rPr>
            </w:pPr>
          </w:p>
        </w:tc>
        <w:tc>
          <w:tcPr>
            <w:tcW w:w="982" w:type="dxa"/>
            <w:shd w:val="clear" w:color="auto" w:fill="FFFFFF"/>
            <w:noWrap/>
            <w:vAlign w:val="center"/>
          </w:tcPr>
          <w:p w:rsidR="00925AC4" w:rsidRDefault="00925AC4">
            <w:pPr>
              <w:jc w:val="both"/>
              <w:rPr>
                <w:rFonts w:ascii="仿宋" w:eastAsia="仿宋" w:hAnsi="仿宋" w:cs="仿宋"/>
                <w:sz w:val="21"/>
              </w:rPr>
            </w:pPr>
          </w:p>
        </w:tc>
        <w:tc>
          <w:tcPr>
            <w:tcW w:w="2420" w:type="dxa"/>
            <w:shd w:val="clear" w:color="auto" w:fill="FFFFFF"/>
            <w:noWrap/>
            <w:vAlign w:val="center"/>
          </w:tcPr>
          <w:p w:rsidR="00925AC4" w:rsidRDefault="00925AC4">
            <w:pPr>
              <w:jc w:val="both"/>
              <w:rPr>
                <w:rFonts w:ascii="仿宋" w:eastAsia="仿宋" w:hAnsi="仿宋" w:cs="仿宋"/>
                <w:sz w:val="21"/>
              </w:rPr>
            </w:pPr>
          </w:p>
        </w:tc>
      </w:tr>
    </w:tbl>
    <w:p w:rsidR="00925AC4" w:rsidRDefault="00925AC4">
      <w:pPr>
        <w:spacing w:line="248" w:lineRule="auto"/>
        <w:rPr>
          <w:rFonts w:ascii="仿宋" w:eastAsia="仿宋" w:hAnsi="仿宋" w:cs="仿宋"/>
          <w:color w:val="C00000"/>
          <w:sz w:val="21"/>
        </w:rPr>
      </w:pPr>
    </w:p>
    <w:p w:rsidR="00925AC4" w:rsidRDefault="00285E1E">
      <w:pPr>
        <w:pStyle w:val="1"/>
        <w:spacing w:line="240" w:lineRule="auto"/>
        <w:jc w:val="left"/>
        <w:rPr>
          <w:rFonts w:ascii="仿宋" w:eastAsia="仿宋" w:hAnsi="仿宋" w:cs="仿宋"/>
          <w:color w:val="0000FF"/>
        </w:rPr>
      </w:pPr>
      <w:r>
        <w:rPr>
          <w:rFonts w:ascii="仿宋" w:eastAsia="仿宋" w:hAnsi="仿宋" w:cs="仿宋" w:hint="eastAsia"/>
          <w:color w:val="C00000"/>
          <w:sz w:val="21"/>
        </w:rPr>
        <w:br w:type="page"/>
      </w:r>
      <w:bookmarkStart w:id="81" w:name="_bookmark20"/>
      <w:bookmarkStart w:id="82" w:name="_Toc16558"/>
      <w:bookmarkEnd w:id="81"/>
      <w:r>
        <w:rPr>
          <w:rFonts w:ascii="仿宋" w:eastAsia="仿宋" w:hAnsi="仿宋" w:cs="仿宋" w:hint="eastAsia"/>
          <w:color w:val="auto"/>
          <w:sz w:val="32"/>
          <w:szCs w:val="32"/>
        </w:rPr>
        <w:lastRenderedPageBreak/>
        <w:t>附录四</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建设工程规划设计方案编制规定</w:t>
      </w:r>
      <w:bookmarkEnd w:id="82"/>
    </w:p>
    <w:p w:rsidR="00925AC4" w:rsidRDefault="00285E1E">
      <w:pPr>
        <w:pStyle w:val="2"/>
        <w:numPr>
          <w:ilvl w:val="0"/>
          <w:numId w:val="95"/>
        </w:numPr>
        <w:ind w:firstLineChars="0"/>
        <w:rPr>
          <w:rFonts w:ascii="仿宋" w:eastAsia="仿宋" w:hAnsi="仿宋" w:cs="仿宋"/>
          <w:color w:val="auto"/>
          <w:sz w:val="28"/>
          <w:szCs w:val="28"/>
        </w:rPr>
      </w:pPr>
      <w:bookmarkStart w:id="83" w:name="_Toc24824"/>
      <w:r>
        <w:rPr>
          <w:rFonts w:ascii="仿宋" w:eastAsia="仿宋" w:hAnsi="仿宋" w:cs="仿宋" w:hint="eastAsia"/>
          <w:color w:val="auto"/>
          <w:sz w:val="28"/>
          <w:szCs w:val="28"/>
        </w:rPr>
        <w:t>内容要求</w:t>
      </w:r>
      <w:bookmarkEnd w:id="83"/>
    </w:p>
    <w:p w:rsidR="00925AC4" w:rsidRDefault="00285E1E">
      <w:pPr>
        <w:numPr>
          <w:ilvl w:val="0"/>
          <w:numId w:val="96"/>
        </w:numPr>
        <w:ind w:firstLineChars="0"/>
        <w:rPr>
          <w:rFonts w:ascii="仿宋" w:eastAsia="仿宋" w:hAnsi="仿宋" w:cs="仿宋"/>
          <w:b/>
          <w:bCs/>
          <w:color w:val="auto"/>
        </w:rPr>
      </w:pPr>
      <w:r>
        <w:rPr>
          <w:rFonts w:ascii="仿宋" w:eastAsia="仿宋" w:hAnsi="仿宋" w:cs="仿宋" w:hint="eastAsia"/>
          <w:b/>
          <w:bCs/>
          <w:color w:val="auto"/>
        </w:rPr>
        <w:t>文本内容要求</w:t>
      </w:r>
    </w:p>
    <w:p w:rsidR="00925AC4" w:rsidRDefault="00285E1E">
      <w:pPr>
        <w:numPr>
          <w:ilvl w:val="0"/>
          <w:numId w:val="97"/>
        </w:numPr>
        <w:ind w:firstLine="560"/>
        <w:rPr>
          <w:rFonts w:ascii="仿宋" w:eastAsia="仿宋" w:hAnsi="仿宋" w:cs="仿宋"/>
          <w:color w:val="auto"/>
        </w:rPr>
      </w:pPr>
      <w:r>
        <w:rPr>
          <w:rFonts w:ascii="仿宋" w:eastAsia="仿宋" w:hAnsi="仿宋" w:cs="仿宋" w:hint="eastAsia"/>
          <w:color w:val="auto"/>
        </w:rPr>
        <w:t>文本应附设计单位资质证书、地块规划条件等内容；</w:t>
      </w:r>
    </w:p>
    <w:p w:rsidR="00925AC4" w:rsidRDefault="00285E1E">
      <w:pPr>
        <w:numPr>
          <w:ilvl w:val="0"/>
          <w:numId w:val="97"/>
        </w:numPr>
        <w:ind w:firstLine="560"/>
        <w:rPr>
          <w:rFonts w:ascii="仿宋" w:eastAsia="仿宋" w:hAnsi="仿宋" w:cs="仿宋"/>
          <w:color w:val="auto"/>
        </w:rPr>
      </w:pPr>
      <w:r>
        <w:rPr>
          <w:rFonts w:ascii="仿宋" w:eastAsia="仿宋" w:hAnsi="仿宋" w:cs="仿宋" w:hint="eastAsia"/>
          <w:color w:val="auto"/>
        </w:rPr>
        <w:t>文本应建目录，编辑页码；</w:t>
      </w:r>
    </w:p>
    <w:p w:rsidR="00925AC4" w:rsidRDefault="00285E1E">
      <w:pPr>
        <w:numPr>
          <w:ilvl w:val="0"/>
          <w:numId w:val="97"/>
        </w:numPr>
        <w:ind w:firstLine="560"/>
        <w:rPr>
          <w:rFonts w:ascii="仿宋" w:eastAsia="仿宋" w:hAnsi="仿宋" w:cs="仿宋"/>
          <w:color w:val="auto"/>
        </w:rPr>
      </w:pPr>
      <w:r>
        <w:rPr>
          <w:rFonts w:ascii="仿宋" w:eastAsia="仿宋" w:hAnsi="仿宋" w:cs="仿宋" w:hint="eastAsia"/>
          <w:color w:val="auto"/>
        </w:rPr>
        <w:t>建设项目应绘制鸟瞰、透视等图，且鸟瞰图应与基地周边现状结合；</w:t>
      </w:r>
    </w:p>
    <w:p w:rsidR="00925AC4" w:rsidRDefault="00285E1E">
      <w:pPr>
        <w:numPr>
          <w:ilvl w:val="0"/>
          <w:numId w:val="97"/>
        </w:numPr>
        <w:ind w:firstLine="560"/>
        <w:rPr>
          <w:rFonts w:ascii="仿宋" w:eastAsia="仿宋" w:hAnsi="仿宋" w:cs="仿宋"/>
          <w:color w:val="auto"/>
        </w:rPr>
      </w:pPr>
      <w:r>
        <w:rPr>
          <w:rFonts w:ascii="仿宋" w:eastAsia="仿宋" w:hAnsi="仿宋" w:cs="仿宋" w:hint="eastAsia"/>
          <w:color w:val="auto"/>
        </w:rPr>
        <w:t>设计单位绘制建筑单体红线图，将电子版图纸刻盘一并提交。</w:t>
      </w:r>
    </w:p>
    <w:p w:rsidR="00925AC4" w:rsidRDefault="00285E1E">
      <w:pPr>
        <w:numPr>
          <w:ilvl w:val="0"/>
          <w:numId w:val="96"/>
        </w:numPr>
        <w:ind w:firstLineChars="0"/>
        <w:rPr>
          <w:rFonts w:ascii="仿宋" w:eastAsia="仿宋" w:hAnsi="仿宋" w:cs="仿宋"/>
          <w:b/>
          <w:bCs/>
          <w:color w:val="auto"/>
        </w:rPr>
      </w:pPr>
      <w:r>
        <w:rPr>
          <w:rFonts w:ascii="仿宋" w:eastAsia="仿宋" w:hAnsi="仿宋" w:cs="仿宋" w:hint="eastAsia"/>
          <w:b/>
          <w:bCs/>
          <w:color w:val="auto"/>
        </w:rPr>
        <w:t>总图部分</w:t>
      </w:r>
    </w:p>
    <w:p w:rsidR="00925AC4" w:rsidRDefault="00285E1E">
      <w:pPr>
        <w:numPr>
          <w:ilvl w:val="0"/>
          <w:numId w:val="98"/>
        </w:numPr>
        <w:ind w:firstLine="560"/>
        <w:rPr>
          <w:rFonts w:ascii="仿宋" w:eastAsia="仿宋" w:hAnsi="仿宋" w:cs="仿宋"/>
          <w:color w:val="auto"/>
        </w:rPr>
      </w:pPr>
      <w:r>
        <w:rPr>
          <w:rFonts w:ascii="仿宋" w:eastAsia="仿宋" w:hAnsi="仿宋" w:cs="仿宋" w:hint="eastAsia"/>
          <w:color w:val="auto"/>
        </w:rPr>
        <w:t>总平面图设计应采用规划部门批准的用地红线图。除特大规模的建设项目可采用</w:t>
      </w:r>
      <w:r>
        <w:rPr>
          <w:rFonts w:ascii="仿宋" w:eastAsia="仿宋" w:hAnsi="仿宋" w:cs="仿宋" w:hint="eastAsia"/>
          <w:color w:val="auto"/>
        </w:rPr>
        <w:t>1:1000</w:t>
      </w:r>
      <w:r>
        <w:rPr>
          <w:rFonts w:ascii="仿宋" w:eastAsia="仿宋" w:hAnsi="仿宋" w:cs="仿宋" w:hint="eastAsia"/>
          <w:color w:val="auto"/>
        </w:rPr>
        <w:t>或</w:t>
      </w:r>
      <w:r>
        <w:rPr>
          <w:rFonts w:ascii="仿宋" w:eastAsia="仿宋" w:hAnsi="仿宋" w:cs="仿宋" w:hint="eastAsia"/>
          <w:color w:val="auto"/>
        </w:rPr>
        <w:t>1:2000</w:t>
      </w:r>
      <w:r>
        <w:rPr>
          <w:rFonts w:ascii="仿宋" w:eastAsia="仿宋" w:hAnsi="仿宋" w:cs="仿宋" w:hint="eastAsia"/>
          <w:color w:val="auto"/>
        </w:rPr>
        <w:t>的绘制比例外，总平面图应采用</w:t>
      </w:r>
      <w:r>
        <w:rPr>
          <w:rFonts w:ascii="仿宋" w:eastAsia="仿宋" w:hAnsi="仿宋" w:cs="仿宋" w:hint="eastAsia"/>
          <w:color w:val="auto"/>
        </w:rPr>
        <w:t>1:500</w:t>
      </w:r>
      <w:r>
        <w:rPr>
          <w:rFonts w:ascii="仿宋" w:eastAsia="仿宋" w:hAnsi="仿宋" w:cs="仿宋" w:hint="eastAsia"/>
          <w:color w:val="auto"/>
        </w:rPr>
        <w:t>的比例绘制。</w:t>
      </w:r>
    </w:p>
    <w:p w:rsidR="00925AC4" w:rsidRDefault="00285E1E">
      <w:pPr>
        <w:numPr>
          <w:ilvl w:val="0"/>
          <w:numId w:val="98"/>
        </w:numPr>
        <w:ind w:firstLine="560"/>
        <w:rPr>
          <w:rFonts w:ascii="仿宋" w:eastAsia="仿宋" w:hAnsi="仿宋" w:cs="仿宋"/>
          <w:color w:val="auto"/>
        </w:rPr>
      </w:pPr>
      <w:r>
        <w:rPr>
          <w:rFonts w:ascii="仿宋" w:eastAsia="仿宋" w:hAnsi="仿宋" w:cs="仿宋" w:hint="eastAsia"/>
          <w:color w:val="auto"/>
        </w:rPr>
        <w:t>需注明图名，绘制区位示意图、指北针、风玫瑰图及比例尺，并注明图纸比例、尺寸单位。</w:t>
      </w:r>
    </w:p>
    <w:p w:rsidR="00925AC4" w:rsidRDefault="00285E1E">
      <w:pPr>
        <w:numPr>
          <w:ilvl w:val="0"/>
          <w:numId w:val="98"/>
        </w:numPr>
        <w:ind w:firstLine="560"/>
        <w:rPr>
          <w:rFonts w:ascii="仿宋" w:eastAsia="仿宋" w:hAnsi="仿宋" w:cs="仿宋"/>
          <w:color w:val="auto"/>
        </w:rPr>
      </w:pPr>
      <w:r>
        <w:rPr>
          <w:rFonts w:ascii="仿宋" w:eastAsia="仿宋" w:hAnsi="仿宋" w:cs="仿宋" w:hint="eastAsia"/>
          <w:color w:val="auto"/>
        </w:rPr>
        <w:t>总平面图中应表达用地界址测绘平面图中所包含的各类规划线</w:t>
      </w:r>
      <w:r>
        <w:rPr>
          <w:rFonts w:ascii="仿宋" w:eastAsia="仿宋" w:hAnsi="仿宋" w:cs="仿宋" w:hint="eastAsia"/>
          <w:color w:val="auto"/>
        </w:rPr>
        <w:t>(</w:t>
      </w:r>
      <w:r>
        <w:rPr>
          <w:rFonts w:ascii="仿宋" w:eastAsia="仿宋" w:hAnsi="仿宋" w:cs="仿宋" w:hint="eastAsia"/>
          <w:color w:val="auto"/>
        </w:rPr>
        <w:t>用地红线、道路红线、建筑控制线等</w:t>
      </w:r>
      <w:r>
        <w:rPr>
          <w:rFonts w:ascii="仿宋" w:eastAsia="仿宋" w:hAnsi="仿宋" w:cs="仿宋" w:hint="eastAsia"/>
          <w:color w:val="auto"/>
        </w:rPr>
        <w:t>),</w:t>
      </w:r>
      <w:r>
        <w:rPr>
          <w:rFonts w:ascii="仿宋" w:eastAsia="仿宋" w:hAnsi="仿宋" w:cs="仿宋" w:hint="eastAsia"/>
          <w:color w:val="auto"/>
        </w:rPr>
        <w:t>以文字注明，同时标明主要角点定位坐标。准确表达场地内及四邻环境情况</w:t>
      </w:r>
      <w:r>
        <w:rPr>
          <w:rFonts w:ascii="仿宋" w:eastAsia="仿宋" w:hAnsi="仿宋" w:cs="仿宋" w:hint="eastAsia"/>
          <w:color w:val="auto"/>
        </w:rPr>
        <w:t>(</w:t>
      </w:r>
      <w:r>
        <w:rPr>
          <w:rFonts w:ascii="仿宋" w:eastAsia="仿宋" w:hAnsi="仿宋" w:cs="仿宋" w:hint="eastAsia"/>
          <w:color w:val="auto"/>
        </w:rPr>
        <w:t>四邻原有及规划的城市道路、河道、防护绿地、街头绿地等的名称、宽度、主要标高等，四邻原有及规划用地的性质、标高，建、构筑物的性质、层数、高度等，场地内需保留的建筑物、构筑物、古树名木、历史文化遗存、现有地形与标高、水体、不良地质情况等</w:t>
      </w:r>
      <w:r>
        <w:rPr>
          <w:rFonts w:ascii="仿宋" w:eastAsia="仿宋" w:hAnsi="仿宋" w:cs="仿宋" w:hint="eastAsia"/>
          <w:color w:val="auto"/>
        </w:rPr>
        <w:t>)</w:t>
      </w:r>
      <w:r>
        <w:rPr>
          <w:rFonts w:ascii="仿宋" w:eastAsia="仿宋" w:hAnsi="仿宋" w:cs="仿宋" w:hint="eastAsia"/>
          <w:color w:val="auto"/>
        </w:rPr>
        <w:t>。</w:t>
      </w:r>
    </w:p>
    <w:p w:rsidR="00925AC4" w:rsidRDefault="00285E1E">
      <w:pPr>
        <w:numPr>
          <w:ilvl w:val="0"/>
          <w:numId w:val="98"/>
        </w:numPr>
        <w:ind w:firstLine="560"/>
        <w:rPr>
          <w:rFonts w:ascii="仿宋" w:eastAsia="仿宋" w:hAnsi="仿宋" w:cs="仿宋"/>
          <w:color w:val="auto"/>
        </w:rPr>
      </w:pPr>
      <w:r>
        <w:rPr>
          <w:rFonts w:ascii="仿宋" w:eastAsia="仿宋" w:hAnsi="仿宋" w:cs="仿宋" w:hint="eastAsia"/>
          <w:color w:val="auto"/>
        </w:rPr>
        <w:t>须明确表达场地内拟建道路、停车场</w:t>
      </w:r>
      <w:r>
        <w:rPr>
          <w:rFonts w:ascii="仿宋" w:eastAsia="仿宋" w:hAnsi="仿宋" w:cs="仿宋" w:hint="eastAsia"/>
          <w:color w:val="auto"/>
        </w:rPr>
        <w:t>、广场、绿地及建、构筑物等的布置，注明建筑用途、层数、高度等。地下室、水池、油库、地埋式垃圾收集点等隐蔽工程以虚线表示，并在图中引注说明。新建建、构筑物</w:t>
      </w:r>
      <w:r>
        <w:rPr>
          <w:rFonts w:ascii="仿宋" w:eastAsia="仿宋" w:hAnsi="仿宋" w:cs="仿宋" w:hint="eastAsia"/>
          <w:color w:val="auto"/>
        </w:rPr>
        <w:t>(</w:t>
      </w:r>
      <w:r>
        <w:rPr>
          <w:rFonts w:ascii="仿宋" w:eastAsia="仿宋" w:hAnsi="仿宋" w:cs="仿宋" w:hint="eastAsia"/>
          <w:color w:val="auto"/>
        </w:rPr>
        <w:t>包括地下室等</w:t>
      </w:r>
      <w:r>
        <w:rPr>
          <w:rFonts w:ascii="仿宋" w:eastAsia="仿宋" w:hAnsi="仿宋" w:cs="仿宋" w:hint="eastAsia"/>
          <w:color w:val="auto"/>
        </w:rPr>
        <w:t>)</w:t>
      </w:r>
      <w:r>
        <w:rPr>
          <w:rFonts w:ascii="仿宋" w:eastAsia="仿宋" w:hAnsi="仿宋" w:cs="仿宋" w:hint="eastAsia"/>
          <w:color w:val="auto"/>
        </w:rPr>
        <w:t>主要角点须标注定位坐标。须明确表达规划以及保</w:t>
      </w:r>
      <w:r>
        <w:rPr>
          <w:rFonts w:ascii="仿宋" w:eastAsia="仿宋" w:hAnsi="仿宋" w:cs="仿宋" w:hint="eastAsia"/>
          <w:color w:val="auto"/>
        </w:rPr>
        <w:lastRenderedPageBreak/>
        <w:t>留的建筑物、构筑物的总尺寸及相互间距关系，及其与各类规划控制线控制点的最小距离。建筑之间、建筑与各类控制线之间成夹角关系时，须标注夹角的角度，并根据技术规定计算间距。须标注建筑附属构件</w:t>
      </w:r>
      <w:r>
        <w:rPr>
          <w:rFonts w:ascii="仿宋" w:eastAsia="仿宋" w:hAnsi="仿宋" w:cs="仿宋" w:hint="eastAsia"/>
          <w:color w:val="auto"/>
        </w:rPr>
        <w:t>(</w:t>
      </w:r>
      <w:r>
        <w:rPr>
          <w:rFonts w:ascii="仿宋" w:eastAsia="仿宋" w:hAnsi="仿宋" w:cs="仿宋" w:hint="eastAsia"/>
          <w:color w:val="auto"/>
        </w:rPr>
        <w:t>包含但不限于阳台、落地凸窗、雨棚、楼层出挑、室外楼梯、踏步等</w:t>
      </w:r>
      <w:r>
        <w:rPr>
          <w:rFonts w:ascii="仿宋" w:eastAsia="仿宋" w:hAnsi="仿宋" w:cs="仿宋" w:hint="eastAsia"/>
          <w:color w:val="auto"/>
        </w:rPr>
        <w:t>)</w:t>
      </w:r>
      <w:r>
        <w:rPr>
          <w:rFonts w:ascii="仿宋" w:eastAsia="仿宋" w:hAnsi="仿宋" w:cs="仿宋" w:hint="eastAsia"/>
          <w:color w:val="auto"/>
        </w:rPr>
        <w:t>与各类控制线之间的最小距离。</w:t>
      </w:r>
    </w:p>
    <w:p w:rsidR="00925AC4" w:rsidRDefault="00285E1E">
      <w:pPr>
        <w:numPr>
          <w:ilvl w:val="0"/>
          <w:numId w:val="98"/>
        </w:numPr>
        <w:ind w:firstLine="560"/>
        <w:rPr>
          <w:rFonts w:ascii="仿宋" w:eastAsia="仿宋" w:hAnsi="仿宋" w:cs="仿宋"/>
          <w:color w:val="auto"/>
        </w:rPr>
      </w:pPr>
      <w:r>
        <w:rPr>
          <w:rFonts w:ascii="仿宋" w:eastAsia="仿宋" w:hAnsi="仿宋" w:cs="仿宋" w:hint="eastAsia"/>
          <w:color w:val="auto"/>
        </w:rPr>
        <w:t>图中需标注基地出入口与</w:t>
      </w:r>
      <w:r>
        <w:rPr>
          <w:rFonts w:ascii="仿宋" w:eastAsia="仿宋" w:hAnsi="仿宋" w:cs="仿宋" w:hint="eastAsia"/>
          <w:color w:val="auto"/>
        </w:rPr>
        <w:t>城市道路交叉口之间的距离及地下</w:t>
      </w:r>
      <w:r>
        <w:rPr>
          <w:rFonts w:ascii="仿宋" w:eastAsia="仿宋" w:hAnsi="仿宋" w:cs="仿宋" w:hint="eastAsia"/>
          <w:color w:val="auto"/>
        </w:rPr>
        <w:t>(</w:t>
      </w:r>
      <w:r>
        <w:rPr>
          <w:rFonts w:ascii="仿宋" w:eastAsia="仿宋" w:hAnsi="仿宋" w:cs="仿宋" w:hint="eastAsia"/>
          <w:color w:val="auto"/>
        </w:rPr>
        <w:t>含半地下</w:t>
      </w:r>
      <w:r>
        <w:rPr>
          <w:rFonts w:ascii="仿宋" w:eastAsia="仿宋" w:hAnsi="仿宋" w:cs="仿宋" w:hint="eastAsia"/>
          <w:color w:val="auto"/>
        </w:rPr>
        <w:t>)</w:t>
      </w:r>
      <w:r>
        <w:rPr>
          <w:rFonts w:ascii="仿宋" w:eastAsia="仿宋" w:hAnsi="仿宋" w:cs="仿宋" w:hint="eastAsia"/>
          <w:color w:val="auto"/>
        </w:rPr>
        <w:t>车库进出口坡道的起坡点至道路红线的车道长度。总平面图中需标明场地室外地坪、道路、绿化、挡墙等的位置、范围、控制标高、主要变坡线位置及坡度，明确标注各规划建筑室内±</w:t>
      </w:r>
      <w:r>
        <w:rPr>
          <w:rFonts w:ascii="仿宋" w:eastAsia="仿宋" w:hAnsi="仿宋" w:cs="仿宋" w:hint="eastAsia"/>
          <w:color w:val="auto"/>
        </w:rPr>
        <w:t>0.00</w:t>
      </w:r>
      <w:r>
        <w:rPr>
          <w:rFonts w:ascii="仿宋" w:eastAsia="仿宋" w:hAnsi="仿宋" w:cs="仿宋" w:hint="eastAsia"/>
          <w:color w:val="auto"/>
        </w:rPr>
        <w:t>标高的绝对海拔高程以及规划建筑</w:t>
      </w:r>
      <w:r>
        <w:rPr>
          <w:rFonts w:ascii="仿宋" w:eastAsia="仿宋" w:hAnsi="仿宋" w:cs="仿宋" w:hint="eastAsia"/>
          <w:color w:val="auto"/>
        </w:rPr>
        <w:t>(</w:t>
      </w:r>
      <w:r>
        <w:rPr>
          <w:rFonts w:ascii="仿宋" w:eastAsia="仿宋" w:hAnsi="仿宋" w:cs="仿宋" w:hint="eastAsia"/>
          <w:color w:val="auto"/>
        </w:rPr>
        <w:t>含所有建、构筑物及设施</w:t>
      </w:r>
      <w:r>
        <w:rPr>
          <w:rFonts w:ascii="仿宋" w:eastAsia="仿宋" w:hAnsi="仿宋" w:cs="仿宋" w:hint="eastAsia"/>
          <w:color w:val="auto"/>
        </w:rPr>
        <w:t>)</w:t>
      </w:r>
      <w:r>
        <w:rPr>
          <w:rFonts w:ascii="仿宋" w:eastAsia="仿宋" w:hAnsi="仿宋" w:cs="仿宋" w:hint="eastAsia"/>
          <w:color w:val="auto"/>
        </w:rPr>
        <w:t>最高处的绝对海拔高程。其中绿化应分块编号并注明面积，同时附汇总统计表。</w:t>
      </w:r>
    </w:p>
    <w:p w:rsidR="00925AC4" w:rsidRDefault="00285E1E">
      <w:pPr>
        <w:numPr>
          <w:ilvl w:val="0"/>
          <w:numId w:val="98"/>
        </w:numPr>
        <w:ind w:firstLine="560"/>
        <w:rPr>
          <w:rFonts w:ascii="仿宋" w:eastAsia="仿宋" w:hAnsi="仿宋" w:cs="仿宋"/>
          <w:color w:val="auto"/>
        </w:rPr>
      </w:pPr>
      <w:r>
        <w:rPr>
          <w:rFonts w:ascii="仿宋" w:eastAsia="仿宋" w:hAnsi="仿宋" w:cs="仿宋" w:hint="eastAsia"/>
          <w:color w:val="auto"/>
        </w:rPr>
        <w:t>除建筑总平面布置图外，应绘制消防、绿化、给排水</w:t>
      </w:r>
      <w:r>
        <w:rPr>
          <w:rFonts w:ascii="仿宋" w:eastAsia="仿宋" w:hAnsi="仿宋" w:cs="仿宋" w:hint="eastAsia"/>
          <w:color w:val="auto"/>
        </w:rPr>
        <w:t>(</w:t>
      </w:r>
      <w:r>
        <w:rPr>
          <w:rFonts w:ascii="仿宋" w:eastAsia="仿宋" w:hAnsi="仿宋" w:cs="仿宋" w:hint="eastAsia"/>
          <w:color w:val="auto"/>
        </w:rPr>
        <w:t>与市政管线对接设计</w:t>
      </w:r>
      <w:r>
        <w:rPr>
          <w:rFonts w:ascii="仿宋" w:eastAsia="仿宋" w:hAnsi="仿宋" w:cs="仿宋" w:hint="eastAsia"/>
          <w:color w:val="auto"/>
        </w:rPr>
        <w:t>)</w:t>
      </w:r>
      <w:r>
        <w:rPr>
          <w:rFonts w:ascii="仿宋" w:eastAsia="仿宋" w:hAnsi="仿宋" w:cs="仿宋" w:hint="eastAsia"/>
          <w:color w:val="auto"/>
        </w:rPr>
        <w:t>、电力管线、竖向设计五项内容的平面布置图。</w:t>
      </w:r>
    </w:p>
    <w:p w:rsidR="00925AC4" w:rsidRDefault="00285E1E">
      <w:pPr>
        <w:numPr>
          <w:ilvl w:val="0"/>
          <w:numId w:val="96"/>
        </w:numPr>
        <w:ind w:firstLineChars="0"/>
        <w:rPr>
          <w:rFonts w:ascii="仿宋" w:eastAsia="仿宋" w:hAnsi="仿宋" w:cs="仿宋"/>
          <w:b/>
          <w:bCs/>
          <w:color w:val="auto"/>
        </w:rPr>
      </w:pPr>
      <w:r>
        <w:rPr>
          <w:rFonts w:ascii="仿宋" w:eastAsia="仿宋" w:hAnsi="仿宋" w:cs="仿宋" w:hint="eastAsia"/>
          <w:b/>
          <w:bCs/>
          <w:color w:val="auto"/>
        </w:rPr>
        <w:t>单体设计图部分</w:t>
      </w:r>
    </w:p>
    <w:p w:rsidR="00925AC4" w:rsidRDefault="00285E1E">
      <w:pPr>
        <w:numPr>
          <w:ilvl w:val="0"/>
          <w:numId w:val="99"/>
        </w:numPr>
        <w:ind w:firstLineChars="0" w:firstLine="620"/>
        <w:rPr>
          <w:rFonts w:ascii="仿宋" w:eastAsia="仿宋" w:hAnsi="仿宋" w:cs="仿宋"/>
          <w:color w:val="auto"/>
        </w:rPr>
      </w:pPr>
      <w:r>
        <w:rPr>
          <w:rFonts w:ascii="仿宋" w:eastAsia="仿宋" w:hAnsi="仿宋" w:cs="仿宋" w:hint="eastAsia"/>
          <w:color w:val="auto"/>
        </w:rPr>
        <w:t>应按《建筑制图标准》的要求，绘制建筑平、立、</w:t>
      </w:r>
      <w:r>
        <w:rPr>
          <w:rFonts w:ascii="仿宋" w:eastAsia="仿宋" w:hAnsi="仿宋" w:cs="仿宋" w:hint="eastAsia"/>
          <w:color w:val="auto"/>
        </w:rPr>
        <w:t>剖图纸。</w:t>
      </w:r>
    </w:p>
    <w:p w:rsidR="00925AC4" w:rsidRDefault="00285E1E">
      <w:pPr>
        <w:numPr>
          <w:ilvl w:val="0"/>
          <w:numId w:val="99"/>
        </w:numPr>
        <w:ind w:firstLineChars="0" w:firstLine="620"/>
        <w:rPr>
          <w:rFonts w:ascii="仿宋" w:eastAsia="仿宋" w:hAnsi="仿宋" w:cs="仿宋"/>
          <w:color w:val="auto"/>
        </w:rPr>
      </w:pPr>
      <w:r>
        <w:rPr>
          <w:rFonts w:ascii="仿宋" w:eastAsia="仿宋" w:hAnsi="仿宋" w:cs="仿宋" w:hint="eastAsia"/>
          <w:color w:val="auto"/>
        </w:rPr>
        <w:t>应在图纸中按照以下表格统计各类占比数据。</w:t>
      </w: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4"/>
        <w:gridCol w:w="3246"/>
        <w:gridCol w:w="889"/>
        <w:gridCol w:w="1478"/>
        <w:gridCol w:w="1963"/>
      </w:tblGrid>
      <w:tr w:rsidR="00925AC4">
        <w:trPr>
          <w:trHeight w:val="454"/>
        </w:trPr>
        <w:tc>
          <w:tcPr>
            <w:tcW w:w="1294"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该层阳台水平投影面积</w:t>
            </w:r>
          </w:p>
        </w:tc>
        <w:tc>
          <w:tcPr>
            <w:tcW w:w="3246"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该层结构板、构造板、抗震板、空调板以及结构镂空等部位的水平投影面积</w:t>
            </w:r>
          </w:p>
        </w:tc>
        <w:tc>
          <w:tcPr>
            <w:tcW w:w="889"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该层计容面积</w:t>
            </w:r>
          </w:p>
        </w:tc>
        <w:tc>
          <w:tcPr>
            <w:tcW w:w="1478" w:type="dxa"/>
            <w:vAlign w:val="center"/>
          </w:tcPr>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阳台占比</w:t>
            </w:r>
          </w:p>
        </w:tc>
        <w:tc>
          <w:tcPr>
            <w:tcW w:w="196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结构板、抗震板、</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空调板以及结构镂</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空占比</w:t>
            </w:r>
          </w:p>
        </w:tc>
      </w:tr>
      <w:tr w:rsidR="00925AC4">
        <w:trPr>
          <w:trHeight w:val="454"/>
        </w:trPr>
        <w:tc>
          <w:tcPr>
            <w:tcW w:w="1294" w:type="dxa"/>
            <w:vAlign w:val="center"/>
          </w:tcPr>
          <w:p w:rsidR="00925AC4" w:rsidRDefault="00925AC4">
            <w:pPr>
              <w:pStyle w:val="ab"/>
              <w:jc w:val="center"/>
              <w:rPr>
                <w:rFonts w:ascii="仿宋" w:eastAsia="仿宋" w:hAnsi="仿宋" w:cs="仿宋" w:hint="default"/>
                <w:color w:val="auto"/>
              </w:rPr>
            </w:pPr>
          </w:p>
        </w:tc>
        <w:tc>
          <w:tcPr>
            <w:tcW w:w="3246" w:type="dxa"/>
            <w:vAlign w:val="center"/>
          </w:tcPr>
          <w:p w:rsidR="00925AC4" w:rsidRDefault="00925AC4">
            <w:pPr>
              <w:pStyle w:val="ab"/>
              <w:jc w:val="center"/>
              <w:rPr>
                <w:rFonts w:ascii="仿宋" w:eastAsia="仿宋" w:hAnsi="仿宋" w:cs="仿宋" w:hint="default"/>
                <w:color w:val="auto"/>
              </w:rPr>
            </w:pPr>
          </w:p>
        </w:tc>
        <w:tc>
          <w:tcPr>
            <w:tcW w:w="889" w:type="dxa"/>
            <w:vAlign w:val="center"/>
          </w:tcPr>
          <w:p w:rsidR="00925AC4" w:rsidRDefault="00925AC4">
            <w:pPr>
              <w:pStyle w:val="ab"/>
              <w:jc w:val="center"/>
              <w:rPr>
                <w:rFonts w:ascii="仿宋" w:eastAsia="仿宋" w:hAnsi="仿宋" w:cs="仿宋" w:hint="default"/>
                <w:color w:val="auto"/>
              </w:rPr>
            </w:pPr>
          </w:p>
        </w:tc>
        <w:tc>
          <w:tcPr>
            <w:tcW w:w="1478" w:type="dxa"/>
            <w:vAlign w:val="center"/>
          </w:tcPr>
          <w:p w:rsidR="00925AC4" w:rsidRDefault="00925AC4">
            <w:pPr>
              <w:pStyle w:val="ab"/>
              <w:jc w:val="center"/>
              <w:rPr>
                <w:rFonts w:ascii="仿宋" w:eastAsia="仿宋" w:hAnsi="仿宋" w:cs="仿宋" w:hint="default"/>
                <w:color w:val="auto"/>
              </w:rPr>
            </w:pPr>
          </w:p>
        </w:tc>
        <w:tc>
          <w:tcPr>
            <w:tcW w:w="1963" w:type="dxa"/>
            <w:vAlign w:val="center"/>
          </w:tcPr>
          <w:p w:rsidR="00925AC4" w:rsidRDefault="00925AC4">
            <w:pPr>
              <w:pStyle w:val="ab"/>
              <w:jc w:val="center"/>
              <w:rPr>
                <w:rFonts w:ascii="仿宋" w:eastAsia="仿宋" w:hAnsi="仿宋" w:cs="仿宋" w:hint="default"/>
                <w:color w:val="auto"/>
              </w:rPr>
            </w:pPr>
          </w:p>
        </w:tc>
      </w:tr>
    </w:tbl>
    <w:p w:rsidR="00925AC4" w:rsidRDefault="00285E1E">
      <w:pPr>
        <w:numPr>
          <w:ilvl w:val="0"/>
          <w:numId w:val="99"/>
        </w:numPr>
        <w:ind w:firstLineChars="0" w:firstLine="620"/>
        <w:rPr>
          <w:rFonts w:ascii="仿宋" w:eastAsia="仿宋" w:hAnsi="仿宋" w:cs="仿宋"/>
          <w:color w:val="auto"/>
        </w:rPr>
      </w:pPr>
      <w:r>
        <w:rPr>
          <w:rFonts w:ascii="仿宋" w:eastAsia="仿宋" w:hAnsi="仿宋" w:cs="仿宋" w:hint="eastAsia"/>
          <w:color w:val="auto"/>
        </w:rPr>
        <w:t>应在图纸中表达飘窗设计大样图。</w:t>
      </w:r>
    </w:p>
    <w:p w:rsidR="00925AC4" w:rsidRDefault="00285E1E">
      <w:pPr>
        <w:numPr>
          <w:ilvl w:val="0"/>
          <w:numId w:val="99"/>
        </w:numPr>
        <w:ind w:firstLineChars="0" w:firstLine="620"/>
        <w:rPr>
          <w:rFonts w:ascii="仿宋" w:eastAsia="仿宋" w:hAnsi="仿宋" w:cs="仿宋"/>
          <w:color w:val="auto"/>
        </w:rPr>
      </w:pPr>
      <w:r>
        <w:rPr>
          <w:rFonts w:ascii="仿宋" w:eastAsia="仿宋" w:hAnsi="仿宋" w:cs="仿宋" w:hint="eastAsia"/>
          <w:color w:val="auto"/>
        </w:rPr>
        <w:t>住宅建设项目，应在建筑首层设计图纸中表达该栋建筑面积、总计容面积、不计容面积。应在标准层设计图纸中表达该层建筑面积、计容面积、不计容面积。绘制对应的面积统计示意图。</w:t>
      </w:r>
    </w:p>
    <w:p w:rsidR="00925AC4" w:rsidRDefault="00285E1E">
      <w:pPr>
        <w:numPr>
          <w:ilvl w:val="0"/>
          <w:numId w:val="96"/>
        </w:numPr>
        <w:ind w:firstLineChars="0"/>
        <w:rPr>
          <w:rFonts w:ascii="仿宋" w:eastAsia="仿宋" w:hAnsi="仿宋" w:cs="仿宋"/>
          <w:b/>
          <w:bCs/>
          <w:color w:val="auto"/>
        </w:rPr>
      </w:pPr>
      <w:r>
        <w:rPr>
          <w:rFonts w:ascii="仿宋" w:eastAsia="仿宋" w:hAnsi="仿宋" w:cs="仿宋" w:hint="eastAsia"/>
          <w:b/>
          <w:bCs/>
          <w:color w:val="auto"/>
        </w:rPr>
        <w:t>综合技术经济指标部分具体要求详见附表</w:t>
      </w:r>
      <w:r>
        <w:rPr>
          <w:rFonts w:ascii="仿宋" w:eastAsia="仿宋" w:hAnsi="仿宋" w:cs="仿宋" w:hint="eastAsia"/>
          <w:b/>
          <w:bCs/>
          <w:color w:val="auto"/>
        </w:rPr>
        <w:t>1</w:t>
      </w:r>
      <w:r>
        <w:rPr>
          <w:rFonts w:ascii="仿宋" w:eastAsia="仿宋" w:hAnsi="仿宋" w:cs="仿宋" w:hint="eastAsia"/>
          <w:b/>
          <w:bCs/>
          <w:color w:val="auto"/>
        </w:rPr>
        <w:t>。</w:t>
      </w:r>
    </w:p>
    <w:p w:rsidR="00925AC4" w:rsidRDefault="00285E1E">
      <w:pPr>
        <w:numPr>
          <w:ilvl w:val="0"/>
          <w:numId w:val="96"/>
        </w:numPr>
        <w:ind w:firstLineChars="0"/>
        <w:rPr>
          <w:rFonts w:ascii="仿宋" w:eastAsia="仿宋" w:hAnsi="仿宋" w:cs="仿宋"/>
          <w:b/>
          <w:bCs/>
          <w:color w:val="auto"/>
        </w:rPr>
      </w:pPr>
      <w:r>
        <w:rPr>
          <w:rFonts w:ascii="仿宋" w:eastAsia="仿宋" w:hAnsi="仿宋" w:cs="仿宋" w:hint="eastAsia"/>
          <w:b/>
          <w:bCs/>
          <w:color w:val="auto"/>
        </w:rPr>
        <w:t>分项技术经济指标部分具体要求详见附表</w:t>
      </w:r>
      <w:r>
        <w:rPr>
          <w:rFonts w:ascii="仿宋" w:eastAsia="仿宋" w:hAnsi="仿宋" w:cs="仿宋" w:hint="eastAsia"/>
          <w:b/>
          <w:bCs/>
          <w:color w:val="auto"/>
        </w:rPr>
        <w:t>2</w:t>
      </w:r>
      <w:r>
        <w:rPr>
          <w:rFonts w:ascii="仿宋" w:eastAsia="仿宋" w:hAnsi="仿宋" w:cs="仿宋" w:hint="eastAsia"/>
          <w:b/>
          <w:bCs/>
          <w:color w:val="auto"/>
        </w:rPr>
        <w:t>。</w:t>
      </w:r>
    </w:p>
    <w:p w:rsidR="00925AC4" w:rsidRDefault="00285E1E">
      <w:pPr>
        <w:pStyle w:val="2"/>
        <w:numPr>
          <w:ilvl w:val="0"/>
          <w:numId w:val="95"/>
        </w:numPr>
        <w:ind w:firstLineChars="0"/>
        <w:rPr>
          <w:rFonts w:ascii="仿宋" w:eastAsia="仿宋" w:hAnsi="仿宋" w:cs="仿宋"/>
          <w:color w:val="auto"/>
          <w:sz w:val="28"/>
          <w:szCs w:val="18"/>
        </w:rPr>
      </w:pPr>
      <w:r>
        <w:rPr>
          <w:rFonts w:ascii="仿宋" w:eastAsia="仿宋" w:hAnsi="仿宋" w:cs="仿宋" w:hint="eastAsia"/>
          <w:color w:val="auto"/>
          <w:sz w:val="28"/>
          <w:szCs w:val="18"/>
        </w:rPr>
        <w:lastRenderedPageBreak/>
        <w:t xml:space="preserve"> </w:t>
      </w:r>
      <w:bookmarkStart w:id="84" w:name="_Toc30893"/>
      <w:r>
        <w:rPr>
          <w:rFonts w:ascii="仿宋" w:eastAsia="仿宋" w:hAnsi="仿宋" w:cs="仿宋" w:hint="eastAsia"/>
          <w:color w:val="auto"/>
          <w:sz w:val="28"/>
          <w:szCs w:val="18"/>
        </w:rPr>
        <w:t>其他要求</w:t>
      </w:r>
      <w:bookmarkEnd w:id="84"/>
    </w:p>
    <w:p w:rsidR="00925AC4" w:rsidRDefault="00285E1E">
      <w:pPr>
        <w:numPr>
          <w:ilvl w:val="0"/>
          <w:numId w:val="100"/>
        </w:numPr>
        <w:ind w:firstLineChars="0"/>
        <w:rPr>
          <w:rFonts w:ascii="仿宋" w:eastAsia="仿宋" w:hAnsi="仿宋" w:cs="仿宋"/>
          <w:color w:val="auto"/>
        </w:rPr>
      </w:pPr>
      <w:r>
        <w:rPr>
          <w:rFonts w:ascii="仿宋" w:eastAsia="仿宋" w:hAnsi="仿宋" w:cs="仿宋" w:hint="eastAsia"/>
          <w:color w:val="auto"/>
        </w:rPr>
        <w:t>根据《行政许可法》</w:t>
      </w:r>
      <w:r>
        <w:rPr>
          <w:rFonts w:ascii="仿宋" w:eastAsia="仿宋" w:hAnsi="仿宋" w:cs="仿宋" w:hint="eastAsia"/>
          <w:color w:val="auto"/>
        </w:rPr>
        <w:t>,</w:t>
      </w:r>
      <w:r>
        <w:rPr>
          <w:rFonts w:ascii="仿宋" w:eastAsia="仿宋" w:hAnsi="仿宋" w:cs="仿宋" w:hint="eastAsia"/>
          <w:color w:val="auto"/>
        </w:rPr>
        <w:t>建设单位应当如实提交建设工程规划报建总图，并对总平面图实质内容的真实性负责。</w:t>
      </w:r>
    </w:p>
    <w:p w:rsidR="00925AC4" w:rsidRDefault="00285E1E">
      <w:pPr>
        <w:numPr>
          <w:ilvl w:val="0"/>
          <w:numId w:val="100"/>
        </w:numPr>
        <w:ind w:firstLineChars="0"/>
        <w:rPr>
          <w:rFonts w:ascii="仿宋" w:eastAsia="仿宋" w:hAnsi="仿宋" w:cs="仿宋"/>
          <w:color w:val="auto"/>
        </w:rPr>
      </w:pPr>
      <w:r>
        <w:rPr>
          <w:rFonts w:ascii="仿宋" w:eastAsia="仿宋" w:hAnsi="仿宋" w:cs="仿宋" w:hint="eastAsia"/>
          <w:color w:val="auto"/>
        </w:rPr>
        <w:t>项目设计平、立、剖图纸须与总平面图表达的有关内容完全一致。</w:t>
      </w:r>
    </w:p>
    <w:p w:rsidR="00925AC4" w:rsidRDefault="00925AC4" w:rsidP="008E7712">
      <w:pPr>
        <w:ind w:firstLine="560"/>
        <w:rPr>
          <w:rFonts w:ascii="仿宋" w:eastAsia="仿宋" w:hAnsi="仿宋" w:cs="仿宋"/>
          <w:color w:val="auto"/>
        </w:rPr>
        <w:sectPr w:rsidR="00925AC4">
          <w:footerReference w:type="default" r:id="rId56"/>
          <w:pgSz w:w="11900" w:h="16840"/>
          <w:pgMar w:top="1431" w:right="1404" w:bottom="1847" w:left="1554" w:header="0" w:footer="1581" w:gutter="0"/>
          <w:cols w:space="720"/>
        </w:sectPr>
      </w:pPr>
    </w:p>
    <w:p w:rsidR="00925AC4" w:rsidRDefault="00285E1E">
      <w:pPr>
        <w:pStyle w:val="1"/>
        <w:spacing w:line="240" w:lineRule="auto"/>
        <w:jc w:val="left"/>
        <w:rPr>
          <w:rFonts w:ascii="仿宋" w:eastAsia="仿宋" w:hAnsi="仿宋" w:cs="仿宋"/>
          <w:color w:val="0000FF"/>
        </w:rPr>
      </w:pPr>
      <w:bookmarkStart w:id="85" w:name="_bookmark21"/>
      <w:bookmarkStart w:id="86" w:name="_Toc23488"/>
      <w:bookmarkEnd w:id="85"/>
      <w:r>
        <w:rPr>
          <w:rFonts w:ascii="仿宋" w:eastAsia="仿宋" w:hAnsi="仿宋" w:cs="仿宋" w:hint="eastAsia"/>
          <w:color w:val="auto"/>
          <w:sz w:val="32"/>
          <w:szCs w:val="32"/>
        </w:rPr>
        <w:lastRenderedPageBreak/>
        <w:t>附表</w:t>
      </w:r>
      <w:r>
        <w:rPr>
          <w:rFonts w:ascii="仿宋" w:eastAsia="仿宋" w:hAnsi="仿宋" w:cs="仿宋" w:hint="eastAsia"/>
          <w:color w:val="auto"/>
          <w:sz w:val="32"/>
          <w:szCs w:val="32"/>
        </w:rPr>
        <w:t>1</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综合技术经济指标</w:t>
      </w:r>
      <w:bookmarkEnd w:id="86"/>
    </w:p>
    <w:tbl>
      <w:tblPr>
        <w:tblStyle w:val="TableNormal"/>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3"/>
        <w:gridCol w:w="10"/>
        <w:gridCol w:w="1448"/>
        <w:gridCol w:w="1429"/>
        <w:gridCol w:w="2717"/>
        <w:gridCol w:w="20"/>
        <w:gridCol w:w="659"/>
        <w:gridCol w:w="20"/>
        <w:gridCol w:w="1024"/>
      </w:tblGrid>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一、规划建设净用地面积</w:t>
            </w:r>
            <w:r>
              <w:rPr>
                <w:rFonts w:ascii="仿宋" w:eastAsia="仿宋" w:hAnsi="仿宋" w:cs="仿宋"/>
                <w:color w:val="auto"/>
              </w:rPr>
              <w:t>(</w:t>
            </w:r>
            <w:r>
              <w:rPr>
                <w:rFonts w:ascii="仿宋" w:eastAsia="仿宋" w:hAnsi="仿宋" w:cs="仿宋"/>
                <w:color w:val="auto"/>
              </w:rPr>
              <w:t>参与容积率和建筑密度计算</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2951"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二、规划总建筑面积</w:t>
            </w:r>
          </w:p>
        </w:tc>
        <w:tc>
          <w:tcPr>
            <w:tcW w:w="1429" w:type="dxa"/>
            <w:vAlign w:val="center"/>
          </w:tcPr>
          <w:p w:rsidR="00925AC4" w:rsidRDefault="00925AC4">
            <w:pPr>
              <w:pStyle w:val="ab"/>
              <w:jc w:val="center"/>
              <w:rPr>
                <w:rFonts w:ascii="仿宋" w:eastAsia="仿宋" w:hAnsi="仿宋" w:cs="仿宋" w:hint="default"/>
                <w:color w:val="auto"/>
              </w:rPr>
            </w:pPr>
          </w:p>
        </w:tc>
        <w:tc>
          <w:tcPr>
            <w:tcW w:w="2717"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用地兼容的建筑面积</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一</w:t>
            </w:r>
            <w:r>
              <w:rPr>
                <w:rFonts w:ascii="仿宋" w:eastAsia="仿宋" w:hAnsi="仿宋" w:cs="仿宋"/>
                <w:color w:val="auto"/>
              </w:rPr>
              <w:t>)</w:t>
            </w:r>
            <w:r>
              <w:rPr>
                <w:rFonts w:ascii="仿宋" w:eastAsia="仿宋" w:hAnsi="仿宋" w:cs="仿宋"/>
                <w:color w:val="auto"/>
              </w:rPr>
              <w:t>地上计入容积率的建筑面积</w:t>
            </w:r>
            <w:r>
              <w:rPr>
                <w:rFonts w:ascii="仿宋" w:eastAsia="仿宋" w:hAnsi="仿宋" w:cs="仿宋"/>
                <w:color w:val="auto"/>
              </w:rPr>
              <w:t>(</w:t>
            </w:r>
            <w:r>
              <w:rPr>
                <w:rFonts w:ascii="仿宋" w:eastAsia="仿宋" w:hAnsi="仿宋" w:cs="仿宋"/>
                <w:color w:val="auto"/>
              </w:rPr>
              <w:t>含半地下部分</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住宅建筑面积及户数：</w:t>
            </w:r>
          </w:p>
        </w:tc>
        <w:tc>
          <w:tcPr>
            <w:tcW w:w="679"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44"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户</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w:t>
            </w:r>
            <w:r>
              <w:rPr>
                <w:rFonts w:ascii="仿宋" w:eastAsia="仿宋" w:hAnsi="仿宋" w:cs="仿宋"/>
                <w:color w:val="auto"/>
              </w:rPr>
              <w:t>非住宅建筑面积</w:t>
            </w:r>
            <w:r>
              <w:rPr>
                <w:rFonts w:ascii="仿宋" w:eastAsia="仿宋" w:hAnsi="仿宋" w:cs="仿宋"/>
                <w:color w:val="auto"/>
              </w:rPr>
              <w:t>(</w:t>
            </w:r>
            <w:r>
              <w:rPr>
                <w:rFonts w:ascii="仿宋" w:eastAsia="仿宋" w:hAnsi="仿宋" w:cs="仿宋"/>
                <w:color w:val="auto"/>
              </w:rPr>
              <w:t>按建筑性质分列</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地上商业</w:t>
            </w:r>
            <w:r>
              <w:rPr>
                <w:rFonts w:ascii="仿宋" w:eastAsia="仿宋" w:hAnsi="仿宋" w:cs="仿宋"/>
                <w:color w:val="auto"/>
              </w:rPr>
              <w:t>(</w:t>
            </w:r>
            <w:r>
              <w:rPr>
                <w:rFonts w:ascii="仿宋" w:eastAsia="仿宋" w:hAnsi="仿宋" w:cs="仿宋"/>
                <w:color w:val="auto"/>
              </w:rPr>
              <w:t>或办公、酒店等</w:t>
            </w:r>
            <w:r>
              <w:rPr>
                <w:rFonts w:ascii="仿宋" w:eastAsia="仿宋" w:hAnsi="仿宋" w:cs="仿宋"/>
                <w:color w:val="auto"/>
              </w:rPr>
              <w:t>)</w:t>
            </w:r>
            <w:r>
              <w:rPr>
                <w:rFonts w:ascii="仿宋" w:eastAsia="仿宋" w:hAnsi="仿宋" w:cs="仿宋"/>
                <w:color w:val="auto"/>
              </w:rPr>
              <w:t>用房建筑面积：</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w:t>
            </w:r>
            <w:r>
              <w:rPr>
                <w:rFonts w:ascii="仿宋" w:eastAsia="仿宋" w:hAnsi="仿宋" w:cs="仿宋"/>
                <w:color w:val="auto"/>
              </w:rPr>
              <w:t>半地下商业</w:t>
            </w:r>
            <w:r>
              <w:rPr>
                <w:rFonts w:ascii="仿宋" w:eastAsia="仿宋" w:hAnsi="仿宋" w:cs="仿宋"/>
                <w:color w:val="auto"/>
              </w:rPr>
              <w:t>(</w:t>
            </w:r>
            <w:r>
              <w:rPr>
                <w:rFonts w:ascii="仿宋" w:eastAsia="仿宋" w:hAnsi="仿宋" w:cs="仿宋"/>
                <w:color w:val="auto"/>
              </w:rPr>
              <w:t>或办公、酒店等</w:t>
            </w:r>
            <w:r>
              <w:rPr>
                <w:rFonts w:ascii="仿宋" w:eastAsia="仿宋" w:hAnsi="仿宋" w:cs="仿宋"/>
                <w:color w:val="auto"/>
              </w:rPr>
              <w:t>)</w:t>
            </w:r>
            <w:r>
              <w:rPr>
                <w:rFonts w:ascii="仿宋" w:eastAsia="仿宋" w:hAnsi="仿宋" w:cs="仿宋"/>
                <w:color w:val="auto"/>
              </w:rPr>
              <w:t>用房建筑面积：</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r>
              <w:rPr>
                <w:rFonts w:ascii="仿宋" w:eastAsia="仿宋" w:hAnsi="仿宋" w:cs="仿宋"/>
                <w:color w:val="auto"/>
              </w:rPr>
              <w:t>工业厂房</w:t>
            </w:r>
          </w:p>
        </w:tc>
        <w:tc>
          <w:tcPr>
            <w:tcW w:w="1723" w:type="dxa"/>
            <w:gridSpan w:val="4"/>
            <w:vAlign w:val="center"/>
          </w:tcPr>
          <w:p w:rsidR="00925AC4" w:rsidRDefault="00925AC4">
            <w:pPr>
              <w:pStyle w:val="ab"/>
              <w:jc w:val="center"/>
              <w:rPr>
                <w:rFonts w:ascii="仿宋" w:eastAsia="仿宋" w:hAnsi="仿宋" w:cs="仿宋" w:hint="default"/>
                <w:color w:val="auto"/>
              </w:rPr>
            </w:pP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(4)xx</w:t>
            </w:r>
            <w:r>
              <w:rPr>
                <w:rFonts w:ascii="仿宋" w:eastAsia="仿宋" w:hAnsi="仿宋" w:cs="仿宋"/>
                <w:color w:val="auto"/>
              </w:rPr>
              <w:t>用房建筑面积</w:t>
            </w:r>
            <w:r>
              <w:rPr>
                <w:rFonts w:ascii="仿宋" w:eastAsia="仿宋" w:hAnsi="仿宋" w:cs="仿宋"/>
                <w:color w:val="auto"/>
              </w:rPr>
              <w:t>(</w:t>
            </w:r>
            <w:r>
              <w:rPr>
                <w:rFonts w:ascii="仿宋" w:eastAsia="仿宋" w:hAnsi="仿宋" w:cs="仿宋"/>
                <w:color w:val="auto"/>
              </w:rPr>
              <w:t>提示：类似物流中心、市场、剧场、体育馆等本表未涵盖的内容，应结合项目实际内容列出具体名称</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w:t>
            </w:r>
            <w:r>
              <w:rPr>
                <w:rFonts w:ascii="仿宋" w:eastAsia="仿宋" w:hAnsi="仿宋" w:cs="仿宋"/>
                <w:color w:val="auto"/>
              </w:rPr>
              <w:t>配套设施建筑面积；</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A</w:t>
            </w:r>
            <w:r>
              <w:rPr>
                <w:rFonts w:ascii="仿宋" w:eastAsia="仿宋" w:hAnsi="仿宋" w:cs="仿宋"/>
                <w:color w:val="auto"/>
              </w:rPr>
              <w:t>、物管用房建筑面积</w:t>
            </w:r>
            <w:r>
              <w:rPr>
                <w:rFonts w:ascii="仿宋" w:eastAsia="仿宋" w:hAnsi="仿宋" w:cs="仿宋"/>
                <w:color w:val="auto"/>
              </w:rPr>
              <w:t>(</w:t>
            </w:r>
            <w:r>
              <w:rPr>
                <w:rFonts w:ascii="仿宋" w:eastAsia="仿宋" w:hAnsi="仿宋" w:cs="仿宋"/>
                <w:color w:val="auto"/>
              </w:rPr>
              <w:t>地上</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B</w:t>
            </w:r>
            <w:r>
              <w:rPr>
                <w:rFonts w:ascii="仿宋" w:eastAsia="仿宋" w:hAnsi="仿宋" w:cs="仿宋"/>
                <w:color w:val="auto"/>
              </w:rPr>
              <w:t>、业主委员会议事活动用房</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C</w:t>
            </w:r>
            <w:r>
              <w:rPr>
                <w:rFonts w:ascii="仿宋" w:eastAsia="仿宋" w:hAnsi="仿宋" w:cs="仿宋"/>
                <w:color w:val="auto"/>
              </w:rPr>
              <w:t>、垃圾用房</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D</w:t>
            </w:r>
            <w:r>
              <w:rPr>
                <w:rFonts w:ascii="仿宋" w:eastAsia="仿宋" w:hAnsi="仿宋" w:cs="仿宋"/>
                <w:color w:val="auto"/>
              </w:rPr>
              <w:t>、其它配套用房建筑面积</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493"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其中</w:t>
            </w:r>
          </w:p>
        </w:tc>
        <w:tc>
          <w:tcPr>
            <w:tcW w:w="560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规划要求配建用房建筑面积</w:t>
            </w:r>
            <w:r>
              <w:rPr>
                <w:rFonts w:ascii="仿宋" w:eastAsia="仿宋" w:hAnsi="仿宋" w:cs="仿宋"/>
                <w:color w:val="auto"/>
              </w:rPr>
              <w:t>(</w:t>
            </w:r>
            <w:r>
              <w:rPr>
                <w:rFonts w:ascii="仿宋" w:eastAsia="仿宋" w:hAnsi="仿宋" w:cs="仿宋"/>
                <w:color w:val="auto"/>
              </w:rPr>
              <w:t>按建筑性质分列</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493" w:type="dxa"/>
            <w:vMerge/>
            <w:vAlign w:val="center"/>
          </w:tcPr>
          <w:p w:rsidR="00925AC4" w:rsidRDefault="00925AC4">
            <w:pPr>
              <w:pStyle w:val="ab"/>
              <w:jc w:val="center"/>
              <w:rPr>
                <w:rFonts w:ascii="仿宋" w:eastAsia="仿宋" w:hAnsi="仿宋" w:cs="仿宋" w:hint="default"/>
                <w:color w:val="auto"/>
              </w:rPr>
            </w:pPr>
          </w:p>
        </w:tc>
        <w:tc>
          <w:tcPr>
            <w:tcW w:w="560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xx</w:t>
            </w:r>
            <w:r>
              <w:rPr>
                <w:rFonts w:ascii="仿宋" w:eastAsia="仿宋" w:hAnsi="仿宋" w:cs="仿宋"/>
                <w:color w:val="auto"/>
              </w:rPr>
              <w:t>用房建筑面积</w:t>
            </w:r>
            <w:r>
              <w:rPr>
                <w:rFonts w:ascii="仿宋" w:eastAsia="仿宋" w:hAnsi="仿宋" w:cs="仿宋"/>
                <w:color w:val="auto"/>
              </w:rPr>
              <w:t>(</w:t>
            </w:r>
            <w:r>
              <w:rPr>
                <w:rFonts w:ascii="仿宋" w:eastAsia="仿宋" w:hAnsi="仿宋" w:cs="仿宋"/>
                <w:color w:val="auto"/>
              </w:rPr>
              <w:t>按建筑性质分列</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2951" w:type="dxa"/>
            <w:gridSpan w:val="3"/>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p w:rsidR="00925AC4" w:rsidRDefault="00285E1E">
            <w:pPr>
              <w:pStyle w:val="ab"/>
              <w:jc w:val="center"/>
              <w:rPr>
                <w:rFonts w:ascii="仿宋" w:eastAsia="仿宋" w:hAnsi="仿宋" w:cs="仿宋" w:hint="default"/>
                <w:color w:val="auto"/>
              </w:rPr>
            </w:pPr>
            <w:r>
              <w:rPr>
                <w:rFonts w:ascii="仿宋" w:eastAsia="仿宋" w:hAnsi="仿宋" w:cs="仿宋"/>
                <w:color w:val="auto"/>
              </w:rPr>
              <w:t>(6)</w:t>
            </w:r>
            <w:r>
              <w:rPr>
                <w:rFonts w:ascii="仿宋" w:eastAsia="仿宋" w:hAnsi="仿宋" w:cs="仿宋"/>
                <w:color w:val="auto"/>
              </w:rPr>
              <w:t>公共服务配套设施</w:t>
            </w:r>
          </w:p>
        </w:tc>
        <w:tc>
          <w:tcPr>
            <w:tcW w:w="4146"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xx</w:t>
            </w:r>
            <w:r>
              <w:rPr>
                <w:rFonts w:ascii="仿宋" w:eastAsia="仿宋" w:hAnsi="仿宋" w:cs="仿宋"/>
                <w:color w:val="auto"/>
              </w:rPr>
              <w:t>用房建筑面积</w:t>
            </w:r>
            <w:r>
              <w:rPr>
                <w:rFonts w:ascii="仿宋" w:eastAsia="仿宋" w:hAnsi="仿宋" w:cs="仿宋"/>
                <w:color w:val="auto"/>
              </w:rPr>
              <w:t>(</w:t>
            </w:r>
            <w:r>
              <w:rPr>
                <w:rFonts w:ascii="仿宋" w:eastAsia="仿宋" w:hAnsi="仿宋" w:cs="仿宋"/>
                <w:color w:val="auto"/>
              </w:rPr>
              <w:t>提示：类似社区服务中心、农贸市场、公厕、市政设施用房、文化活动中心、幼儿园、小学、中学、变</w:t>
            </w:r>
            <w:r>
              <w:rPr>
                <w:rFonts w:ascii="仿宋" w:eastAsia="仿宋" w:hAnsi="仿宋" w:cs="仿宋"/>
                <w:color w:val="auto"/>
              </w:rPr>
              <w:t>(</w:t>
            </w:r>
            <w:r>
              <w:rPr>
                <w:rFonts w:ascii="仿宋" w:eastAsia="仿宋" w:hAnsi="仿宋" w:cs="仿宋"/>
                <w:color w:val="auto"/>
              </w:rPr>
              <w:t>配</w:t>
            </w:r>
            <w:r>
              <w:rPr>
                <w:rFonts w:ascii="仿宋" w:eastAsia="仿宋" w:hAnsi="仿宋" w:cs="仿宋"/>
                <w:color w:val="auto"/>
              </w:rPr>
              <w:t>)</w:t>
            </w:r>
            <w:r>
              <w:rPr>
                <w:rFonts w:ascii="仿宋" w:eastAsia="仿宋" w:hAnsi="仿宋" w:cs="仿宋"/>
                <w:color w:val="auto"/>
              </w:rPr>
              <w:t>电站、开闭所等，应结合项目实际内容列出具体名称</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二</w:t>
            </w:r>
            <w:r>
              <w:rPr>
                <w:rFonts w:ascii="仿宋" w:eastAsia="仿宋" w:hAnsi="仿宋" w:cs="仿宋"/>
                <w:color w:val="auto"/>
              </w:rPr>
              <w:t>)</w:t>
            </w:r>
            <w:r>
              <w:rPr>
                <w:rFonts w:ascii="仿宋" w:eastAsia="仿宋" w:hAnsi="仿宋" w:cs="仿宋"/>
                <w:color w:val="auto"/>
              </w:rPr>
              <w:t>地上不计入容积率的建筑面积</w:t>
            </w:r>
            <w:r>
              <w:rPr>
                <w:rFonts w:ascii="仿宋" w:eastAsia="仿宋" w:hAnsi="仿宋" w:cs="仿宋"/>
                <w:color w:val="auto"/>
              </w:rPr>
              <w:t>(</w:t>
            </w:r>
            <w:r>
              <w:rPr>
                <w:rFonts w:ascii="仿宋" w:eastAsia="仿宋" w:hAnsi="仿宋" w:cs="仿宋"/>
                <w:color w:val="auto"/>
              </w:rPr>
              <w:t>含半地下</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493" w:type="dxa"/>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其中</w:t>
            </w:r>
          </w:p>
        </w:tc>
        <w:tc>
          <w:tcPr>
            <w:tcW w:w="560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首层架空部分</w:t>
            </w:r>
            <w:r>
              <w:rPr>
                <w:rFonts w:ascii="仿宋" w:eastAsia="仿宋" w:hAnsi="仿宋" w:cs="仿宋"/>
                <w:color w:val="auto"/>
              </w:rPr>
              <w:t>(</w:t>
            </w:r>
            <w:r>
              <w:rPr>
                <w:rFonts w:ascii="仿宋" w:eastAsia="仿宋" w:hAnsi="仿宋" w:cs="仿宋"/>
                <w:color w:val="auto"/>
              </w:rPr>
              <w:t>只用作绿化和公共活动空间</w:t>
            </w:r>
            <w:r>
              <w:rPr>
                <w:rFonts w:ascii="仿宋" w:eastAsia="仿宋" w:hAnsi="仿宋" w:cs="仿宋"/>
                <w:color w:val="auto"/>
              </w:rPr>
              <w:t>)</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493" w:type="dxa"/>
            <w:vMerge/>
            <w:vAlign w:val="center"/>
          </w:tcPr>
          <w:p w:rsidR="00925AC4" w:rsidRDefault="00925AC4">
            <w:pPr>
              <w:pStyle w:val="ab"/>
              <w:jc w:val="center"/>
              <w:rPr>
                <w:rFonts w:ascii="仿宋" w:eastAsia="仿宋" w:hAnsi="仿宋" w:cs="仿宋" w:hint="default"/>
                <w:color w:val="auto"/>
              </w:rPr>
            </w:pPr>
          </w:p>
        </w:tc>
        <w:tc>
          <w:tcPr>
            <w:tcW w:w="560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w:t>
            </w:r>
            <w:r>
              <w:rPr>
                <w:rFonts w:ascii="仿宋" w:eastAsia="仿宋" w:hAnsi="仿宋" w:cs="仿宋"/>
                <w:color w:val="auto"/>
              </w:rPr>
              <w:t>半地下停车库</w:t>
            </w:r>
          </w:p>
        </w:tc>
        <w:tc>
          <w:tcPr>
            <w:tcW w:w="1723"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097" w:type="dxa"/>
            <w:gridSpan w:val="5"/>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三</w:t>
            </w:r>
            <w:r>
              <w:rPr>
                <w:rFonts w:ascii="仿宋" w:eastAsia="仿宋" w:hAnsi="仿宋" w:cs="仿宋"/>
                <w:color w:val="auto"/>
              </w:rPr>
              <w:t>)</w:t>
            </w:r>
            <w:r>
              <w:rPr>
                <w:rFonts w:ascii="仿宋" w:eastAsia="仿宋" w:hAnsi="仿宋" w:cs="仿宋"/>
                <w:color w:val="auto"/>
              </w:rPr>
              <w:t>地下建筑面积及层数：</w:t>
            </w:r>
          </w:p>
        </w:tc>
        <w:tc>
          <w:tcPr>
            <w:tcW w:w="679"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44"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03" w:type="dxa"/>
            <w:gridSpan w:val="2"/>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其中</w:t>
            </w: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机动车库面积：</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503" w:type="dxa"/>
            <w:gridSpan w:val="2"/>
            <w:vMerge/>
            <w:vAlign w:val="center"/>
          </w:tcPr>
          <w:p w:rsidR="00925AC4" w:rsidRDefault="00925AC4">
            <w:pPr>
              <w:pStyle w:val="ab"/>
              <w:jc w:val="center"/>
              <w:rPr>
                <w:rFonts w:ascii="仿宋" w:eastAsia="仿宋" w:hAnsi="仿宋" w:cs="仿宋" w:hint="default"/>
                <w:color w:val="auto"/>
              </w:rPr>
            </w:pP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非机动车库面积：</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503" w:type="dxa"/>
            <w:gridSpan w:val="2"/>
            <w:vMerge/>
            <w:vAlign w:val="center"/>
          </w:tcPr>
          <w:p w:rsidR="00925AC4" w:rsidRDefault="00925AC4">
            <w:pPr>
              <w:pStyle w:val="ab"/>
              <w:jc w:val="center"/>
              <w:rPr>
                <w:rFonts w:ascii="仿宋" w:eastAsia="仿宋" w:hAnsi="仿宋" w:cs="仿宋" w:hint="default"/>
                <w:color w:val="auto"/>
              </w:rPr>
            </w:pP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r>
              <w:rPr>
                <w:rFonts w:ascii="仿宋" w:eastAsia="仿宋" w:hAnsi="仿宋" w:cs="仿宋"/>
                <w:color w:val="auto"/>
              </w:rPr>
              <w:t>设备用房面积：</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503" w:type="dxa"/>
            <w:gridSpan w:val="2"/>
            <w:vMerge/>
            <w:vAlign w:val="center"/>
          </w:tcPr>
          <w:p w:rsidR="00925AC4" w:rsidRDefault="00925AC4">
            <w:pPr>
              <w:pStyle w:val="ab"/>
              <w:jc w:val="center"/>
              <w:rPr>
                <w:rFonts w:ascii="仿宋" w:eastAsia="仿宋" w:hAnsi="仿宋" w:cs="仿宋" w:hint="default"/>
                <w:color w:val="auto"/>
              </w:rPr>
            </w:pP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w:t>
            </w:r>
            <w:r>
              <w:rPr>
                <w:rFonts w:ascii="仿宋" w:eastAsia="仿宋" w:hAnsi="仿宋" w:cs="仿宋"/>
                <w:color w:val="auto"/>
              </w:rPr>
              <w:t>其它用房面积</w:t>
            </w:r>
            <w:r>
              <w:rPr>
                <w:rFonts w:ascii="仿宋" w:eastAsia="仿宋" w:hAnsi="仿宋" w:cs="仿宋"/>
                <w:color w:val="auto"/>
              </w:rPr>
              <w:t>(</w:t>
            </w:r>
            <w:r>
              <w:rPr>
                <w:rFonts w:ascii="仿宋" w:eastAsia="仿宋" w:hAnsi="仿宋" w:cs="仿宋"/>
                <w:color w:val="auto"/>
              </w:rPr>
              <w:t>按建筑性质分列</w:t>
            </w:r>
            <w:r>
              <w:rPr>
                <w:rFonts w:ascii="仿宋" w:eastAsia="仿宋" w:hAnsi="仿宋" w:cs="仿宋"/>
                <w:color w:val="auto"/>
              </w:rPr>
              <w:t>):</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503" w:type="dxa"/>
            <w:gridSpan w:val="2"/>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lastRenderedPageBreak/>
              <w:t>三、容积率</w:t>
            </w: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总容积率：</w:t>
            </w:r>
          </w:p>
        </w:tc>
        <w:tc>
          <w:tcPr>
            <w:tcW w:w="1703" w:type="dxa"/>
            <w:gridSpan w:val="3"/>
            <w:vAlign w:val="center"/>
          </w:tcPr>
          <w:p w:rsidR="00925AC4" w:rsidRDefault="00925AC4">
            <w:pPr>
              <w:pStyle w:val="ab"/>
              <w:jc w:val="center"/>
              <w:rPr>
                <w:rFonts w:ascii="仿宋" w:eastAsia="仿宋" w:hAnsi="仿宋" w:cs="仿宋" w:hint="default"/>
                <w:color w:val="auto"/>
              </w:rPr>
            </w:pPr>
          </w:p>
        </w:tc>
      </w:tr>
      <w:tr w:rsidR="00925AC4">
        <w:trPr>
          <w:trHeight w:val="454"/>
        </w:trPr>
        <w:tc>
          <w:tcPr>
            <w:tcW w:w="1503" w:type="dxa"/>
            <w:gridSpan w:val="2"/>
            <w:vMerge/>
            <w:vAlign w:val="center"/>
          </w:tcPr>
          <w:p w:rsidR="00925AC4" w:rsidRDefault="00925AC4">
            <w:pPr>
              <w:pStyle w:val="ab"/>
              <w:jc w:val="center"/>
              <w:rPr>
                <w:rFonts w:ascii="仿宋" w:eastAsia="仿宋" w:hAnsi="仿宋" w:cs="仿宋" w:hint="default"/>
                <w:color w:val="auto"/>
              </w:rPr>
            </w:pP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住宅容积率及住宅占总容积率的比例：</w:t>
            </w:r>
          </w:p>
        </w:tc>
        <w:tc>
          <w:tcPr>
            <w:tcW w:w="679" w:type="dxa"/>
            <w:gridSpan w:val="2"/>
            <w:vAlign w:val="center"/>
          </w:tcPr>
          <w:p w:rsidR="00925AC4" w:rsidRDefault="00925AC4">
            <w:pPr>
              <w:pStyle w:val="ab"/>
              <w:jc w:val="center"/>
              <w:rPr>
                <w:rFonts w:ascii="仿宋" w:eastAsia="仿宋" w:hAnsi="仿宋" w:cs="仿宋" w:hint="default"/>
                <w:color w:val="auto"/>
              </w:rPr>
            </w:pPr>
          </w:p>
        </w:tc>
        <w:tc>
          <w:tcPr>
            <w:tcW w:w="10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1503" w:type="dxa"/>
            <w:gridSpan w:val="2"/>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四、基底面积</w:t>
            </w: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建筑基底总面积：</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503" w:type="dxa"/>
            <w:gridSpan w:val="2"/>
            <w:vMerge/>
            <w:vAlign w:val="center"/>
          </w:tcPr>
          <w:p w:rsidR="00925AC4" w:rsidRDefault="00925AC4">
            <w:pPr>
              <w:pStyle w:val="ab"/>
              <w:jc w:val="center"/>
              <w:rPr>
                <w:rFonts w:ascii="仿宋" w:eastAsia="仿宋" w:hAnsi="仿宋" w:cs="仿宋" w:hint="default"/>
                <w:color w:val="auto"/>
              </w:rPr>
            </w:pP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高层主体基底</w:t>
            </w:r>
            <w:r>
              <w:rPr>
                <w:rFonts w:ascii="仿宋" w:eastAsia="仿宋" w:hAnsi="仿宋" w:cs="仿宋"/>
                <w:color w:val="auto"/>
              </w:rPr>
              <w:t>(</w:t>
            </w:r>
            <w:r>
              <w:rPr>
                <w:rFonts w:ascii="仿宋" w:eastAsia="仿宋" w:hAnsi="仿宋" w:cs="仿宋"/>
                <w:color w:val="auto"/>
              </w:rPr>
              <w:t>基座</w:t>
            </w:r>
            <w:r>
              <w:rPr>
                <w:rFonts w:ascii="仿宋" w:eastAsia="仿宋" w:hAnsi="仿宋" w:cs="仿宋"/>
                <w:color w:val="auto"/>
              </w:rPr>
              <w:t>)</w:t>
            </w:r>
            <w:r>
              <w:rPr>
                <w:rFonts w:ascii="仿宋" w:eastAsia="仿宋" w:hAnsi="仿宋" w:cs="仿宋"/>
                <w:color w:val="auto"/>
              </w:rPr>
              <w:t>面积：</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1503" w:type="dxa"/>
            <w:gridSpan w:val="2"/>
            <w:vMerge w:val="restart"/>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五、建筑密度</w:t>
            </w: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总建筑密度：</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1503" w:type="dxa"/>
            <w:gridSpan w:val="2"/>
            <w:vMerge/>
            <w:vAlign w:val="center"/>
          </w:tcPr>
          <w:p w:rsidR="00925AC4" w:rsidRDefault="00925AC4">
            <w:pPr>
              <w:pStyle w:val="ab"/>
              <w:jc w:val="center"/>
              <w:rPr>
                <w:rFonts w:ascii="仿宋" w:eastAsia="仿宋" w:hAnsi="仿宋" w:cs="仿宋" w:hint="default"/>
                <w:color w:val="auto"/>
              </w:rPr>
            </w:pPr>
          </w:p>
        </w:tc>
        <w:tc>
          <w:tcPr>
            <w:tcW w:w="5614" w:type="dxa"/>
            <w:gridSpan w:val="4"/>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高层主体建筑密度·</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六、总绿地面积：</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其中：集中绿地面积及占规划净用地面积的比例</w:t>
            </w:r>
          </w:p>
        </w:tc>
        <w:tc>
          <w:tcPr>
            <w:tcW w:w="679"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七、绿地率：</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八、机动车位</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一</w:t>
            </w:r>
            <w:r>
              <w:rPr>
                <w:rFonts w:ascii="仿宋" w:eastAsia="仿宋" w:hAnsi="仿宋" w:cs="仿宋"/>
                <w:color w:val="auto"/>
              </w:rPr>
              <w:t>)</w:t>
            </w:r>
            <w:r>
              <w:rPr>
                <w:rFonts w:ascii="仿宋" w:eastAsia="仿宋" w:hAnsi="仿宋" w:cs="仿宋"/>
                <w:color w:val="auto"/>
              </w:rPr>
              <w:t>地上室外停车位及所占比例</w:t>
            </w:r>
          </w:p>
        </w:tc>
        <w:tc>
          <w:tcPr>
            <w:tcW w:w="679"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c>
          <w:tcPr>
            <w:tcW w:w="10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r>
              <w:rPr>
                <w:rFonts w:ascii="仿宋" w:eastAsia="仿宋" w:hAnsi="仿宋" w:cs="仿宋"/>
                <w:color w:val="auto"/>
              </w:rPr>
              <w:t>二</w:t>
            </w:r>
            <w:r>
              <w:rPr>
                <w:rFonts w:ascii="仿宋" w:eastAsia="仿宋" w:hAnsi="仿宋" w:cs="仿宋"/>
                <w:color w:val="auto"/>
              </w:rPr>
              <w:t>)</w:t>
            </w:r>
            <w:r>
              <w:rPr>
                <w:rFonts w:ascii="仿宋" w:eastAsia="仿宋" w:hAnsi="仿宋" w:cs="仿宋"/>
                <w:color w:val="auto"/>
              </w:rPr>
              <w:t>地下及半地下室内停车位</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其中：</w:t>
            </w:r>
            <w:r>
              <w:rPr>
                <w:rFonts w:ascii="仿宋" w:eastAsia="仿宋" w:hAnsi="仿宋" w:cs="仿宋"/>
                <w:color w:val="auto"/>
              </w:rPr>
              <w:t>(1)</w:t>
            </w:r>
            <w:r>
              <w:rPr>
                <w:rFonts w:ascii="仿宋" w:eastAsia="仿宋" w:hAnsi="仿宋" w:cs="仿宋"/>
                <w:color w:val="auto"/>
              </w:rPr>
              <w:t>住宅停车位：</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w:t>
            </w:r>
            <w:r>
              <w:rPr>
                <w:rFonts w:ascii="仿宋" w:eastAsia="仿宋" w:hAnsi="仿宋" w:cs="仿宋"/>
                <w:color w:val="auto"/>
              </w:rPr>
              <w:t>商业停车位：</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r>
              <w:rPr>
                <w:rFonts w:ascii="仿宋" w:eastAsia="仿宋" w:hAnsi="仿宋" w:cs="仿宋"/>
                <w:color w:val="auto"/>
              </w:rPr>
              <w:t>办公停车位</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九、非机动车位</w:t>
            </w:r>
          </w:p>
        </w:tc>
        <w:tc>
          <w:tcPr>
            <w:tcW w:w="1703" w:type="dxa"/>
            <w:gridSpan w:val="3"/>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地上室外停车位及所占比例</w:t>
            </w:r>
          </w:p>
        </w:tc>
        <w:tc>
          <w:tcPr>
            <w:tcW w:w="679"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辆</w:t>
            </w:r>
          </w:p>
        </w:tc>
        <w:tc>
          <w:tcPr>
            <w:tcW w:w="102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w:t>
            </w:r>
          </w:p>
        </w:tc>
      </w:tr>
      <w:tr w:rsidR="00925AC4">
        <w:trPr>
          <w:trHeight w:val="454"/>
        </w:trPr>
        <w:tc>
          <w:tcPr>
            <w:tcW w:w="7117" w:type="dxa"/>
            <w:gridSpan w:val="6"/>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地下及半地下室内停车位</w:t>
            </w:r>
          </w:p>
        </w:tc>
        <w:tc>
          <w:tcPr>
            <w:tcW w:w="1703" w:type="dxa"/>
            <w:gridSpan w:val="3"/>
            <w:vAlign w:val="center"/>
          </w:tcPr>
          <w:p w:rsidR="00925AC4" w:rsidRDefault="00925AC4">
            <w:pPr>
              <w:pStyle w:val="ab"/>
              <w:jc w:val="center"/>
              <w:rPr>
                <w:rFonts w:ascii="仿宋" w:eastAsia="仿宋" w:hAnsi="仿宋" w:cs="仿宋" w:hint="default"/>
                <w:color w:val="auto"/>
              </w:rPr>
            </w:pPr>
          </w:p>
        </w:tc>
      </w:tr>
      <w:tr w:rsidR="00925AC4">
        <w:trPr>
          <w:trHeight w:val="454"/>
        </w:trPr>
        <w:tc>
          <w:tcPr>
            <w:tcW w:w="8820" w:type="dxa"/>
            <w:gridSpan w:val="9"/>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备注：</w:t>
            </w:r>
            <w:r>
              <w:rPr>
                <w:rFonts w:ascii="仿宋" w:eastAsia="仿宋" w:hAnsi="仿宋" w:cs="仿宋"/>
                <w:color w:val="auto"/>
              </w:rPr>
              <w:t>1.</w:t>
            </w:r>
            <w:r>
              <w:rPr>
                <w:rFonts w:ascii="仿宋" w:eastAsia="仿宋" w:hAnsi="仿宋" w:cs="仿宋"/>
                <w:color w:val="auto"/>
              </w:rPr>
              <w:t>根据《行政许可法》</w:t>
            </w:r>
            <w:r>
              <w:rPr>
                <w:rFonts w:ascii="仿宋" w:eastAsia="仿宋" w:hAnsi="仿宋" w:cs="仿宋"/>
                <w:color w:val="auto"/>
              </w:rPr>
              <w:t>,xx</w:t>
            </w:r>
            <w:r>
              <w:rPr>
                <w:rFonts w:ascii="仿宋" w:eastAsia="仿宋" w:hAnsi="仿宋" w:cs="仿宋"/>
                <w:color w:val="auto"/>
              </w:rPr>
              <w:t>房地产开发公司</w:t>
            </w:r>
            <w:r>
              <w:rPr>
                <w:rFonts w:ascii="仿宋" w:eastAsia="仿宋" w:hAnsi="仿宋" w:cs="仿宋"/>
                <w:color w:val="auto"/>
              </w:rPr>
              <w:t>(</w:t>
            </w:r>
            <w:r>
              <w:rPr>
                <w:rFonts w:ascii="仿宋" w:eastAsia="仿宋" w:hAnsi="仿宋" w:cs="仿宋"/>
                <w:color w:val="auto"/>
              </w:rPr>
              <w:t>报建单位</w:t>
            </w:r>
            <w:r>
              <w:rPr>
                <w:rFonts w:ascii="仿宋" w:eastAsia="仿宋" w:hAnsi="仿宋" w:cs="仿宋"/>
                <w:color w:val="auto"/>
              </w:rPr>
              <w:t>)</w:t>
            </w:r>
            <w:r>
              <w:rPr>
                <w:rFonts w:ascii="仿宋" w:eastAsia="仿宋" w:hAnsi="仿宋" w:cs="仿宋"/>
                <w:color w:val="auto"/>
              </w:rPr>
              <w:t>和</w:t>
            </w:r>
            <w:r>
              <w:rPr>
                <w:rFonts w:ascii="仿宋" w:eastAsia="仿宋" w:hAnsi="仿宋" w:cs="仿宋"/>
                <w:color w:val="auto"/>
              </w:rPr>
              <w:t>xx</w:t>
            </w:r>
            <w:r>
              <w:rPr>
                <w:rFonts w:ascii="仿宋" w:eastAsia="仿宋" w:hAnsi="仿宋" w:cs="仿宋"/>
                <w:color w:val="auto"/>
              </w:rPr>
              <w:t>建筑设计研究院</w:t>
            </w:r>
            <w:r>
              <w:rPr>
                <w:rFonts w:ascii="仿宋" w:eastAsia="仿宋" w:hAnsi="仿宋" w:cs="仿宋"/>
                <w:color w:val="auto"/>
              </w:rPr>
              <w:t>(</w:t>
            </w:r>
            <w:r>
              <w:rPr>
                <w:rFonts w:ascii="仿宋" w:eastAsia="仿宋" w:hAnsi="仿宋" w:cs="仿宋"/>
                <w:color w:val="auto"/>
              </w:rPr>
              <w:t>设计单位</w:t>
            </w:r>
            <w:r>
              <w:rPr>
                <w:rFonts w:ascii="仿宋" w:eastAsia="仿宋" w:hAnsi="仿宋" w:cs="仿宋"/>
                <w:color w:val="auto"/>
              </w:rPr>
              <w:t>)</w:t>
            </w:r>
            <w:r>
              <w:rPr>
                <w:rFonts w:ascii="仿宋" w:eastAsia="仿宋" w:hAnsi="仿宋" w:cs="仿宋"/>
                <w:color w:val="auto"/>
              </w:rPr>
              <w:t>对表中指标的真实性及指标与报建图纸内容的相符一致性负责。</w:t>
            </w: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p>
    <w:p w:rsidR="00925AC4" w:rsidRDefault="00285E1E">
      <w:pPr>
        <w:pStyle w:val="ac"/>
        <w:numPr>
          <w:ilvl w:val="0"/>
          <w:numId w:val="101"/>
        </w:numPr>
        <w:ind w:firstLine="480"/>
        <w:rPr>
          <w:rFonts w:ascii="仿宋" w:eastAsia="仿宋" w:hAnsi="仿宋" w:cs="仿宋"/>
          <w:color w:val="auto"/>
        </w:rPr>
      </w:pPr>
      <w:r>
        <w:rPr>
          <w:rFonts w:ascii="仿宋" w:eastAsia="仿宋" w:hAnsi="仿宋" w:cs="仿宋" w:hint="eastAsia"/>
          <w:color w:val="auto"/>
        </w:rPr>
        <w:t>本表例举了部分可能出现的规划许可内容，建设单位应根据项目实际情况，对表格内容进行相应删减补充。</w:t>
      </w:r>
    </w:p>
    <w:p w:rsidR="00925AC4" w:rsidRDefault="00285E1E">
      <w:pPr>
        <w:pStyle w:val="ac"/>
        <w:numPr>
          <w:ilvl w:val="0"/>
          <w:numId w:val="101"/>
        </w:numPr>
        <w:ind w:firstLine="480"/>
        <w:rPr>
          <w:rFonts w:ascii="仿宋" w:eastAsia="仿宋" w:hAnsi="仿宋" w:cs="仿宋"/>
          <w:color w:val="auto"/>
        </w:rPr>
      </w:pPr>
      <w:r>
        <w:rPr>
          <w:rFonts w:ascii="仿宋" w:eastAsia="仿宋" w:hAnsi="仿宋" w:cs="仿宋" w:hint="eastAsia"/>
          <w:color w:val="auto"/>
        </w:rPr>
        <w:t>当一个项目需要分期报建时，应分别罗列出项目总指标和各分期指标。</w:t>
      </w:r>
    </w:p>
    <w:p w:rsidR="00925AC4" w:rsidRDefault="00925AC4" w:rsidP="008E7712">
      <w:pPr>
        <w:pStyle w:val="ac"/>
        <w:ind w:firstLine="480"/>
        <w:rPr>
          <w:rFonts w:ascii="仿宋" w:eastAsia="仿宋" w:hAnsi="仿宋" w:cs="仿宋"/>
          <w:color w:val="auto"/>
        </w:rPr>
      </w:pPr>
    </w:p>
    <w:p w:rsidR="00925AC4" w:rsidRDefault="00925AC4" w:rsidP="008E7712">
      <w:pPr>
        <w:pStyle w:val="ac"/>
        <w:ind w:firstLine="480"/>
        <w:rPr>
          <w:rFonts w:ascii="仿宋" w:eastAsia="仿宋" w:hAnsi="仿宋" w:cs="仿宋"/>
          <w:color w:val="auto"/>
        </w:rPr>
        <w:sectPr w:rsidR="00925AC4">
          <w:footerReference w:type="default" r:id="rId57"/>
          <w:pgSz w:w="11900" w:h="16840"/>
          <w:pgMar w:top="1431" w:right="1465" w:bottom="1849" w:left="1564" w:header="0" w:footer="1581" w:gutter="0"/>
          <w:cols w:space="720"/>
        </w:sectPr>
      </w:pPr>
    </w:p>
    <w:p w:rsidR="00925AC4" w:rsidRDefault="00285E1E">
      <w:pPr>
        <w:pStyle w:val="1"/>
        <w:spacing w:line="240" w:lineRule="auto"/>
        <w:jc w:val="left"/>
        <w:rPr>
          <w:rFonts w:ascii="仿宋" w:eastAsia="仿宋" w:hAnsi="仿宋" w:cs="仿宋"/>
          <w:color w:val="auto"/>
          <w:sz w:val="32"/>
          <w:szCs w:val="32"/>
        </w:rPr>
      </w:pPr>
      <w:bookmarkStart w:id="87" w:name="_Toc14366"/>
      <w:r>
        <w:rPr>
          <w:rFonts w:ascii="仿宋" w:eastAsia="仿宋" w:hAnsi="仿宋" w:cs="仿宋" w:hint="eastAsia"/>
          <w:color w:val="auto"/>
          <w:sz w:val="32"/>
          <w:szCs w:val="32"/>
        </w:rPr>
        <w:lastRenderedPageBreak/>
        <w:t>附表</w:t>
      </w:r>
      <w:r>
        <w:rPr>
          <w:rFonts w:ascii="仿宋" w:eastAsia="仿宋" w:hAnsi="仿宋" w:cs="仿宋" w:hint="eastAsia"/>
          <w:color w:val="auto"/>
          <w:sz w:val="32"/>
          <w:szCs w:val="32"/>
        </w:rPr>
        <w:t>2</w:t>
      </w:r>
      <w:r>
        <w:rPr>
          <w:rFonts w:ascii="仿宋" w:eastAsia="仿宋" w:hAnsi="仿宋" w:cs="仿宋" w:hint="eastAsia"/>
          <w:color w:val="auto"/>
          <w:sz w:val="32"/>
          <w:szCs w:val="32"/>
        </w:rPr>
        <w:t xml:space="preserve">  </w:t>
      </w:r>
      <w:r>
        <w:rPr>
          <w:rFonts w:ascii="仿宋" w:eastAsia="仿宋" w:hAnsi="仿宋" w:cs="仿宋" w:hint="eastAsia"/>
          <w:color w:val="auto"/>
          <w:sz w:val="32"/>
          <w:szCs w:val="32"/>
        </w:rPr>
        <w:t>分项技术经济指标</w:t>
      </w:r>
      <w:bookmarkEnd w:id="87"/>
    </w:p>
    <w:p w:rsidR="00925AC4" w:rsidRDefault="00925AC4" w:rsidP="008E7712">
      <w:pPr>
        <w:spacing w:line="47" w:lineRule="exact"/>
        <w:ind w:firstLine="560"/>
        <w:rPr>
          <w:rFonts w:ascii="仿宋" w:eastAsia="仿宋" w:hAnsi="仿宋" w:cs="仿宋"/>
          <w:color w:val="auto"/>
        </w:rPr>
      </w:pPr>
    </w:p>
    <w:tbl>
      <w:tblPr>
        <w:tblStyle w:val="TableNormal"/>
        <w:tblW w:w="49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4"/>
        <w:gridCol w:w="1046"/>
        <w:gridCol w:w="501"/>
        <w:gridCol w:w="737"/>
        <w:gridCol w:w="909"/>
        <w:gridCol w:w="1000"/>
        <w:gridCol w:w="909"/>
        <w:gridCol w:w="900"/>
        <w:gridCol w:w="646"/>
        <w:gridCol w:w="651"/>
      </w:tblGrid>
      <w:tr w:rsidR="00925AC4">
        <w:trPr>
          <w:trHeight w:val="454"/>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建筑性质</w:t>
            </w:r>
          </w:p>
        </w:tc>
        <w:tc>
          <w:tcPr>
            <w:tcW w:w="11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楼栋号</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基底面积</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总建筑面积</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计容建</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筑面积</w:t>
            </w: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不计容建</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筑面积</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单元号</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单元建</w:t>
            </w:r>
          </w:p>
          <w:p w:rsidR="00925AC4" w:rsidRDefault="00285E1E">
            <w:pPr>
              <w:pStyle w:val="ab"/>
              <w:jc w:val="center"/>
              <w:rPr>
                <w:rFonts w:ascii="仿宋" w:eastAsia="仿宋" w:hAnsi="仿宋" w:cs="仿宋" w:hint="default"/>
                <w:color w:val="auto"/>
              </w:rPr>
            </w:pPr>
            <w:r>
              <w:rPr>
                <w:rFonts w:ascii="仿宋" w:eastAsia="仿宋" w:hAnsi="仿宋" w:cs="仿宋"/>
                <w:color w:val="auto"/>
              </w:rPr>
              <w:t>筑面积</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建筑</w:t>
            </w:r>
          </w:p>
          <w:p w:rsidR="00925AC4" w:rsidRDefault="00285E1E">
            <w:pPr>
              <w:pStyle w:val="ab"/>
              <w:jc w:val="center"/>
              <w:rPr>
                <w:rFonts w:ascii="仿宋" w:eastAsia="仿宋" w:hAnsi="仿宋" w:cs="仿宋" w:hint="default"/>
                <w:color w:val="auto"/>
              </w:rPr>
            </w:pPr>
            <w:r>
              <w:rPr>
                <w:rFonts w:ascii="仿宋" w:eastAsia="仿宋" w:hAnsi="仿宋" w:cs="仿宋"/>
                <w:color w:val="auto"/>
              </w:rPr>
              <w:t>高度</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层数</w:t>
            </w:r>
          </w:p>
        </w:tc>
      </w:tr>
      <w:tr w:rsidR="00925AC4">
        <w:trPr>
          <w:trHeight w:val="454"/>
        </w:trPr>
        <w:tc>
          <w:tcPr>
            <w:tcW w:w="154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住宅</w:t>
            </w:r>
          </w:p>
        </w:tc>
        <w:tc>
          <w:tcPr>
            <w:tcW w:w="114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楼</w:t>
            </w:r>
          </w:p>
        </w:tc>
        <w:tc>
          <w:tcPr>
            <w:tcW w:w="54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14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54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80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99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09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N</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商业</w:t>
            </w:r>
          </w:p>
        </w:tc>
        <w:tc>
          <w:tcPr>
            <w:tcW w:w="114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2#</w:t>
            </w:r>
            <w:r>
              <w:rPr>
                <w:rFonts w:ascii="仿宋" w:eastAsia="仿宋" w:hAnsi="仿宋" w:cs="仿宋"/>
                <w:color w:val="auto"/>
              </w:rPr>
              <w:t>楼</w:t>
            </w:r>
          </w:p>
        </w:tc>
        <w:tc>
          <w:tcPr>
            <w:tcW w:w="54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Merge w:val="restart"/>
            <w:tcBorders>
              <w:bottom w:val="nil"/>
            </w:tcBorders>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14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54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80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99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1099" w:type="dxa"/>
            <w:vMerge/>
            <w:tcBorders>
              <w:top w:val="nil"/>
            </w:tcBorders>
            <w:vAlign w:val="center"/>
          </w:tcPr>
          <w:p w:rsidR="00925AC4" w:rsidRDefault="00925AC4">
            <w:pPr>
              <w:pStyle w:val="ab"/>
              <w:jc w:val="center"/>
              <w:rPr>
                <w:rFonts w:ascii="仿宋" w:eastAsia="仿宋" w:hAnsi="仿宋" w:cs="仿宋" w:hint="default"/>
                <w:color w:val="auto"/>
              </w:rPr>
            </w:pP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N</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办公</w:t>
            </w:r>
          </w:p>
        </w:tc>
        <w:tc>
          <w:tcPr>
            <w:tcW w:w="11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3#</w:t>
            </w:r>
            <w:r>
              <w:rPr>
                <w:rFonts w:ascii="仿宋" w:eastAsia="仿宋" w:hAnsi="仿宋" w:cs="仿宋"/>
                <w:color w:val="auto"/>
              </w:rPr>
              <w:t>楼</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综合楼</w:t>
            </w:r>
          </w:p>
        </w:tc>
        <w:tc>
          <w:tcPr>
            <w:tcW w:w="11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4#</w:t>
            </w:r>
            <w:r>
              <w:rPr>
                <w:rFonts w:ascii="仿宋" w:eastAsia="仿宋" w:hAnsi="仿宋" w:cs="仿宋"/>
                <w:color w:val="auto"/>
              </w:rPr>
              <w:t>楼</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幼儿园</w:t>
            </w:r>
          </w:p>
        </w:tc>
        <w:tc>
          <w:tcPr>
            <w:tcW w:w="11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5#</w:t>
            </w:r>
            <w:r>
              <w:rPr>
                <w:rFonts w:ascii="仿宋" w:eastAsia="仿宋" w:hAnsi="仿宋" w:cs="仿宋"/>
                <w:color w:val="auto"/>
              </w:rPr>
              <w:t>楼</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1</w:t>
            </w:r>
            <w:r>
              <w:rPr>
                <w:rFonts w:ascii="仿宋" w:eastAsia="仿宋" w:hAnsi="仿宋" w:cs="仿宋"/>
                <w:color w:val="auto"/>
              </w:rPr>
              <w:t>单元</w:t>
            </w: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商业、车库、设备用房</w:t>
            </w:r>
          </w:p>
        </w:tc>
        <w:tc>
          <w:tcPr>
            <w:tcW w:w="11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半地下室</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98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70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1543"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人防、车库、设备用房</w:t>
            </w:r>
          </w:p>
        </w:tc>
        <w:tc>
          <w:tcPr>
            <w:tcW w:w="11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地下室</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98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70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714"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层</w:t>
            </w:r>
          </w:p>
        </w:tc>
      </w:tr>
      <w:tr w:rsidR="00925AC4">
        <w:trPr>
          <w:trHeight w:val="454"/>
        </w:trPr>
        <w:tc>
          <w:tcPr>
            <w:tcW w:w="2692" w:type="dxa"/>
            <w:gridSpan w:val="2"/>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总计</w:t>
            </w:r>
          </w:p>
        </w:tc>
        <w:tc>
          <w:tcPr>
            <w:tcW w:w="54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80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1099" w:type="dxa"/>
            <w:vAlign w:val="center"/>
          </w:tcPr>
          <w:p w:rsidR="00925AC4" w:rsidRDefault="00285E1E">
            <w:pPr>
              <w:pStyle w:val="ab"/>
              <w:jc w:val="center"/>
              <w:rPr>
                <w:rFonts w:ascii="仿宋" w:eastAsia="仿宋" w:hAnsi="仿宋" w:cs="仿宋" w:hint="default"/>
                <w:color w:val="auto"/>
              </w:rPr>
            </w:pPr>
            <w:r>
              <w:rPr>
                <w:rFonts w:ascii="仿宋" w:eastAsia="仿宋" w:hAnsi="仿宋" w:cs="仿宋"/>
                <w:color w:val="auto"/>
              </w:rPr>
              <w:t>m</w:t>
            </w:r>
            <w:r>
              <w:rPr>
                <w:rFonts w:ascii="仿宋" w:eastAsia="仿宋" w:hAnsi="仿宋" w:cs="仿宋"/>
                <w:color w:val="auto"/>
              </w:rPr>
              <w:t>²</w:t>
            </w:r>
          </w:p>
        </w:tc>
        <w:tc>
          <w:tcPr>
            <w:tcW w:w="99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98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709" w:type="dxa"/>
            <w:vAlign w:val="center"/>
          </w:tcPr>
          <w:p w:rsidR="00925AC4" w:rsidRDefault="00925AC4">
            <w:pPr>
              <w:pStyle w:val="ab"/>
              <w:jc w:val="center"/>
              <w:rPr>
                <w:rFonts w:ascii="仿宋" w:eastAsia="仿宋" w:hAnsi="仿宋" w:cs="仿宋" w:hint="default"/>
                <w:color w:val="auto"/>
              </w:rPr>
            </w:pPr>
          </w:p>
          <w:p w:rsidR="00925AC4" w:rsidRDefault="00925AC4">
            <w:pPr>
              <w:pStyle w:val="ab"/>
              <w:jc w:val="center"/>
              <w:rPr>
                <w:rFonts w:ascii="仿宋" w:eastAsia="仿宋" w:hAnsi="仿宋" w:cs="仿宋" w:hint="default"/>
                <w:color w:val="auto"/>
              </w:rPr>
            </w:pPr>
          </w:p>
        </w:tc>
        <w:tc>
          <w:tcPr>
            <w:tcW w:w="714" w:type="dxa"/>
            <w:vAlign w:val="center"/>
          </w:tcPr>
          <w:p w:rsidR="00925AC4" w:rsidRDefault="00925AC4">
            <w:pPr>
              <w:pStyle w:val="ab"/>
              <w:jc w:val="center"/>
              <w:rPr>
                <w:rFonts w:ascii="仿宋" w:eastAsia="仿宋" w:hAnsi="仿宋" w:cs="仿宋" w:hint="default"/>
                <w:color w:val="auto"/>
              </w:rPr>
            </w:pPr>
          </w:p>
        </w:tc>
      </w:tr>
    </w:tbl>
    <w:p w:rsidR="00925AC4" w:rsidRDefault="00285E1E" w:rsidP="008E7712">
      <w:pPr>
        <w:pStyle w:val="ac"/>
        <w:ind w:firstLine="480"/>
        <w:rPr>
          <w:rFonts w:ascii="仿宋" w:eastAsia="仿宋" w:hAnsi="仿宋" w:cs="仿宋"/>
          <w:color w:val="auto"/>
        </w:rPr>
      </w:pPr>
      <w:r>
        <w:rPr>
          <w:rFonts w:ascii="仿宋" w:eastAsia="仿宋" w:hAnsi="仿宋" w:cs="仿宋" w:hint="eastAsia"/>
          <w:color w:val="auto"/>
        </w:rPr>
        <w:t>注：</w:t>
      </w:r>
      <w:r>
        <w:rPr>
          <w:rFonts w:ascii="仿宋" w:eastAsia="仿宋" w:hAnsi="仿宋" w:cs="仿宋" w:hint="eastAsia"/>
          <w:color w:val="auto"/>
        </w:rPr>
        <w:t>1.</w:t>
      </w:r>
      <w:r>
        <w:rPr>
          <w:rFonts w:ascii="仿宋" w:eastAsia="仿宋" w:hAnsi="仿宋" w:cs="仿宋" w:hint="eastAsia"/>
          <w:color w:val="auto"/>
        </w:rPr>
        <w:t>本表例举了部分可能出现的规划许可内容，建设单位应根据项目实际情况，对表格内容进行相应删减补充。</w:t>
      </w:r>
    </w:p>
    <w:p w:rsidR="00925AC4" w:rsidRDefault="00925AC4" w:rsidP="008E7712">
      <w:pPr>
        <w:pStyle w:val="ac"/>
        <w:ind w:firstLine="480"/>
        <w:rPr>
          <w:rFonts w:ascii="仿宋" w:eastAsia="仿宋" w:hAnsi="仿宋" w:cs="仿宋"/>
          <w:color w:val="auto"/>
        </w:rPr>
        <w:sectPr w:rsidR="00925AC4">
          <w:pgSz w:w="11900" w:h="16840"/>
          <w:pgMar w:top="1431" w:right="1465" w:bottom="1849" w:left="1564" w:header="0" w:footer="1581" w:gutter="0"/>
          <w:cols w:space="720"/>
        </w:sectPr>
      </w:pPr>
    </w:p>
    <w:p w:rsidR="00925AC4" w:rsidRDefault="00285E1E">
      <w:pPr>
        <w:pStyle w:val="1"/>
        <w:spacing w:line="240" w:lineRule="auto"/>
        <w:jc w:val="left"/>
        <w:rPr>
          <w:rFonts w:ascii="仿宋" w:eastAsia="仿宋" w:hAnsi="仿宋" w:cs="仿宋"/>
          <w:color w:val="auto"/>
          <w:sz w:val="32"/>
          <w:szCs w:val="32"/>
        </w:rPr>
      </w:pPr>
      <w:bookmarkStart w:id="88" w:name="_Toc17843"/>
      <w:r>
        <w:rPr>
          <w:rFonts w:ascii="仿宋" w:eastAsia="仿宋" w:hAnsi="仿宋" w:cs="仿宋" w:hint="eastAsia"/>
          <w:color w:val="auto"/>
          <w:sz w:val="32"/>
          <w:szCs w:val="32"/>
        </w:rPr>
        <w:lastRenderedPageBreak/>
        <w:t>附表</w:t>
      </w:r>
      <w:r>
        <w:rPr>
          <w:rFonts w:ascii="仿宋" w:eastAsia="仿宋" w:hAnsi="仿宋" w:cs="仿宋" w:hint="eastAsia"/>
          <w:color w:val="auto"/>
          <w:sz w:val="32"/>
          <w:szCs w:val="32"/>
        </w:rPr>
        <w:t>3</w:t>
      </w:r>
      <w:bookmarkEnd w:id="88"/>
    </w:p>
    <w:p w:rsidR="00925AC4" w:rsidRDefault="00285E1E">
      <w:pPr>
        <w:spacing w:before="135" w:line="190" w:lineRule="auto"/>
        <w:ind w:firstLineChars="0" w:firstLine="0"/>
        <w:jc w:val="center"/>
        <w:rPr>
          <w:rFonts w:ascii="仿宋" w:eastAsia="仿宋" w:hAnsi="仿宋" w:cs="仿宋"/>
          <w:szCs w:val="28"/>
        </w:rPr>
      </w:pPr>
      <w:r>
        <w:rPr>
          <w:rFonts w:ascii="仿宋" w:eastAsia="仿宋" w:hAnsi="仿宋" w:cs="仿宋" w:hint="eastAsia"/>
          <w:szCs w:val="28"/>
        </w:rPr>
        <w:t>表</w:t>
      </w:r>
      <w:r>
        <w:rPr>
          <w:rFonts w:ascii="仿宋" w:eastAsia="仿宋" w:hAnsi="仿宋" w:cs="仿宋" w:hint="eastAsia"/>
          <w:szCs w:val="28"/>
        </w:rPr>
        <w:t xml:space="preserve">3-1 </w:t>
      </w:r>
      <w:r>
        <w:rPr>
          <w:rFonts w:ascii="仿宋" w:eastAsia="仿宋" w:hAnsi="仿宋" w:cs="仿宋" w:hint="eastAsia"/>
          <w:szCs w:val="28"/>
        </w:rPr>
        <w:t>规划居住用地兼容性规定表</w:t>
      </w:r>
    </w:p>
    <w:tbl>
      <w:tblPr>
        <w:tblStyle w:val="TableNormal"/>
        <w:tblW w:w="4904" w:type="pct"/>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71"/>
        <w:gridCol w:w="6839"/>
      </w:tblGrid>
      <w:tr w:rsidR="00925AC4">
        <w:trPr>
          <w:trHeight w:val="454"/>
        </w:trPr>
        <w:tc>
          <w:tcPr>
            <w:tcW w:w="2016" w:type="dxa"/>
            <w:tcBorders>
              <w:left w:val="single" w:sz="4" w:space="0" w:color="000000"/>
            </w:tcBorders>
            <w:vAlign w:val="center"/>
          </w:tcPr>
          <w:p w:rsidR="00925AC4" w:rsidRDefault="00285E1E">
            <w:pPr>
              <w:spacing w:before="115" w:line="186" w:lineRule="auto"/>
              <w:ind w:firstLineChars="0" w:firstLine="0"/>
              <w:jc w:val="center"/>
              <w:rPr>
                <w:rFonts w:ascii="仿宋" w:eastAsia="仿宋" w:hAnsi="仿宋" w:cs="仿宋"/>
                <w:sz w:val="24"/>
                <w:szCs w:val="24"/>
              </w:rPr>
            </w:pPr>
            <w:r>
              <w:rPr>
                <w:rFonts w:ascii="仿宋" w:eastAsia="仿宋" w:hAnsi="仿宋" w:cs="仿宋" w:hint="eastAsia"/>
                <w:spacing w:val="-7"/>
                <w:sz w:val="24"/>
                <w:szCs w:val="24"/>
              </w:rPr>
              <w:t>主</w:t>
            </w:r>
            <w:r>
              <w:rPr>
                <w:rFonts w:ascii="仿宋" w:eastAsia="仿宋" w:hAnsi="仿宋" w:cs="仿宋" w:hint="eastAsia"/>
                <w:spacing w:val="-6"/>
                <w:sz w:val="24"/>
                <w:szCs w:val="24"/>
              </w:rPr>
              <w:t>要用地性质</w:t>
            </w:r>
          </w:p>
        </w:tc>
        <w:tc>
          <w:tcPr>
            <w:tcW w:w="7373" w:type="dxa"/>
            <w:tcBorders>
              <w:right w:val="single" w:sz="4" w:space="0" w:color="000000"/>
            </w:tcBorders>
            <w:vAlign w:val="center"/>
          </w:tcPr>
          <w:p w:rsidR="00925AC4" w:rsidRDefault="00285E1E">
            <w:pPr>
              <w:spacing w:before="115" w:line="182" w:lineRule="auto"/>
              <w:ind w:firstLineChars="0" w:firstLine="0"/>
              <w:jc w:val="center"/>
              <w:rPr>
                <w:rFonts w:ascii="仿宋" w:eastAsia="仿宋" w:hAnsi="仿宋" w:cs="仿宋"/>
                <w:sz w:val="24"/>
                <w:szCs w:val="24"/>
              </w:rPr>
            </w:pPr>
            <w:r>
              <w:rPr>
                <w:rFonts w:ascii="仿宋" w:eastAsia="仿宋" w:hAnsi="仿宋" w:cs="仿宋" w:hint="eastAsia"/>
                <w:spacing w:val="11"/>
                <w:sz w:val="24"/>
                <w:szCs w:val="24"/>
              </w:rPr>
              <w:t>城镇住宅用地</w:t>
            </w:r>
            <w:r>
              <w:rPr>
                <w:rFonts w:ascii="仿宋" w:eastAsia="仿宋" w:hAnsi="仿宋" w:cs="仿宋" w:hint="eastAsia"/>
                <w:spacing w:val="11"/>
                <w:sz w:val="24"/>
                <w:szCs w:val="24"/>
              </w:rPr>
              <w:t>(0701)</w:t>
            </w:r>
          </w:p>
        </w:tc>
      </w:tr>
      <w:tr w:rsidR="00925AC4">
        <w:trPr>
          <w:trHeight w:val="2324"/>
        </w:trPr>
        <w:tc>
          <w:tcPr>
            <w:tcW w:w="2016" w:type="dxa"/>
            <w:tcBorders>
              <w:left w:val="single" w:sz="4" w:space="0" w:color="000000"/>
            </w:tcBorders>
            <w:vAlign w:val="center"/>
          </w:tcPr>
          <w:p w:rsidR="00925AC4" w:rsidRDefault="00285E1E">
            <w:pPr>
              <w:pStyle w:val="a4"/>
              <w:ind w:firstLineChars="0" w:firstLine="0"/>
              <w:jc w:val="center"/>
              <w:rPr>
                <w:sz w:val="24"/>
                <w:szCs w:val="24"/>
              </w:rPr>
            </w:pPr>
            <w:r>
              <w:rPr>
                <w:rFonts w:hint="eastAsia"/>
                <w:sz w:val="24"/>
                <w:szCs w:val="24"/>
              </w:rPr>
              <w:t>允许兼容</w:t>
            </w:r>
          </w:p>
        </w:tc>
        <w:tc>
          <w:tcPr>
            <w:tcW w:w="7373" w:type="dxa"/>
            <w:tcBorders>
              <w:right w:val="single" w:sz="4" w:space="0" w:color="000000"/>
            </w:tcBorders>
            <w:vAlign w:val="center"/>
          </w:tcPr>
          <w:p w:rsidR="00925AC4" w:rsidRDefault="00285E1E">
            <w:pPr>
              <w:pStyle w:val="a4"/>
              <w:ind w:firstLineChars="0" w:firstLine="0"/>
              <w:rPr>
                <w:sz w:val="24"/>
                <w:szCs w:val="24"/>
              </w:rPr>
            </w:pPr>
            <w:r>
              <w:rPr>
                <w:rFonts w:hint="eastAsia"/>
                <w:sz w:val="24"/>
                <w:szCs w:val="24"/>
              </w:rPr>
              <w:t>文化用地</w:t>
            </w:r>
            <w:r>
              <w:rPr>
                <w:rFonts w:hint="eastAsia"/>
                <w:sz w:val="24"/>
                <w:szCs w:val="24"/>
              </w:rPr>
              <w:t>(0803)</w:t>
            </w:r>
            <w:r>
              <w:rPr>
                <w:rFonts w:hint="eastAsia"/>
                <w:sz w:val="24"/>
                <w:szCs w:val="24"/>
              </w:rPr>
              <w:t>、幼儿园用地</w:t>
            </w:r>
            <w:r>
              <w:rPr>
                <w:rFonts w:hint="eastAsia"/>
                <w:sz w:val="24"/>
                <w:szCs w:val="24"/>
              </w:rPr>
              <w:t>(080404)</w:t>
            </w:r>
            <w:r>
              <w:rPr>
                <w:rFonts w:hint="eastAsia"/>
                <w:sz w:val="24"/>
                <w:szCs w:val="24"/>
              </w:rPr>
              <w:t>、体育用地</w:t>
            </w:r>
            <w:r>
              <w:rPr>
                <w:rFonts w:hint="eastAsia"/>
                <w:sz w:val="24"/>
                <w:szCs w:val="24"/>
              </w:rPr>
              <w:t>(0805)</w:t>
            </w:r>
            <w:r>
              <w:rPr>
                <w:rFonts w:hint="eastAsia"/>
                <w:sz w:val="24"/>
                <w:szCs w:val="24"/>
              </w:rPr>
              <w:t>、社会福利用地</w:t>
            </w:r>
            <w:r>
              <w:rPr>
                <w:rFonts w:hint="eastAsia"/>
                <w:sz w:val="24"/>
                <w:szCs w:val="24"/>
              </w:rPr>
              <w:t>(0807)</w:t>
            </w:r>
            <w:r>
              <w:rPr>
                <w:rFonts w:hint="eastAsia"/>
                <w:sz w:val="24"/>
                <w:szCs w:val="24"/>
              </w:rPr>
              <w:t>、零售商业用地</w:t>
            </w:r>
            <w:r>
              <w:rPr>
                <w:rFonts w:hint="eastAsia"/>
                <w:sz w:val="24"/>
                <w:szCs w:val="24"/>
              </w:rPr>
              <w:t>(090101)</w:t>
            </w:r>
            <w:r>
              <w:rPr>
                <w:rFonts w:hint="eastAsia"/>
                <w:sz w:val="24"/>
                <w:szCs w:val="24"/>
              </w:rPr>
              <w:t>、餐饮用地</w:t>
            </w:r>
            <w:r>
              <w:rPr>
                <w:rFonts w:hint="eastAsia"/>
                <w:sz w:val="24"/>
                <w:szCs w:val="24"/>
              </w:rPr>
              <w:t>(090103)</w:t>
            </w:r>
            <w:r>
              <w:rPr>
                <w:rFonts w:hint="eastAsia"/>
                <w:sz w:val="24"/>
                <w:szCs w:val="24"/>
              </w:rPr>
              <w:t>、旅馆用地</w:t>
            </w:r>
            <w:r>
              <w:rPr>
                <w:rFonts w:hint="eastAsia"/>
                <w:sz w:val="24"/>
                <w:szCs w:val="24"/>
              </w:rPr>
              <w:t>(090104)</w:t>
            </w:r>
            <w:r>
              <w:rPr>
                <w:rFonts w:hint="eastAsia"/>
                <w:sz w:val="24"/>
                <w:szCs w:val="24"/>
              </w:rPr>
              <w:t>、公用设施营业网点用地</w:t>
            </w:r>
            <w:r>
              <w:rPr>
                <w:rFonts w:hint="eastAsia"/>
                <w:sz w:val="24"/>
                <w:szCs w:val="24"/>
              </w:rPr>
              <w:t>(090105)</w:t>
            </w:r>
            <w:r>
              <w:rPr>
                <w:rFonts w:hint="eastAsia"/>
                <w:sz w:val="24"/>
                <w:szCs w:val="24"/>
              </w:rPr>
              <w:t>、商务金融用地</w:t>
            </w:r>
            <w:r>
              <w:rPr>
                <w:rFonts w:hint="eastAsia"/>
                <w:sz w:val="24"/>
                <w:szCs w:val="24"/>
              </w:rPr>
              <w:t>(0902)</w:t>
            </w:r>
            <w:r>
              <w:rPr>
                <w:rFonts w:hint="eastAsia"/>
                <w:sz w:val="24"/>
                <w:szCs w:val="24"/>
              </w:rPr>
              <w:t>、娱乐康体用地</w:t>
            </w:r>
            <w:r>
              <w:rPr>
                <w:rFonts w:hint="eastAsia"/>
                <w:sz w:val="24"/>
                <w:szCs w:val="24"/>
              </w:rPr>
              <w:t>(0903)</w:t>
            </w:r>
            <w:r>
              <w:rPr>
                <w:rFonts w:hint="eastAsia"/>
                <w:sz w:val="24"/>
                <w:szCs w:val="24"/>
              </w:rPr>
              <w:t>、其他商业服务业用地</w:t>
            </w:r>
            <w:r>
              <w:rPr>
                <w:rFonts w:hint="eastAsia"/>
                <w:sz w:val="24"/>
                <w:szCs w:val="24"/>
              </w:rPr>
              <w:t>(0904)</w:t>
            </w:r>
          </w:p>
        </w:tc>
      </w:tr>
      <w:tr w:rsidR="00925AC4">
        <w:trPr>
          <w:trHeight w:val="1196"/>
        </w:trPr>
        <w:tc>
          <w:tcPr>
            <w:tcW w:w="2016" w:type="dxa"/>
            <w:tcBorders>
              <w:left w:val="single" w:sz="4" w:space="0" w:color="000000"/>
            </w:tcBorders>
            <w:vAlign w:val="center"/>
          </w:tcPr>
          <w:p w:rsidR="00925AC4" w:rsidRDefault="00285E1E">
            <w:pPr>
              <w:pStyle w:val="a4"/>
              <w:ind w:firstLineChars="0" w:firstLine="0"/>
              <w:jc w:val="center"/>
              <w:rPr>
                <w:sz w:val="24"/>
                <w:szCs w:val="24"/>
              </w:rPr>
            </w:pPr>
            <w:r>
              <w:rPr>
                <w:rFonts w:hint="eastAsia"/>
                <w:sz w:val="24"/>
                <w:szCs w:val="24"/>
              </w:rPr>
              <w:t>禁止兼容</w:t>
            </w:r>
          </w:p>
        </w:tc>
        <w:tc>
          <w:tcPr>
            <w:tcW w:w="7373" w:type="dxa"/>
            <w:tcBorders>
              <w:right w:val="single" w:sz="4" w:space="0" w:color="000000"/>
            </w:tcBorders>
            <w:vAlign w:val="center"/>
          </w:tcPr>
          <w:p w:rsidR="00925AC4" w:rsidRDefault="00285E1E">
            <w:pPr>
              <w:pStyle w:val="a4"/>
              <w:ind w:firstLineChars="0" w:firstLine="0"/>
              <w:rPr>
                <w:sz w:val="24"/>
                <w:szCs w:val="24"/>
              </w:rPr>
            </w:pPr>
            <w:r>
              <w:rPr>
                <w:rFonts w:hint="eastAsia"/>
                <w:sz w:val="24"/>
                <w:szCs w:val="24"/>
              </w:rPr>
              <w:t>机关团体用地</w:t>
            </w:r>
            <w:r>
              <w:rPr>
                <w:rFonts w:hint="eastAsia"/>
                <w:sz w:val="24"/>
                <w:szCs w:val="24"/>
              </w:rPr>
              <w:t>(0801)</w:t>
            </w:r>
            <w:r>
              <w:rPr>
                <w:rFonts w:hint="eastAsia"/>
                <w:sz w:val="24"/>
                <w:szCs w:val="24"/>
              </w:rPr>
              <w:t>、科研用地</w:t>
            </w:r>
            <w:r>
              <w:rPr>
                <w:rFonts w:hint="eastAsia"/>
                <w:sz w:val="24"/>
                <w:szCs w:val="24"/>
              </w:rPr>
              <w:t>（</w:t>
            </w:r>
            <w:r>
              <w:rPr>
                <w:rFonts w:hint="eastAsia"/>
                <w:sz w:val="24"/>
                <w:szCs w:val="24"/>
              </w:rPr>
              <w:t>0802</w:t>
            </w:r>
            <w:r>
              <w:rPr>
                <w:rFonts w:hint="eastAsia"/>
                <w:sz w:val="24"/>
                <w:szCs w:val="24"/>
              </w:rPr>
              <w:t>）、</w:t>
            </w:r>
            <w:r>
              <w:rPr>
                <w:rFonts w:hint="eastAsia"/>
                <w:sz w:val="24"/>
                <w:szCs w:val="24"/>
              </w:rPr>
              <w:t>文物古迹用地</w:t>
            </w:r>
            <w:r>
              <w:rPr>
                <w:rFonts w:hint="eastAsia"/>
                <w:sz w:val="24"/>
                <w:szCs w:val="24"/>
              </w:rPr>
              <w:t>(1504)</w:t>
            </w:r>
            <w:r>
              <w:rPr>
                <w:rFonts w:hint="eastAsia"/>
                <w:sz w:val="24"/>
                <w:szCs w:val="24"/>
              </w:rPr>
              <w:t>、批发市场用地</w:t>
            </w:r>
            <w:r>
              <w:rPr>
                <w:rFonts w:hint="eastAsia"/>
                <w:sz w:val="24"/>
                <w:szCs w:val="24"/>
              </w:rPr>
              <w:t>(090102)</w:t>
            </w:r>
            <w:r>
              <w:rPr>
                <w:rFonts w:hint="eastAsia"/>
                <w:sz w:val="24"/>
                <w:szCs w:val="24"/>
              </w:rPr>
              <w:t>、公用设施用地</w:t>
            </w:r>
            <w:r>
              <w:rPr>
                <w:rFonts w:hint="eastAsia"/>
                <w:sz w:val="24"/>
                <w:szCs w:val="24"/>
              </w:rPr>
              <w:t>(</w:t>
            </w:r>
            <w:r>
              <w:rPr>
                <w:rFonts w:hint="eastAsia"/>
                <w:sz w:val="24"/>
                <w:szCs w:val="24"/>
                <w:lang w:val="en-US"/>
              </w:rPr>
              <w:t>13</w:t>
            </w:r>
            <w:r>
              <w:rPr>
                <w:rFonts w:hint="eastAsia"/>
                <w:sz w:val="24"/>
                <w:szCs w:val="24"/>
              </w:rPr>
              <w:t>)</w:t>
            </w:r>
            <w:r>
              <w:rPr>
                <w:rFonts w:hint="eastAsia"/>
                <w:sz w:val="24"/>
                <w:szCs w:val="24"/>
              </w:rPr>
              <w:t>、工业用地</w:t>
            </w:r>
            <w:r>
              <w:rPr>
                <w:rFonts w:hint="eastAsia"/>
                <w:sz w:val="24"/>
                <w:szCs w:val="24"/>
              </w:rPr>
              <w:t>(1001)</w:t>
            </w:r>
            <w:r>
              <w:rPr>
                <w:rFonts w:hint="eastAsia"/>
                <w:sz w:val="24"/>
                <w:szCs w:val="24"/>
              </w:rPr>
              <w:t>、物流仓储用地</w:t>
            </w:r>
            <w:r>
              <w:rPr>
                <w:rFonts w:hint="eastAsia"/>
                <w:sz w:val="24"/>
                <w:szCs w:val="24"/>
              </w:rPr>
              <w:t>(11)</w:t>
            </w:r>
          </w:p>
        </w:tc>
      </w:tr>
    </w:tbl>
    <w:p w:rsidR="00925AC4" w:rsidRDefault="00925AC4">
      <w:pPr>
        <w:pStyle w:val="ac"/>
        <w:ind w:firstLineChars="0" w:firstLine="0"/>
        <w:rPr>
          <w:rFonts w:ascii="仿宋" w:eastAsia="仿宋" w:hAnsi="仿宋" w:cs="仿宋"/>
          <w:color w:val="auto"/>
        </w:rPr>
        <w:sectPr w:rsidR="00925AC4">
          <w:pgSz w:w="11900" w:h="16840"/>
          <w:pgMar w:top="1431" w:right="1465" w:bottom="1849" w:left="1564" w:header="0" w:footer="1581" w:gutter="0"/>
          <w:cols w:space="720"/>
        </w:sectPr>
      </w:pPr>
    </w:p>
    <w:p w:rsidR="00925AC4" w:rsidRDefault="00285E1E">
      <w:pPr>
        <w:spacing w:before="135" w:line="190" w:lineRule="auto"/>
        <w:ind w:firstLineChars="0" w:firstLine="0"/>
        <w:jc w:val="center"/>
        <w:rPr>
          <w:rFonts w:ascii="仿宋" w:eastAsia="仿宋" w:hAnsi="仿宋" w:cs="仿宋"/>
          <w:szCs w:val="28"/>
        </w:rPr>
      </w:pPr>
      <w:r>
        <w:rPr>
          <w:rFonts w:ascii="仿宋" w:eastAsia="仿宋" w:hAnsi="仿宋" w:cs="仿宋" w:hint="eastAsia"/>
          <w:szCs w:val="28"/>
        </w:rPr>
        <w:lastRenderedPageBreak/>
        <w:t>表</w:t>
      </w:r>
      <w:r>
        <w:rPr>
          <w:rFonts w:ascii="仿宋" w:eastAsia="仿宋" w:hAnsi="仿宋" w:cs="仿宋" w:hint="eastAsia"/>
          <w:szCs w:val="28"/>
        </w:rPr>
        <w:t xml:space="preserve">3-2  </w:t>
      </w:r>
      <w:r>
        <w:rPr>
          <w:rFonts w:ascii="仿宋" w:eastAsia="仿宋" w:hAnsi="仿宋" w:cs="仿宋" w:hint="eastAsia"/>
          <w:szCs w:val="28"/>
        </w:rPr>
        <w:t>规划公共管理与公共服务用地</w:t>
      </w:r>
      <w:r>
        <w:rPr>
          <w:rFonts w:ascii="仿宋" w:eastAsia="仿宋" w:hAnsi="仿宋" w:cs="仿宋" w:hint="eastAsia"/>
          <w:szCs w:val="28"/>
        </w:rPr>
        <w:t>与</w:t>
      </w:r>
      <w:r>
        <w:rPr>
          <w:rFonts w:ascii="仿宋" w:eastAsia="仿宋" w:hAnsi="仿宋" w:cs="仿宋" w:hint="eastAsia"/>
          <w:szCs w:val="28"/>
        </w:rPr>
        <w:t>商业服务业用地兼容性规定表</w:t>
      </w:r>
    </w:p>
    <w:tbl>
      <w:tblPr>
        <w:tblStyle w:val="TableNormal"/>
        <w:tblW w:w="4900" w:type="pct"/>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0"/>
        <w:gridCol w:w="980"/>
        <w:gridCol w:w="1034"/>
        <w:gridCol w:w="967"/>
        <w:gridCol w:w="1639"/>
        <w:gridCol w:w="1175"/>
        <w:gridCol w:w="1250"/>
        <w:gridCol w:w="1198"/>
      </w:tblGrid>
      <w:tr w:rsidR="00925AC4">
        <w:trPr>
          <w:trHeight w:val="2454"/>
        </w:trPr>
        <w:tc>
          <w:tcPr>
            <w:tcW w:w="496" w:type="dxa"/>
            <w:tcBorders>
              <w:left w:val="single" w:sz="4" w:space="0" w:color="000000"/>
            </w:tcBorders>
            <w:vAlign w:val="center"/>
          </w:tcPr>
          <w:p w:rsidR="00925AC4" w:rsidRDefault="00285E1E">
            <w:pPr>
              <w:spacing w:before="92" w:line="255" w:lineRule="auto"/>
              <w:ind w:right="35" w:firstLineChars="0" w:firstLine="0"/>
              <w:jc w:val="center"/>
              <w:rPr>
                <w:rFonts w:ascii="仿宋" w:eastAsia="仿宋" w:hAnsi="仿宋" w:cs="仿宋"/>
                <w:sz w:val="21"/>
              </w:rPr>
            </w:pPr>
            <w:r>
              <w:rPr>
                <w:rFonts w:ascii="仿宋" w:eastAsia="仿宋" w:hAnsi="仿宋" w:cs="仿宋" w:hint="eastAsia"/>
                <w:spacing w:val="-11"/>
                <w:sz w:val="21"/>
              </w:rPr>
              <w:t>主</w:t>
            </w:r>
            <w:r>
              <w:rPr>
                <w:rFonts w:ascii="仿宋" w:eastAsia="仿宋" w:hAnsi="仿宋" w:cs="仿宋" w:hint="eastAsia"/>
                <w:spacing w:val="-9"/>
                <w:sz w:val="21"/>
              </w:rPr>
              <w:t>要</w:t>
            </w:r>
            <w:r>
              <w:rPr>
                <w:rFonts w:ascii="仿宋" w:eastAsia="仿宋" w:hAnsi="仿宋" w:cs="仿宋" w:hint="eastAsia"/>
                <w:sz w:val="21"/>
              </w:rPr>
              <w:t xml:space="preserve"> </w:t>
            </w:r>
            <w:r>
              <w:rPr>
                <w:rFonts w:ascii="仿宋" w:eastAsia="仿宋" w:hAnsi="仿宋" w:cs="仿宋" w:hint="eastAsia"/>
                <w:spacing w:val="-8"/>
                <w:sz w:val="21"/>
              </w:rPr>
              <w:t>用</w:t>
            </w:r>
            <w:r>
              <w:rPr>
                <w:rFonts w:ascii="仿宋" w:eastAsia="仿宋" w:hAnsi="仿宋" w:cs="仿宋" w:hint="eastAsia"/>
                <w:spacing w:val="-6"/>
                <w:sz w:val="21"/>
              </w:rPr>
              <w:t>地</w:t>
            </w:r>
            <w:r>
              <w:rPr>
                <w:rFonts w:ascii="仿宋" w:eastAsia="仿宋" w:hAnsi="仿宋" w:cs="仿宋" w:hint="eastAsia"/>
                <w:sz w:val="21"/>
              </w:rPr>
              <w:t xml:space="preserve"> </w:t>
            </w:r>
            <w:r>
              <w:rPr>
                <w:rFonts w:ascii="仿宋" w:eastAsia="仿宋" w:hAnsi="仿宋" w:cs="仿宋" w:hint="eastAsia"/>
                <w:spacing w:val="-8"/>
                <w:sz w:val="21"/>
              </w:rPr>
              <w:t>性</w:t>
            </w:r>
            <w:r>
              <w:rPr>
                <w:rFonts w:ascii="仿宋" w:eastAsia="仿宋" w:hAnsi="仿宋" w:cs="仿宋" w:hint="eastAsia"/>
                <w:spacing w:val="-6"/>
                <w:sz w:val="21"/>
              </w:rPr>
              <w:t>质</w:t>
            </w:r>
          </w:p>
        </w:tc>
        <w:tc>
          <w:tcPr>
            <w:tcW w:w="1062" w:type="dxa"/>
            <w:vAlign w:val="center"/>
          </w:tcPr>
          <w:p w:rsidR="00925AC4" w:rsidRDefault="00285E1E">
            <w:pPr>
              <w:spacing w:before="92" w:line="248" w:lineRule="auto"/>
              <w:ind w:right="10" w:firstLineChars="0" w:firstLine="0"/>
              <w:jc w:val="center"/>
              <w:rPr>
                <w:rFonts w:ascii="仿宋" w:eastAsia="仿宋" w:hAnsi="仿宋" w:cs="仿宋"/>
                <w:sz w:val="21"/>
              </w:rPr>
            </w:pPr>
            <w:r>
              <w:rPr>
                <w:rFonts w:ascii="仿宋" w:eastAsia="仿宋" w:hAnsi="仿宋" w:cs="仿宋" w:hint="eastAsia"/>
                <w:sz w:val="21"/>
              </w:rPr>
              <w:t>机关团体用地</w:t>
            </w:r>
            <w:r>
              <w:rPr>
                <w:rFonts w:ascii="仿宋" w:eastAsia="仿宋" w:hAnsi="仿宋" w:cs="仿宋" w:hint="eastAsia"/>
                <w:sz w:val="21"/>
              </w:rPr>
              <w:t>(0801)</w:t>
            </w:r>
          </w:p>
        </w:tc>
        <w:tc>
          <w:tcPr>
            <w:tcW w:w="1120" w:type="dxa"/>
            <w:vAlign w:val="center"/>
          </w:tcPr>
          <w:p w:rsidR="00925AC4" w:rsidRDefault="00285E1E">
            <w:pPr>
              <w:spacing w:before="92" w:line="248" w:lineRule="auto"/>
              <w:ind w:right="38" w:firstLineChars="0" w:firstLine="0"/>
              <w:jc w:val="center"/>
              <w:rPr>
                <w:rFonts w:ascii="仿宋" w:eastAsia="仿宋" w:hAnsi="仿宋" w:cs="仿宋"/>
                <w:sz w:val="21"/>
              </w:rPr>
            </w:pPr>
            <w:r>
              <w:rPr>
                <w:rFonts w:ascii="仿宋" w:eastAsia="仿宋" w:hAnsi="仿宋" w:cs="仿宋" w:hint="eastAsia"/>
                <w:spacing w:val="18"/>
                <w:sz w:val="21"/>
              </w:rPr>
              <w:t>文化用地</w:t>
            </w:r>
            <w:r>
              <w:rPr>
                <w:rFonts w:ascii="仿宋" w:eastAsia="仿宋" w:hAnsi="仿宋" w:cs="仿宋" w:hint="eastAsia"/>
                <w:spacing w:val="9"/>
                <w:sz w:val="21"/>
              </w:rPr>
              <w:t>(0803)</w:t>
            </w:r>
          </w:p>
        </w:tc>
        <w:tc>
          <w:tcPr>
            <w:tcW w:w="1048" w:type="dxa"/>
            <w:vAlign w:val="center"/>
          </w:tcPr>
          <w:p w:rsidR="00925AC4" w:rsidRDefault="00285E1E">
            <w:pPr>
              <w:spacing w:before="83" w:line="265" w:lineRule="auto"/>
              <w:ind w:firstLineChars="0" w:firstLine="0"/>
              <w:jc w:val="center"/>
              <w:rPr>
                <w:rFonts w:ascii="仿宋" w:eastAsia="仿宋" w:hAnsi="仿宋" w:cs="仿宋"/>
                <w:sz w:val="21"/>
              </w:rPr>
            </w:pPr>
            <w:r>
              <w:rPr>
                <w:rFonts w:ascii="仿宋" w:eastAsia="仿宋" w:hAnsi="仿宋" w:cs="仿宋" w:hint="eastAsia"/>
                <w:spacing w:val="9"/>
                <w:sz w:val="21"/>
              </w:rPr>
              <w:t>教育用地</w:t>
            </w:r>
            <w:r>
              <w:rPr>
                <w:rFonts w:ascii="仿宋" w:eastAsia="仿宋" w:hAnsi="仿宋" w:cs="仿宋" w:hint="eastAsia"/>
                <w:spacing w:val="9"/>
                <w:sz w:val="21"/>
              </w:rPr>
              <w:t>(0804)</w:t>
            </w:r>
          </w:p>
          <w:p w:rsidR="00925AC4" w:rsidRDefault="00285E1E">
            <w:pPr>
              <w:spacing w:line="269" w:lineRule="auto"/>
              <w:ind w:firstLineChars="0" w:firstLine="0"/>
              <w:jc w:val="center"/>
              <w:rPr>
                <w:rFonts w:ascii="仿宋" w:eastAsia="仿宋" w:hAnsi="仿宋" w:cs="仿宋"/>
                <w:sz w:val="21"/>
              </w:rPr>
            </w:pPr>
            <w:r>
              <w:rPr>
                <w:rFonts w:ascii="仿宋" w:eastAsia="仿宋" w:hAnsi="仿宋" w:cs="仿宋" w:hint="eastAsia"/>
                <w:spacing w:val="-5"/>
                <w:sz w:val="21"/>
              </w:rPr>
              <w:t>〔</w:t>
            </w:r>
            <w:r>
              <w:rPr>
                <w:rFonts w:ascii="仿宋" w:eastAsia="仿宋" w:hAnsi="仿宋" w:cs="仿宋" w:hint="eastAsia"/>
                <w:spacing w:val="-3"/>
                <w:sz w:val="21"/>
              </w:rPr>
              <w:t>中小学</w:t>
            </w:r>
            <w:r>
              <w:rPr>
                <w:rFonts w:ascii="仿宋" w:eastAsia="仿宋" w:hAnsi="仿宋" w:cs="仿宋" w:hint="eastAsia"/>
                <w:sz w:val="21"/>
              </w:rPr>
              <w:t xml:space="preserve">    </w:t>
            </w:r>
            <w:r>
              <w:rPr>
                <w:rFonts w:ascii="仿宋" w:eastAsia="仿宋" w:hAnsi="仿宋" w:cs="仿宋" w:hint="eastAsia"/>
                <w:spacing w:val="5"/>
                <w:sz w:val="21"/>
              </w:rPr>
              <w:t>用地</w:t>
            </w:r>
            <w:r>
              <w:rPr>
                <w:rFonts w:ascii="仿宋" w:eastAsia="仿宋" w:hAnsi="仿宋" w:cs="仿宋" w:hint="eastAsia"/>
                <w:spacing w:val="5"/>
                <w:sz w:val="21"/>
              </w:rPr>
              <w:t>(080403)</w:t>
            </w:r>
          </w:p>
          <w:p w:rsidR="00925AC4" w:rsidRDefault="00285E1E">
            <w:pPr>
              <w:spacing w:before="1" w:line="184" w:lineRule="auto"/>
              <w:ind w:firstLineChars="0" w:firstLine="0"/>
              <w:jc w:val="center"/>
              <w:rPr>
                <w:rFonts w:ascii="仿宋" w:eastAsia="仿宋" w:hAnsi="仿宋" w:cs="仿宋"/>
                <w:sz w:val="21"/>
              </w:rPr>
            </w:pPr>
            <w:r>
              <w:rPr>
                <w:rFonts w:ascii="仿宋" w:eastAsia="仿宋" w:hAnsi="仿宋" w:cs="仿宋" w:hint="eastAsia"/>
                <w:spacing w:val="-14"/>
                <w:sz w:val="21"/>
              </w:rPr>
              <w:t>除</w:t>
            </w:r>
            <w:r>
              <w:rPr>
                <w:rFonts w:ascii="仿宋" w:eastAsia="仿宋" w:hAnsi="仿宋" w:cs="仿宋" w:hint="eastAsia"/>
                <w:spacing w:val="-12"/>
                <w:sz w:val="21"/>
              </w:rPr>
              <w:t>外〕</w:t>
            </w:r>
          </w:p>
        </w:tc>
        <w:tc>
          <w:tcPr>
            <w:tcW w:w="1777" w:type="dxa"/>
            <w:vAlign w:val="center"/>
          </w:tcPr>
          <w:p w:rsidR="00925AC4" w:rsidRDefault="00285E1E">
            <w:pPr>
              <w:spacing w:before="87" w:line="254" w:lineRule="auto"/>
              <w:ind w:firstLineChars="0" w:firstLine="0"/>
              <w:jc w:val="center"/>
              <w:rPr>
                <w:rFonts w:ascii="仿宋" w:eastAsia="仿宋" w:hAnsi="仿宋" w:cs="仿宋"/>
                <w:sz w:val="21"/>
              </w:rPr>
            </w:pPr>
            <w:r>
              <w:rPr>
                <w:rFonts w:ascii="仿宋" w:eastAsia="仿宋" w:hAnsi="仿宋" w:cs="仿宋" w:hint="eastAsia"/>
                <w:spacing w:val="1"/>
                <w:sz w:val="21"/>
              </w:rPr>
              <w:t>商业用地</w:t>
            </w:r>
            <w:r>
              <w:rPr>
                <w:rFonts w:ascii="仿宋" w:eastAsia="仿宋" w:hAnsi="仿宋" w:cs="仿宋" w:hint="eastAsia"/>
                <w:spacing w:val="1"/>
                <w:sz w:val="21"/>
              </w:rPr>
              <w:t>(0901)</w:t>
            </w:r>
            <w:r>
              <w:rPr>
                <w:rFonts w:ascii="仿宋" w:eastAsia="仿宋" w:hAnsi="仿宋" w:cs="仿宋" w:hint="eastAsia"/>
                <w:spacing w:val="1"/>
                <w:sz w:val="21"/>
              </w:rPr>
              <w:t>〔批</w:t>
            </w:r>
            <w:r>
              <w:rPr>
                <w:rFonts w:ascii="仿宋" w:eastAsia="仿宋" w:hAnsi="仿宋" w:cs="仿宋" w:hint="eastAsia"/>
                <w:spacing w:val="7"/>
                <w:sz w:val="21"/>
              </w:rPr>
              <w:t>发市场用地</w:t>
            </w:r>
            <w:r>
              <w:rPr>
                <w:rFonts w:ascii="仿宋" w:eastAsia="仿宋" w:hAnsi="仿宋" w:cs="仿宋" w:hint="eastAsia"/>
                <w:spacing w:val="7"/>
                <w:sz w:val="21"/>
              </w:rPr>
              <w:t>(090102</w:t>
            </w:r>
            <w:r>
              <w:rPr>
                <w:rFonts w:ascii="仿宋" w:eastAsia="仿宋" w:hAnsi="仿宋" w:cs="仿宋" w:hint="eastAsia"/>
                <w:spacing w:val="6"/>
                <w:sz w:val="21"/>
              </w:rPr>
              <w:t>)</w:t>
            </w:r>
            <w:r>
              <w:rPr>
                <w:rFonts w:ascii="仿宋" w:eastAsia="仿宋" w:hAnsi="仿宋" w:cs="仿宋" w:hint="eastAsia"/>
                <w:spacing w:val="-21"/>
                <w:sz w:val="21"/>
              </w:rPr>
              <w:t>除</w:t>
            </w:r>
            <w:r>
              <w:rPr>
                <w:rFonts w:ascii="仿宋" w:eastAsia="仿宋" w:hAnsi="仿宋" w:cs="仿宋" w:hint="eastAsia"/>
                <w:spacing w:val="-19"/>
                <w:sz w:val="21"/>
              </w:rPr>
              <w:t>外〕、商务金融用地</w:t>
            </w:r>
            <w:r>
              <w:rPr>
                <w:rFonts w:ascii="仿宋" w:eastAsia="仿宋" w:hAnsi="仿宋" w:cs="仿宋" w:hint="eastAsia"/>
                <w:spacing w:val="-19"/>
                <w:sz w:val="21"/>
              </w:rPr>
              <w:t>(0902)</w:t>
            </w:r>
            <w:r>
              <w:rPr>
                <w:rFonts w:ascii="仿宋" w:eastAsia="仿宋" w:hAnsi="仿宋" w:cs="仿宋" w:hint="eastAsia"/>
                <w:spacing w:val="-3"/>
                <w:sz w:val="21"/>
              </w:rPr>
              <w:t>、娱乐康体用地</w:t>
            </w:r>
            <w:r>
              <w:rPr>
                <w:rFonts w:ascii="仿宋" w:eastAsia="仿宋" w:hAnsi="仿宋" w:cs="仿宋" w:hint="eastAsia"/>
                <w:spacing w:val="-3"/>
                <w:sz w:val="21"/>
              </w:rPr>
              <w:t>(0903)</w:t>
            </w:r>
            <w:r>
              <w:rPr>
                <w:rFonts w:ascii="仿宋" w:eastAsia="仿宋" w:hAnsi="仿宋" w:cs="仿宋" w:hint="eastAsia"/>
                <w:spacing w:val="-3"/>
                <w:sz w:val="21"/>
              </w:rPr>
              <w:t>、其他商业服务业用地</w:t>
            </w:r>
            <w:r>
              <w:rPr>
                <w:rFonts w:ascii="仿宋" w:eastAsia="仿宋" w:hAnsi="仿宋" w:cs="仿宋" w:hint="eastAsia"/>
                <w:spacing w:val="23"/>
                <w:sz w:val="21"/>
              </w:rPr>
              <w:t>(0904)</w:t>
            </w:r>
          </w:p>
        </w:tc>
        <w:tc>
          <w:tcPr>
            <w:tcW w:w="1273" w:type="dxa"/>
            <w:vAlign w:val="center"/>
          </w:tcPr>
          <w:p w:rsidR="00925AC4" w:rsidRDefault="00285E1E">
            <w:pPr>
              <w:tabs>
                <w:tab w:val="left" w:pos="335"/>
              </w:tabs>
              <w:spacing w:before="83" w:line="167" w:lineRule="auto"/>
              <w:ind w:firstLineChars="0" w:firstLine="0"/>
              <w:jc w:val="center"/>
              <w:rPr>
                <w:rFonts w:ascii="仿宋" w:eastAsia="仿宋" w:hAnsi="仿宋" w:cs="仿宋"/>
                <w:sz w:val="21"/>
              </w:rPr>
            </w:pPr>
            <w:r>
              <w:rPr>
                <w:rFonts w:ascii="仿宋" w:eastAsia="仿宋" w:hAnsi="仿宋" w:cs="仿宋" w:hint="eastAsia"/>
                <w:sz w:val="21"/>
              </w:rPr>
              <w:t>批发市场用地</w:t>
            </w:r>
            <w:r>
              <w:rPr>
                <w:rFonts w:ascii="仿宋" w:eastAsia="仿宋" w:hAnsi="仿宋" w:cs="仿宋" w:hint="eastAsia"/>
                <w:sz w:val="21"/>
              </w:rPr>
              <w:t>(090102)</w:t>
            </w:r>
          </w:p>
        </w:tc>
        <w:tc>
          <w:tcPr>
            <w:tcW w:w="1355" w:type="dxa"/>
            <w:vAlign w:val="center"/>
          </w:tcPr>
          <w:p w:rsidR="00925AC4" w:rsidRDefault="00285E1E">
            <w:pPr>
              <w:tabs>
                <w:tab w:val="left" w:pos="118"/>
              </w:tabs>
              <w:spacing w:before="119"/>
              <w:ind w:right="3" w:firstLineChars="0" w:firstLine="0"/>
              <w:jc w:val="center"/>
              <w:rPr>
                <w:rFonts w:ascii="仿宋" w:eastAsia="仿宋" w:hAnsi="仿宋" w:cs="仿宋"/>
                <w:sz w:val="21"/>
              </w:rPr>
            </w:pPr>
            <w:r>
              <w:rPr>
                <w:rFonts w:ascii="仿宋" w:eastAsia="仿宋" w:hAnsi="仿宋" w:cs="仿宋" w:hint="eastAsia"/>
                <w:spacing w:val="-9"/>
                <w:sz w:val="21"/>
              </w:rPr>
              <w:t>中</w:t>
            </w:r>
            <w:r>
              <w:rPr>
                <w:rFonts w:ascii="仿宋" w:eastAsia="仿宋" w:hAnsi="仿宋" w:cs="仿宋" w:hint="eastAsia"/>
                <w:spacing w:val="-8"/>
                <w:sz w:val="21"/>
              </w:rPr>
              <w:t>小学用地</w:t>
            </w:r>
            <w:r>
              <w:rPr>
                <w:rFonts w:ascii="仿宋" w:eastAsia="仿宋" w:hAnsi="仿宋" w:cs="仿宋" w:hint="eastAsia"/>
                <w:sz w:val="21"/>
              </w:rPr>
              <w:t xml:space="preserve">  </w:t>
            </w:r>
            <w:r>
              <w:rPr>
                <w:rFonts w:ascii="仿宋" w:eastAsia="仿宋" w:hAnsi="仿宋" w:cs="仿宋" w:hint="eastAsia"/>
                <w:sz w:val="21"/>
              </w:rPr>
              <w:tab/>
            </w:r>
            <w:r>
              <w:rPr>
                <w:rFonts w:ascii="仿宋" w:eastAsia="仿宋" w:hAnsi="仿宋" w:cs="仿宋" w:hint="eastAsia"/>
                <w:spacing w:val="-6"/>
                <w:sz w:val="21"/>
              </w:rPr>
              <w:t>(</w:t>
            </w:r>
            <w:r>
              <w:rPr>
                <w:rFonts w:ascii="仿宋" w:eastAsia="仿宋" w:hAnsi="仿宋" w:cs="仿宋" w:hint="eastAsia"/>
                <w:spacing w:val="5"/>
                <w:sz w:val="21"/>
              </w:rPr>
              <w:t>080403</w:t>
            </w:r>
            <w:r>
              <w:rPr>
                <w:rFonts w:ascii="仿宋" w:eastAsia="仿宋" w:hAnsi="仿宋" w:cs="仿宋" w:hint="eastAsia"/>
                <w:spacing w:val="-3"/>
                <w:sz w:val="21"/>
              </w:rPr>
              <w:t>)</w:t>
            </w:r>
            <w:r>
              <w:rPr>
                <w:rFonts w:ascii="仿宋" w:eastAsia="仿宋" w:hAnsi="仿宋" w:cs="仿宋" w:hint="eastAsia"/>
                <w:spacing w:val="-3"/>
                <w:sz w:val="21"/>
              </w:rPr>
              <w:t>、体育</w:t>
            </w:r>
            <w:r>
              <w:rPr>
                <w:rFonts w:ascii="仿宋" w:eastAsia="仿宋" w:hAnsi="仿宋" w:cs="仿宋" w:hint="eastAsia"/>
                <w:spacing w:val="-2"/>
                <w:sz w:val="21"/>
              </w:rPr>
              <w:t>用地</w:t>
            </w:r>
            <w:r>
              <w:rPr>
                <w:rFonts w:ascii="仿宋" w:eastAsia="仿宋" w:hAnsi="仿宋" w:cs="仿宋" w:hint="eastAsia"/>
                <w:spacing w:val="-2"/>
                <w:sz w:val="21"/>
              </w:rPr>
              <w:t>(0805</w:t>
            </w:r>
            <w:r>
              <w:rPr>
                <w:rFonts w:ascii="仿宋" w:eastAsia="仿宋" w:hAnsi="仿宋" w:cs="仿宋" w:hint="eastAsia"/>
                <w:spacing w:val="-1"/>
                <w:sz w:val="21"/>
              </w:rPr>
              <w:t>)</w:t>
            </w:r>
            <w:r>
              <w:rPr>
                <w:rFonts w:ascii="仿宋" w:eastAsia="仿宋" w:hAnsi="仿宋" w:cs="仿宋" w:hint="eastAsia"/>
                <w:spacing w:val="-1"/>
                <w:sz w:val="21"/>
              </w:rPr>
              <w:t>、医</w:t>
            </w:r>
            <w:r>
              <w:rPr>
                <w:rFonts w:ascii="仿宋" w:eastAsia="仿宋" w:hAnsi="仿宋" w:cs="仿宋" w:hint="eastAsia"/>
                <w:spacing w:val="7"/>
                <w:sz w:val="21"/>
              </w:rPr>
              <w:t>疗</w:t>
            </w:r>
            <w:r>
              <w:rPr>
                <w:rFonts w:ascii="仿宋" w:eastAsia="仿宋" w:hAnsi="仿宋" w:cs="仿宋" w:hint="eastAsia"/>
                <w:spacing w:val="4"/>
                <w:sz w:val="21"/>
              </w:rPr>
              <w:t>卫生用地</w:t>
            </w:r>
            <w:r>
              <w:rPr>
                <w:rFonts w:ascii="仿宋" w:eastAsia="仿宋" w:hAnsi="仿宋" w:cs="仿宋" w:hint="eastAsia"/>
                <w:sz w:val="21"/>
              </w:rPr>
              <w:t xml:space="preserve">   </w:t>
            </w:r>
            <w:r>
              <w:rPr>
                <w:rFonts w:ascii="仿宋" w:eastAsia="仿宋" w:hAnsi="仿宋" w:cs="仿宋" w:hint="eastAsia"/>
                <w:spacing w:val="-6"/>
                <w:sz w:val="21"/>
              </w:rPr>
              <w:t>(</w:t>
            </w:r>
            <w:r>
              <w:rPr>
                <w:rFonts w:ascii="仿宋" w:eastAsia="仿宋" w:hAnsi="仿宋" w:cs="仿宋" w:hint="eastAsia"/>
                <w:spacing w:val="-5"/>
                <w:sz w:val="21"/>
              </w:rPr>
              <w:t>0806</w:t>
            </w:r>
            <w:r>
              <w:rPr>
                <w:rFonts w:ascii="仿宋" w:eastAsia="仿宋" w:hAnsi="仿宋" w:cs="仿宋" w:hint="eastAsia"/>
                <w:spacing w:val="-3"/>
                <w:sz w:val="21"/>
              </w:rPr>
              <w:t>)</w:t>
            </w:r>
          </w:p>
        </w:tc>
        <w:tc>
          <w:tcPr>
            <w:tcW w:w="1298" w:type="dxa"/>
            <w:tcBorders>
              <w:right w:val="single" w:sz="4" w:space="0" w:color="000000"/>
            </w:tcBorders>
            <w:vAlign w:val="center"/>
          </w:tcPr>
          <w:p w:rsidR="00925AC4" w:rsidRDefault="00285E1E">
            <w:pPr>
              <w:tabs>
                <w:tab w:val="left" w:pos="390"/>
              </w:tabs>
              <w:spacing w:before="83" w:line="167" w:lineRule="auto"/>
              <w:ind w:firstLineChars="0" w:firstLine="0"/>
              <w:jc w:val="center"/>
              <w:rPr>
                <w:rFonts w:ascii="仿宋" w:eastAsia="仿宋" w:hAnsi="仿宋" w:cs="仿宋"/>
                <w:sz w:val="21"/>
              </w:rPr>
            </w:pPr>
            <w:r>
              <w:rPr>
                <w:rFonts w:ascii="仿宋" w:eastAsia="仿宋" w:hAnsi="仿宋" w:cs="仿宋" w:hint="eastAsia"/>
                <w:spacing w:val="5"/>
                <w:sz w:val="21"/>
              </w:rPr>
              <w:t>社会福利用地</w:t>
            </w:r>
            <w:r>
              <w:rPr>
                <w:rFonts w:ascii="仿宋" w:eastAsia="仿宋" w:hAnsi="仿宋" w:cs="仿宋" w:hint="eastAsia"/>
                <w:spacing w:val="5"/>
                <w:sz w:val="21"/>
              </w:rPr>
              <w:t>(0807</w:t>
            </w:r>
            <w:r>
              <w:rPr>
                <w:rFonts w:ascii="仿宋" w:eastAsia="仿宋" w:hAnsi="仿宋" w:cs="仿宋" w:hint="eastAsia"/>
                <w:spacing w:val="4"/>
                <w:sz w:val="21"/>
              </w:rPr>
              <w:t>)</w:t>
            </w:r>
          </w:p>
        </w:tc>
      </w:tr>
      <w:tr w:rsidR="00925AC4">
        <w:trPr>
          <w:trHeight w:val="3390"/>
        </w:trPr>
        <w:tc>
          <w:tcPr>
            <w:tcW w:w="496" w:type="dxa"/>
            <w:tcBorders>
              <w:left w:val="single" w:sz="4" w:space="0" w:color="000000"/>
            </w:tcBorders>
            <w:vAlign w:val="center"/>
          </w:tcPr>
          <w:p w:rsidR="00925AC4" w:rsidRDefault="00285E1E">
            <w:pPr>
              <w:spacing w:before="91" w:line="262" w:lineRule="auto"/>
              <w:ind w:right="56" w:firstLineChars="0" w:firstLine="0"/>
              <w:jc w:val="center"/>
              <w:rPr>
                <w:rFonts w:ascii="仿宋" w:eastAsia="仿宋" w:hAnsi="仿宋" w:cs="仿宋"/>
                <w:sz w:val="21"/>
              </w:rPr>
            </w:pPr>
            <w:r>
              <w:rPr>
                <w:rFonts w:ascii="仿宋" w:eastAsia="仿宋" w:hAnsi="仿宋" w:cs="仿宋" w:hint="eastAsia"/>
                <w:spacing w:val="-10"/>
                <w:sz w:val="21"/>
              </w:rPr>
              <w:t>允许</w:t>
            </w:r>
            <w:r>
              <w:rPr>
                <w:rFonts w:ascii="仿宋" w:eastAsia="仿宋" w:hAnsi="仿宋" w:cs="仿宋" w:hint="eastAsia"/>
                <w:sz w:val="21"/>
              </w:rPr>
              <w:t xml:space="preserve"> </w:t>
            </w:r>
            <w:r>
              <w:rPr>
                <w:rFonts w:ascii="仿宋" w:eastAsia="仿宋" w:hAnsi="仿宋" w:cs="仿宋" w:hint="eastAsia"/>
                <w:spacing w:val="-7"/>
                <w:sz w:val="21"/>
              </w:rPr>
              <w:t>兼</w:t>
            </w:r>
            <w:r>
              <w:rPr>
                <w:rFonts w:ascii="仿宋" w:eastAsia="仿宋" w:hAnsi="仿宋" w:cs="仿宋" w:hint="eastAsia"/>
                <w:spacing w:val="-6"/>
                <w:sz w:val="21"/>
              </w:rPr>
              <w:t>容</w:t>
            </w:r>
          </w:p>
        </w:tc>
        <w:tc>
          <w:tcPr>
            <w:tcW w:w="1062" w:type="dxa"/>
            <w:vAlign w:val="center"/>
          </w:tcPr>
          <w:p w:rsidR="00925AC4" w:rsidRDefault="00285E1E">
            <w:pPr>
              <w:tabs>
                <w:tab w:val="left" w:pos="103"/>
              </w:tabs>
              <w:spacing w:before="87" w:line="254" w:lineRule="auto"/>
              <w:ind w:right="10" w:firstLineChars="0" w:firstLine="0"/>
              <w:jc w:val="center"/>
              <w:rPr>
                <w:rFonts w:ascii="仿宋" w:eastAsia="仿宋" w:hAnsi="仿宋" w:cs="仿宋"/>
                <w:sz w:val="21"/>
              </w:rPr>
            </w:pPr>
            <w:r>
              <w:rPr>
                <w:rFonts w:ascii="仿宋" w:eastAsia="仿宋" w:hAnsi="仿宋" w:cs="仿宋" w:hint="eastAsia"/>
                <w:spacing w:val="23"/>
                <w:sz w:val="21"/>
              </w:rPr>
              <w:t>文化用地</w:t>
            </w:r>
            <w:r>
              <w:rPr>
                <w:rFonts w:ascii="仿宋" w:eastAsia="仿宋" w:hAnsi="仿宋" w:cs="仿宋" w:hint="eastAsia"/>
                <w:spacing w:val="23"/>
                <w:sz w:val="21"/>
              </w:rPr>
              <w:t>(0803)</w:t>
            </w:r>
            <w:r>
              <w:rPr>
                <w:rFonts w:ascii="仿宋" w:eastAsia="仿宋" w:hAnsi="仿宋" w:cs="仿宋" w:hint="eastAsia"/>
                <w:spacing w:val="23"/>
                <w:sz w:val="21"/>
              </w:rPr>
              <w:t>、</w:t>
            </w:r>
            <w:r>
              <w:rPr>
                <w:rFonts w:ascii="仿宋" w:eastAsia="仿宋" w:hAnsi="仿宋" w:cs="仿宋" w:hint="eastAsia"/>
                <w:sz w:val="21"/>
              </w:rPr>
              <w:t xml:space="preserve"> </w:t>
            </w:r>
            <w:r>
              <w:rPr>
                <w:rFonts w:ascii="仿宋" w:eastAsia="仿宋" w:hAnsi="仿宋" w:cs="仿宋" w:hint="eastAsia"/>
                <w:sz w:val="21"/>
              </w:rPr>
              <w:t>教育用地</w:t>
            </w:r>
            <w:r>
              <w:rPr>
                <w:rFonts w:ascii="仿宋" w:eastAsia="仿宋" w:hAnsi="仿宋" w:cs="仿宋" w:hint="eastAsia"/>
                <w:sz w:val="21"/>
              </w:rPr>
              <w:t>(0804)</w:t>
            </w:r>
            <w:r>
              <w:rPr>
                <w:rFonts w:ascii="仿宋" w:eastAsia="仿宋" w:hAnsi="仿宋" w:cs="仿宋" w:hint="eastAsia"/>
                <w:spacing w:val="23"/>
                <w:sz w:val="21"/>
              </w:rPr>
              <w:t>、</w:t>
            </w:r>
            <w:r>
              <w:rPr>
                <w:rFonts w:ascii="仿宋" w:eastAsia="仿宋" w:hAnsi="仿宋" w:cs="仿宋" w:hint="eastAsia"/>
                <w:sz w:val="21"/>
              </w:rPr>
              <w:t xml:space="preserve"> </w:t>
            </w:r>
            <w:r>
              <w:rPr>
                <w:rFonts w:ascii="仿宋" w:eastAsia="仿宋" w:hAnsi="仿宋" w:cs="仿宋" w:hint="eastAsia"/>
                <w:spacing w:val="-3"/>
                <w:sz w:val="21"/>
              </w:rPr>
              <w:t>体育</w:t>
            </w:r>
            <w:r>
              <w:rPr>
                <w:rFonts w:ascii="仿宋" w:eastAsia="仿宋" w:hAnsi="仿宋" w:cs="仿宋" w:hint="eastAsia"/>
                <w:spacing w:val="-2"/>
                <w:sz w:val="21"/>
              </w:rPr>
              <w:t>用地</w:t>
            </w:r>
            <w:r>
              <w:rPr>
                <w:rFonts w:ascii="仿宋" w:eastAsia="仿宋" w:hAnsi="仿宋" w:cs="仿宋" w:hint="eastAsia"/>
                <w:spacing w:val="-2"/>
                <w:sz w:val="21"/>
              </w:rPr>
              <w:t>(0805</w:t>
            </w:r>
            <w:r>
              <w:rPr>
                <w:rFonts w:ascii="仿宋" w:eastAsia="仿宋" w:hAnsi="仿宋" w:cs="仿宋" w:hint="eastAsia"/>
                <w:spacing w:val="-1"/>
                <w:sz w:val="21"/>
              </w:rPr>
              <w:t>)</w:t>
            </w:r>
            <w:r>
              <w:rPr>
                <w:rFonts w:ascii="仿宋" w:eastAsia="仿宋" w:hAnsi="仿宋" w:cs="仿宋" w:hint="eastAsia"/>
                <w:spacing w:val="8"/>
                <w:sz w:val="21"/>
              </w:rPr>
              <w:t>、</w:t>
            </w:r>
            <w:r>
              <w:rPr>
                <w:rFonts w:ascii="仿宋" w:eastAsia="仿宋" w:hAnsi="仿宋" w:cs="仿宋" w:hint="eastAsia"/>
                <w:spacing w:val="1"/>
                <w:sz w:val="21"/>
              </w:rPr>
              <w:t>社会福利用地</w:t>
            </w:r>
            <w:r>
              <w:rPr>
                <w:rFonts w:ascii="仿宋" w:eastAsia="仿宋" w:hAnsi="仿宋" w:cs="仿宋" w:hint="eastAsia"/>
                <w:spacing w:val="1"/>
                <w:sz w:val="21"/>
              </w:rPr>
              <w:t>(0807)</w:t>
            </w:r>
            <w:r>
              <w:rPr>
                <w:rFonts w:ascii="仿宋" w:eastAsia="仿宋" w:hAnsi="仿宋" w:cs="仿宋" w:hint="eastAsia"/>
                <w:spacing w:val="1"/>
                <w:sz w:val="21"/>
              </w:rPr>
              <w:t>、</w:t>
            </w:r>
            <w:r>
              <w:rPr>
                <w:rFonts w:ascii="仿宋" w:eastAsia="仿宋" w:hAnsi="仿宋" w:cs="仿宋" w:hint="eastAsia"/>
                <w:spacing w:val="17"/>
                <w:sz w:val="21"/>
              </w:rPr>
              <w:t>绿地与开敞空间用地</w:t>
            </w:r>
            <w:r>
              <w:rPr>
                <w:rFonts w:ascii="仿宋" w:eastAsia="仿宋" w:hAnsi="仿宋" w:cs="仿宋" w:hint="eastAsia"/>
                <w:spacing w:val="17"/>
                <w:sz w:val="21"/>
              </w:rPr>
              <w:t>(</w:t>
            </w:r>
            <w:r>
              <w:rPr>
                <w:rFonts w:ascii="仿宋" w:eastAsia="仿宋" w:hAnsi="仿宋" w:cs="仿宋" w:hint="eastAsia"/>
                <w:spacing w:val="17"/>
                <w:sz w:val="21"/>
              </w:rPr>
              <w:t>14</w:t>
            </w:r>
            <w:r>
              <w:rPr>
                <w:rFonts w:ascii="仿宋" w:eastAsia="仿宋" w:hAnsi="仿宋" w:cs="仿宋" w:hint="eastAsia"/>
                <w:spacing w:val="17"/>
                <w:sz w:val="21"/>
              </w:rPr>
              <w:t>)</w:t>
            </w:r>
          </w:p>
        </w:tc>
        <w:tc>
          <w:tcPr>
            <w:tcW w:w="1120" w:type="dxa"/>
            <w:vAlign w:val="center"/>
          </w:tcPr>
          <w:p w:rsidR="00925AC4" w:rsidRDefault="00285E1E">
            <w:pPr>
              <w:tabs>
                <w:tab w:val="left" w:pos="98"/>
              </w:tabs>
              <w:spacing w:before="87" w:line="254" w:lineRule="auto"/>
              <w:ind w:firstLineChars="0" w:firstLine="0"/>
              <w:jc w:val="center"/>
              <w:rPr>
                <w:rFonts w:ascii="仿宋" w:eastAsia="仿宋" w:hAnsi="仿宋" w:cs="仿宋"/>
                <w:sz w:val="21"/>
              </w:rPr>
            </w:pPr>
            <w:r>
              <w:rPr>
                <w:rFonts w:ascii="仿宋" w:eastAsia="仿宋" w:hAnsi="仿宋" w:cs="仿宋" w:hint="eastAsia"/>
                <w:sz w:val="21"/>
              </w:rPr>
              <w:t>机关团体用地</w:t>
            </w:r>
            <w:r>
              <w:rPr>
                <w:rFonts w:ascii="仿宋" w:eastAsia="仿宋" w:hAnsi="仿宋" w:cs="仿宋" w:hint="eastAsia"/>
                <w:sz w:val="21"/>
              </w:rPr>
              <w:t>(0801)</w:t>
            </w:r>
            <w:r>
              <w:rPr>
                <w:rFonts w:ascii="仿宋" w:eastAsia="仿宋" w:hAnsi="仿宋" w:cs="仿宋" w:hint="eastAsia"/>
                <w:spacing w:val="23"/>
                <w:sz w:val="21"/>
              </w:rPr>
              <w:t>、</w:t>
            </w:r>
            <w:r>
              <w:rPr>
                <w:rFonts w:ascii="仿宋" w:eastAsia="仿宋" w:hAnsi="仿宋" w:cs="仿宋" w:hint="eastAsia"/>
                <w:sz w:val="21"/>
              </w:rPr>
              <w:t xml:space="preserve"> </w:t>
            </w:r>
            <w:r>
              <w:rPr>
                <w:rFonts w:ascii="仿宋" w:eastAsia="仿宋" w:hAnsi="仿宋" w:cs="仿宋" w:hint="eastAsia"/>
                <w:sz w:val="21"/>
              </w:rPr>
              <w:t>教育用地</w:t>
            </w:r>
            <w:r>
              <w:rPr>
                <w:rFonts w:ascii="仿宋" w:eastAsia="仿宋" w:hAnsi="仿宋" w:cs="仿宋" w:hint="eastAsia"/>
                <w:sz w:val="21"/>
              </w:rPr>
              <w:t>(0804)</w:t>
            </w:r>
            <w:r>
              <w:rPr>
                <w:rFonts w:ascii="仿宋" w:eastAsia="仿宋" w:hAnsi="仿宋" w:cs="仿宋" w:hint="eastAsia"/>
                <w:spacing w:val="23"/>
                <w:sz w:val="21"/>
              </w:rPr>
              <w:t>、</w:t>
            </w:r>
            <w:r>
              <w:rPr>
                <w:rFonts w:ascii="仿宋" w:eastAsia="仿宋" w:hAnsi="仿宋" w:cs="仿宋" w:hint="eastAsia"/>
                <w:sz w:val="21"/>
              </w:rPr>
              <w:t xml:space="preserve"> </w:t>
            </w:r>
            <w:r>
              <w:rPr>
                <w:rFonts w:ascii="仿宋" w:eastAsia="仿宋" w:hAnsi="仿宋" w:cs="仿宋" w:hint="eastAsia"/>
                <w:spacing w:val="-3"/>
                <w:sz w:val="21"/>
              </w:rPr>
              <w:t>体育</w:t>
            </w:r>
            <w:r>
              <w:rPr>
                <w:rFonts w:ascii="仿宋" w:eastAsia="仿宋" w:hAnsi="仿宋" w:cs="仿宋" w:hint="eastAsia"/>
                <w:spacing w:val="-2"/>
                <w:sz w:val="21"/>
              </w:rPr>
              <w:t>用地</w:t>
            </w:r>
            <w:r>
              <w:rPr>
                <w:rFonts w:ascii="仿宋" w:eastAsia="仿宋" w:hAnsi="仿宋" w:cs="仿宋" w:hint="eastAsia"/>
                <w:spacing w:val="-2"/>
                <w:sz w:val="21"/>
              </w:rPr>
              <w:t>(0805</w:t>
            </w:r>
            <w:r>
              <w:rPr>
                <w:rFonts w:ascii="仿宋" w:eastAsia="仿宋" w:hAnsi="仿宋" w:cs="仿宋" w:hint="eastAsia"/>
                <w:spacing w:val="-1"/>
                <w:sz w:val="21"/>
              </w:rPr>
              <w:t>)</w:t>
            </w:r>
            <w:r>
              <w:rPr>
                <w:rFonts w:ascii="仿宋" w:eastAsia="仿宋" w:hAnsi="仿宋" w:cs="仿宋" w:hint="eastAsia"/>
                <w:spacing w:val="8"/>
                <w:sz w:val="21"/>
              </w:rPr>
              <w:t>、</w:t>
            </w:r>
            <w:r>
              <w:rPr>
                <w:rFonts w:ascii="仿宋" w:eastAsia="仿宋" w:hAnsi="仿宋" w:cs="仿宋" w:hint="eastAsia"/>
                <w:spacing w:val="1"/>
                <w:sz w:val="21"/>
              </w:rPr>
              <w:t>社会福利用地</w:t>
            </w:r>
            <w:r>
              <w:rPr>
                <w:rFonts w:ascii="仿宋" w:eastAsia="仿宋" w:hAnsi="仿宋" w:cs="仿宋" w:hint="eastAsia"/>
                <w:spacing w:val="1"/>
                <w:sz w:val="21"/>
              </w:rPr>
              <w:t>(0807)</w:t>
            </w:r>
            <w:r>
              <w:rPr>
                <w:rFonts w:ascii="仿宋" w:eastAsia="仿宋" w:hAnsi="仿宋" w:cs="仿宋" w:hint="eastAsia"/>
                <w:spacing w:val="1"/>
                <w:sz w:val="21"/>
              </w:rPr>
              <w:t>、</w:t>
            </w:r>
            <w:r>
              <w:rPr>
                <w:rFonts w:ascii="仿宋" w:eastAsia="仿宋" w:hAnsi="仿宋" w:cs="仿宋" w:hint="eastAsia"/>
                <w:spacing w:val="17"/>
                <w:sz w:val="21"/>
              </w:rPr>
              <w:t>绿地与开敞空间用地</w:t>
            </w:r>
            <w:r>
              <w:rPr>
                <w:rFonts w:ascii="仿宋" w:eastAsia="仿宋" w:hAnsi="仿宋" w:cs="仿宋" w:hint="eastAsia"/>
                <w:spacing w:val="17"/>
                <w:sz w:val="21"/>
              </w:rPr>
              <w:t>(</w:t>
            </w:r>
            <w:r>
              <w:rPr>
                <w:rFonts w:ascii="仿宋" w:eastAsia="仿宋" w:hAnsi="仿宋" w:cs="仿宋" w:hint="eastAsia"/>
                <w:spacing w:val="17"/>
                <w:sz w:val="21"/>
              </w:rPr>
              <w:t>14</w:t>
            </w:r>
            <w:r>
              <w:rPr>
                <w:rFonts w:ascii="仿宋" w:eastAsia="仿宋" w:hAnsi="仿宋" w:cs="仿宋" w:hint="eastAsia"/>
                <w:spacing w:val="17"/>
                <w:sz w:val="21"/>
              </w:rPr>
              <w:t>)</w:t>
            </w:r>
          </w:p>
        </w:tc>
        <w:tc>
          <w:tcPr>
            <w:tcW w:w="1048" w:type="dxa"/>
            <w:vAlign w:val="center"/>
          </w:tcPr>
          <w:p w:rsidR="00925AC4" w:rsidRDefault="00285E1E">
            <w:pPr>
              <w:tabs>
                <w:tab w:val="left" w:pos="93"/>
              </w:tabs>
              <w:spacing w:before="78" w:line="284" w:lineRule="auto"/>
              <w:ind w:firstLineChars="0" w:firstLine="0"/>
              <w:jc w:val="center"/>
              <w:rPr>
                <w:rFonts w:ascii="仿宋" w:eastAsia="仿宋" w:hAnsi="仿宋" w:cs="仿宋"/>
                <w:sz w:val="21"/>
              </w:rPr>
            </w:pPr>
            <w:r>
              <w:rPr>
                <w:rFonts w:ascii="仿宋" w:eastAsia="仿宋" w:hAnsi="仿宋" w:cs="仿宋" w:hint="eastAsia"/>
                <w:spacing w:val="23"/>
                <w:sz w:val="21"/>
              </w:rPr>
              <w:t>文化用地</w:t>
            </w:r>
            <w:r>
              <w:rPr>
                <w:rFonts w:ascii="仿宋" w:eastAsia="仿宋" w:hAnsi="仿宋" w:cs="仿宋" w:hint="eastAsia"/>
                <w:spacing w:val="23"/>
                <w:sz w:val="21"/>
              </w:rPr>
              <w:t>(0803)</w:t>
            </w:r>
            <w:r>
              <w:rPr>
                <w:rFonts w:ascii="仿宋" w:eastAsia="仿宋" w:hAnsi="仿宋" w:cs="仿宋" w:hint="eastAsia"/>
                <w:spacing w:val="7"/>
                <w:sz w:val="21"/>
              </w:rPr>
              <w:t>、</w:t>
            </w:r>
            <w:r>
              <w:rPr>
                <w:rFonts w:ascii="仿宋" w:eastAsia="仿宋" w:hAnsi="仿宋" w:cs="仿宋" w:hint="eastAsia"/>
                <w:sz w:val="21"/>
              </w:rPr>
              <w:t xml:space="preserve"> </w:t>
            </w:r>
            <w:r>
              <w:rPr>
                <w:rFonts w:ascii="仿宋" w:eastAsia="仿宋" w:hAnsi="仿宋" w:cs="仿宋" w:hint="eastAsia"/>
                <w:spacing w:val="-3"/>
                <w:sz w:val="21"/>
              </w:rPr>
              <w:t>体育</w:t>
            </w:r>
            <w:r>
              <w:rPr>
                <w:rFonts w:ascii="仿宋" w:eastAsia="仿宋" w:hAnsi="仿宋" w:cs="仿宋" w:hint="eastAsia"/>
                <w:spacing w:val="-2"/>
                <w:sz w:val="21"/>
              </w:rPr>
              <w:t>用地</w:t>
            </w:r>
            <w:r>
              <w:rPr>
                <w:rFonts w:ascii="仿宋" w:eastAsia="仿宋" w:hAnsi="仿宋" w:cs="仿宋" w:hint="eastAsia"/>
                <w:spacing w:val="-2"/>
                <w:sz w:val="21"/>
              </w:rPr>
              <w:t>(0805</w:t>
            </w:r>
            <w:r>
              <w:rPr>
                <w:rFonts w:ascii="仿宋" w:eastAsia="仿宋" w:hAnsi="仿宋" w:cs="仿宋" w:hint="eastAsia"/>
                <w:spacing w:val="-1"/>
                <w:sz w:val="21"/>
              </w:rPr>
              <w:t>)</w:t>
            </w:r>
            <w:r>
              <w:rPr>
                <w:rFonts w:ascii="仿宋" w:eastAsia="仿宋" w:hAnsi="仿宋" w:cs="仿宋" w:hint="eastAsia"/>
                <w:spacing w:val="6"/>
                <w:sz w:val="21"/>
              </w:rPr>
              <w:t>、</w:t>
            </w:r>
            <w:r>
              <w:rPr>
                <w:rFonts w:ascii="仿宋" w:eastAsia="仿宋" w:hAnsi="仿宋" w:cs="仿宋" w:hint="eastAsia"/>
                <w:spacing w:val="1"/>
                <w:sz w:val="21"/>
              </w:rPr>
              <w:t>社会福利用地</w:t>
            </w:r>
            <w:r>
              <w:rPr>
                <w:rFonts w:ascii="仿宋" w:eastAsia="仿宋" w:hAnsi="仿宋" w:cs="仿宋" w:hint="eastAsia"/>
                <w:spacing w:val="1"/>
                <w:sz w:val="21"/>
              </w:rPr>
              <w:t>(0807)</w:t>
            </w:r>
            <w:r>
              <w:rPr>
                <w:rFonts w:ascii="仿宋" w:eastAsia="仿宋" w:hAnsi="仿宋" w:cs="仿宋" w:hint="eastAsia"/>
                <w:spacing w:val="20"/>
                <w:sz w:val="21"/>
              </w:rPr>
              <w:t>、</w:t>
            </w:r>
            <w:r>
              <w:rPr>
                <w:rFonts w:ascii="仿宋" w:eastAsia="仿宋" w:hAnsi="仿宋" w:cs="仿宋" w:hint="eastAsia"/>
                <w:sz w:val="21"/>
              </w:rPr>
              <w:t xml:space="preserve">   </w:t>
            </w:r>
            <w:r>
              <w:rPr>
                <w:rFonts w:ascii="仿宋" w:eastAsia="仿宋" w:hAnsi="仿宋" w:cs="仿宋" w:hint="eastAsia"/>
                <w:spacing w:val="17"/>
                <w:sz w:val="21"/>
              </w:rPr>
              <w:t>绿地与开敞空间用地</w:t>
            </w:r>
            <w:r>
              <w:rPr>
                <w:rFonts w:ascii="仿宋" w:eastAsia="仿宋" w:hAnsi="仿宋" w:cs="仿宋" w:hint="eastAsia"/>
                <w:spacing w:val="17"/>
                <w:sz w:val="21"/>
              </w:rPr>
              <w:t>(</w:t>
            </w:r>
            <w:r>
              <w:rPr>
                <w:rFonts w:ascii="仿宋" w:eastAsia="仿宋" w:hAnsi="仿宋" w:cs="仿宋" w:hint="eastAsia"/>
                <w:spacing w:val="17"/>
                <w:sz w:val="21"/>
              </w:rPr>
              <w:t>14</w:t>
            </w:r>
            <w:r>
              <w:rPr>
                <w:rFonts w:ascii="仿宋" w:eastAsia="仿宋" w:hAnsi="仿宋" w:cs="仿宋" w:hint="eastAsia"/>
                <w:spacing w:val="17"/>
                <w:sz w:val="21"/>
              </w:rPr>
              <w:t>)</w:t>
            </w:r>
          </w:p>
        </w:tc>
        <w:tc>
          <w:tcPr>
            <w:tcW w:w="1777" w:type="dxa"/>
            <w:vAlign w:val="center"/>
          </w:tcPr>
          <w:p w:rsidR="00925AC4" w:rsidRDefault="00285E1E">
            <w:pPr>
              <w:tabs>
                <w:tab w:val="left" w:pos="103"/>
              </w:tabs>
              <w:spacing w:before="81" w:line="247" w:lineRule="auto"/>
              <w:ind w:right="6" w:firstLineChars="0" w:firstLine="0"/>
              <w:jc w:val="center"/>
              <w:rPr>
                <w:rFonts w:ascii="仿宋" w:eastAsia="仿宋" w:hAnsi="仿宋" w:cs="仿宋"/>
                <w:sz w:val="21"/>
              </w:rPr>
            </w:pPr>
            <w:r>
              <w:rPr>
                <w:rFonts w:ascii="仿宋" w:eastAsia="仿宋" w:hAnsi="仿宋" w:cs="仿宋" w:hint="eastAsia"/>
                <w:spacing w:val="23"/>
                <w:sz w:val="21"/>
              </w:rPr>
              <w:t>文化用地</w:t>
            </w:r>
            <w:r>
              <w:rPr>
                <w:rFonts w:ascii="仿宋" w:eastAsia="仿宋" w:hAnsi="仿宋" w:cs="仿宋" w:hint="eastAsia"/>
                <w:spacing w:val="23"/>
                <w:sz w:val="21"/>
              </w:rPr>
              <w:t>(0803)</w:t>
            </w:r>
            <w:r>
              <w:rPr>
                <w:rFonts w:ascii="仿宋" w:eastAsia="仿宋" w:hAnsi="仿宋" w:cs="仿宋" w:hint="eastAsia"/>
                <w:spacing w:val="-2"/>
                <w:sz w:val="21"/>
              </w:rPr>
              <w:t>、</w:t>
            </w:r>
            <w:r>
              <w:rPr>
                <w:rFonts w:ascii="仿宋" w:eastAsia="仿宋" w:hAnsi="仿宋" w:cs="仿宋" w:hint="eastAsia"/>
                <w:sz w:val="21"/>
              </w:rPr>
              <w:t>教育用地</w:t>
            </w:r>
            <w:r>
              <w:rPr>
                <w:rFonts w:ascii="仿宋" w:eastAsia="仿宋" w:hAnsi="仿宋" w:cs="仿宋" w:hint="eastAsia"/>
                <w:sz w:val="21"/>
              </w:rPr>
              <w:t>(0804)</w:t>
            </w:r>
            <w:r>
              <w:rPr>
                <w:rFonts w:ascii="仿宋" w:eastAsia="仿宋" w:hAnsi="仿宋" w:cs="仿宋" w:hint="eastAsia"/>
                <w:spacing w:val="7"/>
                <w:sz w:val="21"/>
              </w:rPr>
              <w:t>、</w:t>
            </w:r>
            <w:r>
              <w:rPr>
                <w:rFonts w:ascii="仿宋" w:eastAsia="仿宋" w:hAnsi="仿宋" w:cs="仿宋" w:hint="eastAsia"/>
                <w:spacing w:val="-3"/>
                <w:sz w:val="21"/>
              </w:rPr>
              <w:t>体育</w:t>
            </w:r>
            <w:r>
              <w:rPr>
                <w:rFonts w:ascii="仿宋" w:eastAsia="仿宋" w:hAnsi="仿宋" w:cs="仿宋" w:hint="eastAsia"/>
                <w:spacing w:val="-2"/>
                <w:sz w:val="21"/>
              </w:rPr>
              <w:t>用地</w:t>
            </w:r>
            <w:r>
              <w:rPr>
                <w:rFonts w:ascii="仿宋" w:eastAsia="仿宋" w:hAnsi="仿宋" w:cs="仿宋" w:hint="eastAsia"/>
                <w:spacing w:val="-2"/>
                <w:sz w:val="21"/>
              </w:rPr>
              <w:t>(0805</w:t>
            </w:r>
            <w:r>
              <w:rPr>
                <w:rFonts w:ascii="仿宋" w:eastAsia="仿宋" w:hAnsi="仿宋" w:cs="仿宋" w:hint="eastAsia"/>
                <w:spacing w:val="-1"/>
                <w:sz w:val="21"/>
              </w:rPr>
              <w:t>)</w:t>
            </w:r>
            <w:r>
              <w:rPr>
                <w:rFonts w:ascii="仿宋" w:eastAsia="仿宋" w:hAnsi="仿宋" w:cs="仿宋" w:hint="eastAsia"/>
                <w:spacing w:val="-2"/>
                <w:sz w:val="21"/>
              </w:rPr>
              <w:t>、医疗卫生用地</w:t>
            </w:r>
            <w:r>
              <w:rPr>
                <w:rFonts w:ascii="仿宋" w:eastAsia="仿宋" w:hAnsi="仿宋" w:cs="仿宋" w:hint="eastAsia"/>
                <w:spacing w:val="-2"/>
                <w:sz w:val="21"/>
              </w:rPr>
              <w:t>(0806)</w:t>
            </w:r>
            <w:r>
              <w:rPr>
                <w:rFonts w:ascii="仿宋" w:eastAsia="仿宋" w:hAnsi="仿宋" w:cs="仿宋" w:hint="eastAsia"/>
                <w:spacing w:val="7"/>
                <w:sz w:val="21"/>
              </w:rPr>
              <w:t>、</w:t>
            </w:r>
            <w:r>
              <w:rPr>
                <w:rFonts w:ascii="仿宋" w:eastAsia="仿宋" w:hAnsi="仿宋" w:cs="仿宋" w:hint="eastAsia"/>
                <w:spacing w:val="1"/>
                <w:sz w:val="21"/>
              </w:rPr>
              <w:t>社会福利用地</w:t>
            </w:r>
            <w:r>
              <w:rPr>
                <w:rFonts w:ascii="仿宋" w:eastAsia="仿宋" w:hAnsi="仿宋" w:cs="仿宋" w:hint="eastAsia"/>
                <w:spacing w:val="1"/>
                <w:sz w:val="21"/>
              </w:rPr>
              <w:t>(0807)</w:t>
            </w:r>
            <w:r>
              <w:rPr>
                <w:rFonts w:ascii="仿宋" w:eastAsia="仿宋" w:hAnsi="仿宋" w:cs="仿宋" w:hint="eastAsia"/>
                <w:spacing w:val="7"/>
                <w:sz w:val="21"/>
              </w:rPr>
              <w:t>、商务金融用地</w:t>
            </w:r>
            <w:r>
              <w:rPr>
                <w:rFonts w:ascii="仿宋" w:eastAsia="仿宋" w:hAnsi="仿宋" w:cs="仿宋" w:hint="eastAsia"/>
                <w:spacing w:val="7"/>
                <w:sz w:val="21"/>
              </w:rPr>
              <w:t>(0902)</w:t>
            </w:r>
            <w:r>
              <w:rPr>
                <w:rFonts w:ascii="仿宋" w:eastAsia="仿宋" w:hAnsi="仿宋" w:cs="仿宋" w:hint="eastAsia"/>
                <w:spacing w:val="7"/>
                <w:sz w:val="21"/>
              </w:rPr>
              <w:t>、娱乐康体用地</w:t>
            </w:r>
            <w:r>
              <w:rPr>
                <w:rFonts w:ascii="仿宋" w:eastAsia="仿宋" w:hAnsi="仿宋" w:cs="仿宋" w:hint="eastAsia"/>
                <w:spacing w:val="7"/>
                <w:sz w:val="21"/>
              </w:rPr>
              <w:t>(0903)</w:t>
            </w:r>
            <w:r>
              <w:rPr>
                <w:rFonts w:ascii="仿宋" w:eastAsia="仿宋" w:hAnsi="仿宋" w:cs="仿宋" w:hint="eastAsia"/>
                <w:spacing w:val="17"/>
                <w:sz w:val="21"/>
              </w:rPr>
              <w:t>、居住用地</w:t>
            </w:r>
            <w:r>
              <w:rPr>
                <w:rFonts w:ascii="仿宋" w:eastAsia="仿宋" w:hAnsi="仿宋" w:cs="仿宋" w:hint="eastAsia"/>
                <w:spacing w:val="17"/>
                <w:sz w:val="21"/>
              </w:rPr>
              <w:t>(07)</w:t>
            </w:r>
            <w:r>
              <w:rPr>
                <w:rFonts w:ascii="仿宋" w:eastAsia="仿宋" w:hAnsi="仿宋" w:cs="仿宋" w:hint="eastAsia"/>
                <w:spacing w:val="19"/>
                <w:sz w:val="21"/>
              </w:rPr>
              <w:t>、绿地与开敞空间用地</w:t>
            </w:r>
            <w:r>
              <w:rPr>
                <w:rFonts w:ascii="仿宋" w:eastAsia="仿宋" w:hAnsi="仿宋" w:cs="仿宋" w:hint="eastAsia"/>
                <w:spacing w:val="19"/>
                <w:sz w:val="21"/>
              </w:rPr>
              <w:t>(14)</w:t>
            </w:r>
          </w:p>
        </w:tc>
        <w:tc>
          <w:tcPr>
            <w:tcW w:w="1273" w:type="dxa"/>
            <w:vAlign w:val="center"/>
          </w:tcPr>
          <w:p w:rsidR="00925AC4" w:rsidRDefault="00285E1E">
            <w:pPr>
              <w:tabs>
                <w:tab w:val="left" w:pos="103"/>
              </w:tabs>
              <w:spacing w:before="263" w:line="255" w:lineRule="auto"/>
              <w:ind w:right="7" w:firstLineChars="0" w:firstLine="0"/>
              <w:jc w:val="center"/>
              <w:rPr>
                <w:rFonts w:ascii="仿宋" w:eastAsia="仿宋" w:hAnsi="仿宋" w:cs="仿宋"/>
                <w:sz w:val="21"/>
              </w:rPr>
            </w:pPr>
            <w:r>
              <w:rPr>
                <w:rFonts w:ascii="仿宋" w:eastAsia="仿宋" w:hAnsi="仿宋" w:cs="仿宋" w:hint="eastAsia"/>
                <w:spacing w:val="-1"/>
                <w:sz w:val="21"/>
              </w:rPr>
              <w:t>商业用地</w:t>
            </w:r>
            <w:r>
              <w:rPr>
                <w:rFonts w:ascii="仿宋" w:eastAsia="仿宋" w:hAnsi="仿宋" w:cs="仿宋" w:hint="eastAsia"/>
                <w:spacing w:val="-1"/>
                <w:sz w:val="21"/>
              </w:rPr>
              <w:t>(0901)</w:t>
            </w:r>
            <w:r>
              <w:rPr>
                <w:rFonts w:ascii="仿宋" w:eastAsia="仿宋" w:hAnsi="仿宋" w:cs="仿宋" w:hint="eastAsia"/>
                <w:spacing w:val="-1"/>
                <w:sz w:val="21"/>
              </w:rPr>
              <w:t>、商务金融用地</w:t>
            </w:r>
            <w:r>
              <w:rPr>
                <w:rFonts w:ascii="仿宋" w:eastAsia="仿宋" w:hAnsi="仿宋" w:cs="仿宋" w:hint="eastAsia"/>
                <w:spacing w:val="-1"/>
                <w:sz w:val="21"/>
              </w:rPr>
              <w:t>(0902)</w:t>
            </w:r>
            <w:r>
              <w:rPr>
                <w:rFonts w:ascii="仿宋" w:eastAsia="仿宋" w:hAnsi="仿宋" w:cs="仿宋" w:hint="eastAsia"/>
                <w:spacing w:val="-1"/>
                <w:sz w:val="21"/>
              </w:rPr>
              <w:t>、娱乐康体用地</w:t>
            </w:r>
            <w:r>
              <w:rPr>
                <w:rFonts w:ascii="仿宋" w:eastAsia="仿宋" w:hAnsi="仿宋" w:cs="仿宋" w:hint="eastAsia"/>
                <w:spacing w:val="-1"/>
                <w:sz w:val="21"/>
              </w:rPr>
              <w:t>(0903)</w:t>
            </w:r>
            <w:r>
              <w:rPr>
                <w:rFonts w:ascii="仿宋" w:eastAsia="仿宋" w:hAnsi="仿宋" w:cs="仿宋" w:hint="eastAsia"/>
                <w:spacing w:val="-1"/>
                <w:sz w:val="21"/>
              </w:rPr>
              <w:t>、其他商业服务业用地</w:t>
            </w:r>
            <w:r>
              <w:rPr>
                <w:rFonts w:ascii="仿宋" w:eastAsia="仿宋" w:hAnsi="仿宋" w:cs="仿宋" w:hint="eastAsia"/>
                <w:spacing w:val="-1"/>
                <w:sz w:val="21"/>
              </w:rPr>
              <w:t>(0904)</w:t>
            </w:r>
            <w:r>
              <w:rPr>
                <w:rFonts w:ascii="仿宋" w:eastAsia="仿宋" w:hAnsi="仿宋" w:cs="仿宋" w:hint="eastAsia"/>
                <w:spacing w:val="-1"/>
                <w:sz w:val="21"/>
              </w:rPr>
              <w:t>、绿地与开敞空间用地</w:t>
            </w:r>
            <w:r>
              <w:rPr>
                <w:rFonts w:ascii="仿宋" w:eastAsia="仿宋" w:hAnsi="仿宋" w:cs="仿宋" w:hint="eastAsia"/>
                <w:spacing w:val="-1"/>
                <w:sz w:val="21"/>
              </w:rPr>
              <w:t>(14)</w:t>
            </w:r>
          </w:p>
        </w:tc>
        <w:tc>
          <w:tcPr>
            <w:tcW w:w="1355" w:type="dxa"/>
            <w:vAlign w:val="center"/>
          </w:tcPr>
          <w:p w:rsidR="00925AC4" w:rsidRDefault="00285E1E">
            <w:pPr>
              <w:spacing w:before="91" w:line="254" w:lineRule="auto"/>
              <w:ind w:right="4" w:firstLineChars="0" w:firstLine="0"/>
              <w:jc w:val="center"/>
              <w:rPr>
                <w:rFonts w:ascii="仿宋" w:eastAsia="仿宋" w:hAnsi="仿宋" w:cs="仿宋"/>
                <w:sz w:val="21"/>
              </w:rPr>
            </w:pPr>
            <w:r>
              <w:rPr>
                <w:rFonts w:ascii="仿宋" w:eastAsia="仿宋" w:hAnsi="仿宋" w:cs="仿宋" w:hint="eastAsia"/>
                <w:spacing w:val="17"/>
                <w:sz w:val="21"/>
              </w:rPr>
              <w:t>绿地与开敞空间用地</w:t>
            </w:r>
            <w:r>
              <w:rPr>
                <w:rFonts w:ascii="仿宋" w:eastAsia="仿宋" w:hAnsi="仿宋" w:cs="仿宋" w:hint="eastAsia"/>
                <w:spacing w:val="17"/>
                <w:sz w:val="21"/>
              </w:rPr>
              <w:t>(</w:t>
            </w:r>
            <w:r>
              <w:rPr>
                <w:rFonts w:ascii="仿宋" w:eastAsia="仿宋" w:hAnsi="仿宋" w:cs="仿宋" w:hint="eastAsia"/>
                <w:spacing w:val="17"/>
                <w:sz w:val="21"/>
              </w:rPr>
              <w:t>14</w:t>
            </w:r>
            <w:r>
              <w:rPr>
                <w:rFonts w:ascii="仿宋" w:eastAsia="仿宋" w:hAnsi="仿宋" w:cs="仿宋" w:hint="eastAsia"/>
                <w:spacing w:val="17"/>
                <w:sz w:val="21"/>
              </w:rPr>
              <w:t>)</w:t>
            </w:r>
          </w:p>
        </w:tc>
        <w:tc>
          <w:tcPr>
            <w:tcW w:w="1298" w:type="dxa"/>
            <w:tcBorders>
              <w:right w:val="single" w:sz="4" w:space="0" w:color="000000"/>
            </w:tcBorders>
            <w:vAlign w:val="center"/>
          </w:tcPr>
          <w:p w:rsidR="00925AC4" w:rsidRDefault="00925AC4">
            <w:pPr>
              <w:jc w:val="center"/>
              <w:rPr>
                <w:rFonts w:ascii="仿宋" w:eastAsia="仿宋" w:hAnsi="仿宋" w:cs="仿宋"/>
                <w:sz w:val="21"/>
              </w:rPr>
            </w:pPr>
          </w:p>
        </w:tc>
      </w:tr>
      <w:tr w:rsidR="00925AC4">
        <w:trPr>
          <w:trHeight w:val="3668"/>
        </w:trPr>
        <w:tc>
          <w:tcPr>
            <w:tcW w:w="496" w:type="dxa"/>
            <w:tcBorders>
              <w:left w:val="single" w:sz="4" w:space="0" w:color="000000"/>
            </w:tcBorders>
            <w:vAlign w:val="center"/>
          </w:tcPr>
          <w:p w:rsidR="00925AC4" w:rsidRDefault="00285E1E">
            <w:pPr>
              <w:spacing w:before="91" w:line="263" w:lineRule="auto"/>
              <w:ind w:right="56" w:firstLineChars="0" w:firstLine="0"/>
              <w:jc w:val="center"/>
              <w:rPr>
                <w:rFonts w:ascii="仿宋" w:eastAsia="仿宋" w:hAnsi="仿宋" w:cs="仿宋"/>
                <w:sz w:val="21"/>
              </w:rPr>
            </w:pPr>
            <w:r>
              <w:rPr>
                <w:rFonts w:ascii="仿宋" w:eastAsia="仿宋" w:hAnsi="仿宋" w:cs="仿宋" w:hint="eastAsia"/>
                <w:spacing w:val="-7"/>
                <w:sz w:val="21"/>
              </w:rPr>
              <w:t>禁</w:t>
            </w:r>
            <w:r>
              <w:rPr>
                <w:rFonts w:ascii="仿宋" w:eastAsia="仿宋" w:hAnsi="仿宋" w:cs="仿宋" w:hint="eastAsia"/>
                <w:spacing w:val="-6"/>
                <w:sz w:val="21"/>
              </w:rPr>
              <w:t>止</w:t>
            </w:r>
            <w:r>
              <w:rPr>
                <w:rFonts w:ascii="仿宋" w:eastAsia="仿宋" w:hAnsi="仿宋" w:cs="仿宋" w:hint="eastAsia"/>
                <w:sz w:val="21"/>
              </w:rPr>
              <w:t xml:space="preserve"> </w:t>
            </w:r>
            <w:r>
              <w:rPr>
                <w:rFonts w:ascii="仿宋" w:eastAsia="仿宋" w:hAnsi="仿宋" w:cs="仿宋" w:hint="eastAsia"/>
                <w:spacing w:val="-7"/>
                <w:sz w:val="21"/>
              </w:rPr>
              <w:t>兼</w:t>
            </w:r>
            <w:r>
              <w:rPr>
                <w:rFonts w:ascii="仿宋" w:eastAsia="仿宋" w:hAnsi="仿宋" w:cs="仿宋" w:hint="eastAsia"/>
                <w:spacing w:val="-6"/>
                <w:sz w:val="21"/>
              </w:rPr>
              <w:t>容</w:t>
            </w:r>
          </w:p>
        </w:tc>
        <w:tc>
          <w:tcPr>
            <w:tcW w:w="1062" w:type="dxa"/>
            <w:vAlign w:val="center"/>
          </w:tcPr>
          <w:p w:rsidR="00925AC4" w:rsidRDefault="00285E1E">
            <w:pPr>
              <w:tabs>
                <w:tab w:val="left" w:pos="98"/>
              </w:tabs>
              <w:spacing w:before="91" w:line="258" w:lineRule="auto"/>
              <w:ind w:firstLineChars="0" w:firstLine="0"/>
              <w:jc w:val="center"/>
              <w:rPr>
                <w:rFonts w:ascii="仿宋" w:eastAsia="仿宋" w:hAnsi="仿宋" w:cs="仿宋"/>
                <w:spacing w:val="1"/>
                <w:sz w:val="21"/>
              </w:rPr>
            </w:pPr>
            <w:r>
              <w:rPr>
                <w:rFonts w:ascii="仿宋" w:eastAsia="仿宋" w:hAnsi="仿宋" w:cs="仿宋" w:hint="eastAsia"/>
                <w:spacing w:val="1"/>
                <w:sz w:val="21"/>
              </w:rPr>
              <w:t>商业服务业用地</w:t>
            </w:r>
            <w:r>
              <w:rPr>
                <w:rFonts w:ascii="仿宋" w:eastAsia="仿宋" w:hAnsi="仿宋" w:cs="仿宋" w:hint="eastAsia"/>
                <w:spacing w:val="1"/>
                <w:sz w:val="21"/>
              </w:rPr>
              <w:t>(09)</w:t>
            </w:r>
            <w:r>
              <w:rPr>
                <w:rFonts w:ascii="仿宋" w:eastAsia="仿宋" w:hAnsi="仿宋" w:cs="仿宋" w:hint="eastAsia"/>
                <w:spacing w:val="1"/>
                <w:sz w:val="21"/>
              </w:rPr>
              <w:t>、居住用地</w:t>
            </w:r>
            <w:r>
              <w:rPr>
                <w:rFonts w:ascii="仿宋" w:eastAsia="仿宋" w:hAnsi="仿宋" w:cs="仿宋" w:hint="eastAsia"/>
                <w:spacing w:val="1"/>
                <w:sz w:val="21"/>
              </w:rPr>
              <w:t>(07)</w:t>
            </w:r>
            <w:r>
              <w:rPr>
                <w:rFonts w:ascii="仿宋" w:eastAsia="仿宋" w:hAnsi="仿宋" w:cs="仿宋" w:hint="eastAsia"/>
                <w:spacing w:val="1"/>
                <w:sz w:val="21"/>
              </w:rPr>
              <w:t>、工矿用地</w:t>
            </w:r>
            <w:r>
              <w:rPr>
                <w:rFonts w:ascii="仿宋" w:eastAsia="仿宋" w:hAnsi="仿宋" w:cs="仿宋" w:hint="eastAsia"/>
                <w:spacing w:val="1"/>
                <w:sz w:val="21"/>
              </w:rPr>
              <w:t>(10)</w:t>
            </w:r>
            <w:r>
              <w:rPr>
                <w:rFonts w:ascii="仿宋" w:eastAsia="仿宋" w:hAnsi="仿宋" w:cs="仿宋" w:hint="eastAsia"/>
                <w:spacing w:val="1"/>
                <w:sz w:val="21"/>
              </w:rPr>
              <w:t>、仓储用地</w:t>
            </w:r>
            <w:r>
              <w:rPr>
                <w:rFonts w:ascii="仿宋" w:eastAsia="仿宋" w:hAnsi="仿宋" w:cs="仿宋" w:hint="eastAsia"/>
                <w:spacing w:val="1"/>
                <w:sz w:val="21"/>
              </w:rPr>
              <w:tab/>
              <w:t>(11)</w:t>
            </w:r>
          </w:p>
        </w:tc>
        <w:tc>
          <w:tcPr>
            <w:tcW w:w="1120" w:type="dxa"/>
            <w:vAlign w:val="center"/>
          </w:tcPr>
          <w:p w:rsidR="00925AC4" w:rsidRDefault="00285E1E">
            <w:pPr>
              <w:tabs>
                <w:tab w:val="left" w:pos="98"/>
              </w:tabs>
              <w:spacing w:before="91" w:line="258" w:lineRule="auto"/>
              <w:ind w:firstLineChars="0" w:firstLine="0"/>
              <w:jc w:val="center"/>
              <w:rPr>
                <w:rFonts w:ascii="仿宋" w:eastAsia="仿宋" w:hAnsi="仿宋" w:cs="仿宋"/>
                <w:spacing w:val="1"/>
                <w:sz w:val="21"/>
              </w:rPr>
            </w:pPr>
            <w:r>
              <w:rPr>
                <w:rFonts w:ascii="仿宋" w:eastAsia="仿宋" w:hAnsi="仿宋" w:cs="仿宋" w:hint="eastAsia"/>
                <w:spacing w:val="1"/>
                <w:sz w:val="21"/>
              </w:rPr>
              <w:t>社会福利用地</w:t>
            </w:r>
            <w:r>
              <w:rPr>
                <w:rFonts w:ascii="仿宋" w:eastAsia="仿宋" w:hAnsi="仿宋" w:cs="仿宋" w:hint="eastAsia"/>
                <w:spacing w:val="1"/>
                <w:sz w:val="21"/>
              </w:rPr>
              <w:t>(0807)</w:t>
            </w:r>
            <w:r>
              <w:rPr>
                <w:rFonts w:ascii="仿宋" w:eastAsia="仿宋" w:hAnsi="仿宋" w:cs="仿宋" w:hint="eastAsia"/>
                <w:spacing w:val="1"/>
                <w:sz w:val="21"/>
              </w:rPr>
              <w:t>、</w:t>
            </w:r>
            <w:r>
              <w:rPr>
                <w:rFonts w:ascii="仿宋" w:eastAsia="仿宋" w:hAnsi="仿宋" w:cs="仿宋" w:hint="eastAsia"/>
                <w:spacing w:val="1"/>
                <w:sz w:val="21"/>
              </w:rPr>
              <w:t xml:space="preserve"> </w:t>
            </w:r>
            <w:r>
              <w:rPr>
                <w:rFonts w:ascii="仿宋" w:eastAsia="仿宋" w:hAnsi="仿宋" w:cs="仿宋" w:hint="eastAsia"/>
                <w:spacing w:val="1"/>
                <w:sz w:val="21"/>
              </w:rPr>
              <w:t>商业服务业用地</w:t>
            </w:r>
            <w:r>
              <w:rPr>
                <w:rFonts w:ascii="仿宋" w:eastAsia="仿宋" w:hAnsi="仿宋" w:cs="仿宋" w:hint="eastAsia"/>
                <w:spacing w:val="1"/>
                <w:sz w:val="21"/>
              </w:rPr>
              <w:t>(</w:t>
            </w:r>
            <w:r>
              <w:rPr>
                <w:rFonts w:ascii="仿宋" w:eastAsia="仿宋" w:hAnsi="仿宋" w:cs="仿宋" w:hint="eastAsia"/>
                <w:spacing w:val="1"/>
                <w:sz w:val="21"/>
              </w:rPr>
              <w:t>09</w:t>
            </w:r>
            <w:r>
              <w:rPr>
                <w:rFonts w:ascii="仿宋" w:eastAsia="仿宋" w:hAnsi="仿宋" w:cs="仿宋" w:hint="eastAsia"/>
                <w:spacing w:val="1"/>
                <w:sz w:val="21"/>
              </w:rPr>
              <w:t>)</w:t>
            </w:r>
            <w:r>
              <w:rPr>
                <w:rFonts w:ascii="仿宋" w:eastAsia="仿宋" w:hAnsi="仿宋" w:cs="仿宋" w:hint="eastAsia"/>
                <w:spacing w:val="1"/>
                <w:sz w:val="21"/>
              </w:rPr>
              <w:t>、居住用地</w:t>
            </w:r>
            <w:r>
              <w:rPr>
                <w:rFonts w:ascii="仿宋" w:eastAsia="仿宋" w:hAnsi="仿宋" w:cs="仿宋" w:hint="eastAsia"/>
                <w:spacing w:val="1"/>
                <w:sz w:val="21"/>
              </w:rPr>
              <w:t>(07)</w:t>
            </w:r>
            <w:r>
              <w:rPr>
                <w:rFonts w:ascii="仿宋" w:eastAsia="仿宋" w:hAnsi="仿宋" w:cs="仿宋" w:hint="eastAsia"/>
                <w:spacing w:val="1"/>
                <w:sz w:val="21"/>
              </w:rPr>
              <w:t>、工矿用地</w:t>
            </w:r>
            <w:r>
              <w:rPr>
                <w:rFonts w:ascii="仿宋" w:eastAsia="仿宋" w:hAnsi="仿宋" w:cs="仿宋" w:hint="eastAsia"/>
                <w:spacing w:val="1"/>
                <w:sz w:val="21"/>
              </w:rPr>
              <w:t>(10)</w:t>
            </w:r>
            <w:r>
              <w:rPr>
                <w:rFonts w:ascii="仿宋" w:eastAsia="仿宋" w:hAnsi="仿宋" w:cs="仿宋" w:hint="eastAsia"/>
                <w:spacing w:val="1"/>
                <w:sz w:val="21"/>
              </w:rPr>
              <w:t>、仓储用地</w:t>
            </w:r>
            <w:r>
              <w:rPr>
                <w:rFonts w:ascii="仿宋" w:eastAsia="仿宋" w:hAnsi="仿宋" w:cs="仿宋" w:hint="eastAsia"/>
                <w:spacing w:val="1"/>
                <w:sz w:val="21"/>
              </w:rPr>
              <w:tab/>
              <w:t>(11)</w:t>
            </w:r>
          </w:p>
        </w:tc>
        <w:tc>
          <w:tcPr>
            <w:tcW w:w="1048" w:type="dxa"/>
            <w:vAlign w:val="center"/>
          </w:tcPr>
          <w:p w:rsidR="00925AC4" w:rsidRDefault="00285E1E">
            <w:pPr>
              <w:tabs>
                <w:tab w:val="left" w:pos="98"/>
              </w:tabs>
              <w:spacing w:before="91" w:line="258" w:lineRule="auto"/>
              <w:ind w:firstLineChars="0" w:firstLine="0"/>
              <w:jc w:val="center"/>
              <w:rPr>
                <w:rFonts w:ascii="仿宋" w:eastAsia="仿宋" w:hAnsi="仿宋" w:cs="仿宋"/>
                <w:sz w:val="21"/>
              </w:rPr>
            </w:pPr>
            <w:r>
              <w:rPr>
                <w:rFonts w:ascii="仿宋" w:eastAsia="仿宋" w:hAnsi="仿宋" w:cs="仿宋" w:hint="eastAsia"/>
                <w:spacing w:val="1"/>
                <w:sz w:val="21"/>
              </w:rPr>
              <w:t>社会福利用地</w:t>
            </w:r>
            <w:r>
              <w:rPr>
                <w:rFonts w:ascii="仿宋" w:eastAsia="仿宋" w:hAnsi="仿宋" w:cs="仿宋" w:hint="eastAsia"/>
                <w:spacing w:val="1"/>
                <w:sz w:val="21"/>
              </w:rPr>
              <w:t>(0807)</w:t>
            </w:r>
            <w:r>
              <w:rPr>
                <w:rFonts w:ascii="仿宋" w:eastAsia="仿宋" w:hAnsi="仿宋" w:cs="仿宋" w:hint="eastAsia"/>
                <w:spacing w:val="1"/>
                <w:sz w:val="21"/>
              </w:rPr>
              <w:t>、</w:t>
            </w:r>
            <w:r>
              <w:rPr>
                <w:rFonts w:ascii="仿宋" w:eastAsia="仿宋" w:hAnsi="仿宋" w:cs="仿宋" w:hint="eastAsia"/>
                <w:sz w:val="21"/>
              </w:rPr>
              <w:t xml:space="preserve"> </w:t>
            </w:r>
            <w:r>
              <w:rPr>
                <w:rFonts w:ascii="仿宋" w:eastAsia="仿宋" w:hAnsi="仿宋" w:cs="仿宋" w:hint="eastAsia"/>
                <w:sz w:val="21"/>
              </w:rPr>
              <w:t>商业服务业用地</w:t>
            </w:r>
            <w:r>
              <w:rPr>
                <w:rFonts w:ascii="仿宋" w:eastAsia="仿宋" w:hAnsi="仿宋" w:cs="仿宋" w:hint="eastAsia"/>
                <w:spacing w:val="8"/>
                <w:sz w:val="21"/>
              </w:rPr>
              <w:t>(</w:t>
            </w:r>
            <w:r>
              <w:rPr>
                <w:rFonts w:ascii="仿宋" w:eastAsia="仿宋" w:hAnsi="仿宋" w:cs="仿宋" w:hint="eastAsia"/>
                <w:spacing w:val="8"/>
                <w:sz w:val="21"/>
              </w:rPr>
              <w:t>09</w:t>
            </w:r>
            <w:r>
              <w:rPr>
                <w:rFonts w:ascii="仿宋" w:eastAsia="仿宋" w:hAnsi="仿宋" w:cs="仿宋" w:hint="eastAsia"/>
                <w:spacing w:val="8"/>
                <w:sz w:val="21"/>
              </w:rPr>
              <w:t>)</w:t>
            </w:r>
            <w:r>
              <w:rPr>
                <w:rFonts w:ascii="仿宋" w:eastAsia="仿宋" w:hAnsi="仿宋" w:cs="仿宋" w:hint="eastAsia"/>
                <w:spacing w:val="8"/>
                <w:sz w:val="21"/>
              </w:rPr>
              <w:t>、居住用地</w:t>
            </w:r>
            <w:r>
              <w:rPr>
                <w:rFonts w:ascii="仿宋" w:eastAsia="仿宋" w:hAnsi="仿宋" w:cs="仿宋" w:hint="eastAsia"/>
                <w:spacing w:val="8"/>
                <w:sz w:val="21"/>
              </w:rPr>
              <w:t>(07)</w:t>
            </w:r>
            <w:r>
              <w:rPr>
                <w:rFonts w:ascii="仿宋" w:eastAsia="仿宋" w:hAnsi="仿宋" w:cs="仿宋" w:hint="eastAsia"/>
                <w:spacing w:val="8"/>
                <w:sz w:val="21"/>
              </w:rPr>
              <w:t>、工矿用地</w:t>
            </w:r>
            <w:r>
              <w:rPr>
                <w:rFonts w:ascii="仿宋" w:eastAsia="仿宋" w:hAnsi="仿宋" w:cs="仿宋" w:hint="eastAsia"/>
                <w:spacing w:val="8"/>
                <w:sz w:val="21"/>
              </w:rPr>
              <w:t>(10)</w:t>
            </w:r>
            <w:r>
              <w:rPr>
                <w:rFonts w:ascii="仿宋" w:eastAsia="仿宋" w:hAnsi="仿宋" w:cs="仿宋" w:hint="eastAsia"/>
                <w:spacing w:val="8"/>
                <w:sz w:val="21"/>
              </w:rPr>
              <w:t>、仓储用地</w:t>
            </w:r>
            <w:r>
              <w:rPr>
                <w:rFonts w:ascii="仿宋" w:eastAsia="仿宋" w:hAnsi="仿宋" w:cs="仿宋" w:hint="eastAsia"/>
                <w:spacing w:val="8"/>
                <w:sz w:val="21"/>
              </w:rPr>
              <w:tab/>
              <w:t>(11)</w:t>
            </w:r>
          </w:p>
        </w:tc>
        <w:tc>
          <w:tcPr>
            <w:tcW w:w="1777" w:type="dxa"/>
            <w:vAlign w:val="center"/>
          </w:tcPr>
          <w:p w:rsidR="00925AC4" w:rsidRDefault="00285E1E">
            <w:pPr>
              <w:tabs>
                <w:tab w:val="left" w:pos="103"/>
              </w:tabs>
              <w:spacing w:before="87" w:line="257" w:lineRule="auto"/>
              <w:ind w:right="6" w:firstLineChars="0" w:firstLine="0"/>
              <w:jc w:val="center"/>
              <w:rPr>
                <w:rFonts w:ascii="仿宋" w:eastAsia="仿宋" w:hAnsi="仿宋" w:cs="仿宋"/>
                <w:sz w:val="21"/>
              </w:rPr>
            </w:pPr>
            <w:r>
              <w:rPr>
                <w:rFonts w:ascii="仿宋" w:eastAsia="仿宋" w:hAnsi="仿宋" w:cs="仿宋" w:hint="eastAsia"/>
                <w:spacing w:val="5"/>
                <w:sz w:val="21"/>
              </w:rPr>
              <w:t>社会福利用地</w:t>
            </w:r>
            <w:r>
              <w:rPr>
                <w:rFonts w:ascii="仿宋" w:eastAsia="仿宋" w:hAnsi="仿宋" w:cs="仿宋" w:hint="eastAsia"/>
                <w:spacing w:val="5"/>
                <w:sz w:val="21"/>
              </w:rPr>
              <w:t>(0807)</w:t>
            </w:r>
            <w:r>
              <w:rPr>
                <w:rFonts w:ascii="仿宋" w:eastAsia="仿宋" w:hAnsi="仿宋" w:cs="仿宋" w:hint="eastAsia"/>
                <w:spacing w:val="-2"/>
                <w:sz w:val="21"/>
              </w:rPr>
              <w:t>、批发市场用地</w:t>
            </w:r>
            <w:r>
              <w:rPr>
                <w:rFonts w:ascii="仿宋" w:eastAsia="仿宋" w:hAnsi="仿宋" w:cs="仿宋" w:hint="eastAsia"/>
                <w:spacing w:val="-2"/>
                <w:sz w:val="21"/>
              </w:rPr>
              <w:t>(090102)</w:t>
            </w:r>
            <w:r>
              <w:rPr>
                <w:rFonts w:ascii="仿宋" w:eastAsia="仿宋" w:hAnsi="仿宋" w:cs="仿宋" w:hint="eastAsia"/>
                <w:spacing w:val="17"/>
                <w:sz w:val="21"/>
              </w:rPr>
              <w:t>、工矿用地</w:t>
            </w:r>
            <w:r>
              <w:rPr>
                <w:rFonts w:ascii="仿宋" w:eastAsia="仿宋" w:hAnsi="仿宋" w:cs="仿宋" w:hint="eastAsia"/>
                <w:spacing w:val="17"/>
                <w:sz w:val="21"/>
              </w:rPr>
              <w:t>(10)</w:t>
            </w:r>
            <w:r>
              <w:rPr>
                <w:rFonts w:ascii="仿宋" w:eastAsia="仿宋" w:hAnsi="仿宋" w:cs="仿宋" w:hint="eastAsia"/>
                <w:spacing w:val="17"/>
                <w:sz w:val="21"/>
              </w:rPr>
              <w:t>、仓储用地</w:t>
            </w:r>
            <w:r>
              <w:rPr>
                <w:rFonts w:ascii="仿宋" w:eastAsia="仿宋" w:hAnsi="仿宋" w:cs="仿宋" w:hint="eastAsia"/>
                <w:spacing w:val="17"/>
                <w:sz w:val="21"/>
              </w:rPr>
              <w:tab/>
              <w:t>(11)</w:t>
            </w:r>
          </w:p>
        </w:tc>
        <w:tc>
          <w:tcPr>
            <w:tcW w:w="1273" w:type="dxa"/>
            <w:vAlign w:val="center"/>
          </w:tcPr>
          <w:p w:rsidR="00925AC4" w:rsidRDefault="00285E1E">
            <w:pPr>
              <w:tabs>
                <w:tab w:val="left" w:pos="101"/>
              </w:tabs>
              <w:spacing w:before="87" w:line="256" w:lineRule="auto"/>
              <w:ind w:firstLineChars="0" w:firstLine="0"/>
              <w:jc w:val="center"/>
              <w:rPr>
                <w:rFonts w:ascii="仿宋" w:eastAsia="仿宋" w:hAnsi="仿宋" w:cs="仿宋"/>
                <w:sz w:val="21"/>
              </w:rPr>
            </w:pPr>
            <w:r>
              <w:rPr>
                <w:rFonts w:ascii="仿宋" w:eastAsia="仿宋" w:hAnsi="仿宋" w:cs="仿宋" w:hint="eastAsia"/>
                <w:spacing w:val="5"/>
                <w:sz w:val="21"/>
              </w:rPr>
              <w:t>社会福利用地</w:t>
            </w:r>
            <w:r>
              <w:rPr>
                <w:rFonts w:ascii="仿宋" w:eastAsia="仿宋" w:hAnsi="仿宋" w:cs="仿宋" w:hint="eastAsia"/>
                <w:spacing w:val="5"/>
                <w:sz w:val="21"/>
              </w:rPr>
              <w:t>(0807)</w:t>
            </w:r>
            <w:r>
              <w:rPr>
                <w:rFonts w:ascii="仿宋" w:eastAsia="仿宋" w:hAnsi="仿宋" w:cs="仿宋" w:hint="eastAsia"/>
                <w:spacing w:val="5"/>
                <w:sz w:val="21"/>
              </w:rPr>
              <w:t>、公用设施营业网点用地</w:t>
            </w:r>
            <w:r>
              <w:rPr>
                <w:rFonts w:ascii="仿宋" w:eastAsia="仿宋" w:hAnsi="仿宋" w:cs="仿宋" w:hint="eastAsia"/>
                <w:sz w:val="21"/>
              </w:rPr>
              <w:t xml:space="preserve"> </w:t>
            </w:r>
            <w:r>
              <w:rPr>
                <w:rFonts w:ascii="仿宋" w:eastAsia="仿宋" w:hAnsi="仿宋" w:cs="仿宋" w:hint="eastAsia"/>
                <w:sz w:val="21"/>
              </w:rPr>
              <w:tab/>
            </w:r>
            <w:r>
              <w:rPr>
                <w:rFonts w:ascii="仿宋" w:eastAsia="仿宋" w:hAnsi="仿宋" w:cs="仿宋" w:hint="eastAsia"/>
                <w:spacing w:val="-8"/>
                <w:sz w:val="21"/>
              </w:rPr>
              <w:t>(090105</w:t>
            </w:r>
            <w:r>
              <w:rPr>
                <w:rFonts w:ascii="仿宋" w:eastAsia="仿宋" w:hAnsi="仿宋" w:cs="仿宋" w:hint="eastAsia"/>
                <w:spacing w:val="-4"/>
                <w:sz w:val="21"/>
              </w:rPr>
              <w:t>)</w:t>
            </w:r>
            <w:r>
              <w:rPr>
                <w:rFonts w:ascii="仿宋" w:eastAsia="仿宋" w:hAnsi="仿宋" w:cs="仿宋" w:hint="eastAsia"/>
                <w:spacing w:val="-4"/>
                <w:sz w:val="21"/>
              </w:rPr>
              <w:t>、居住用地</w:t>
            </w:r>
            <w:r>
              <w:rPr>
                <w:rFonts w:ascii="仿宋" w:eastAsia="仿宋" w:hAnsi="仿宋" w:cs="仿宋" w:hint="eastAsia"/>
                <w:spacing w:val="-4"/>
                <w:sz w:val="21"/>
              </w:rPr>
              <w:t>(07)</w:t>
            </w:r>
            <w:r>
              <w:rPr>
                <w:rFonts w:ascii="仿宋" w:eastAsia="仿宋" w:hAnsi="仿宋" w:cs="仿宋" w:hint="eastAsia"/>
                <w:spacing w:val="-4"/>
                <w:sz w:val="21"/>
              </w:rPr>
              <w:t>、工矿用地</w:t>
            </w:r>
            <w:r>
              <w:rPr>
                <w:rFonts w:ascii="仿宋" w:eastAsia="仿宋" w:hAnsi="仿宋" w:cs="仿宋" w:hint="eastAsia"/>
                <w:spacing w:val="-4"/>
                <w:sz w:val="21"/>
              </w:rPr>
              <w:t>(10)</w:t>
            </w:r>
            <w:r>
              <w:rPr>
                <w:rFonts w:ascii="仿宋" w:eastAsia="仿宋" w:hAnsi="仿宋" w:cs="仿宋" w:hint="eastAsia"/>
                <w:spacing w:val="-4"/>
                <w:sz w:val="21"/>
              </w:rPr>
              <w:t>、</w:t>
            </w:r>
            <w:r>
              <w:rPr>
                <w:rFonts w:ascii="仿宋" w:eastAsia="仿宋" w:hAnsi="仿宋" w:cs="仿宋" w:hint="eastAsia"/>
                <w:spacing w:val="-4"/>
                <w:sz w:val="21"/>
              </w:rPr>
              <w:t xml:space="preserve"> </w:t>
            </w:r>
            <w:r>
              <w:rPr>
                <w:rFonts w:ascii="仿宋" w:eastAsia="仿宋" w:hAnsi="仿宋" w:cs="仿宋" w:hint="eastAsia"/>
                <w:spacing w:val="-4"/>
                <w:sz w:val="21"/>
              </w:rPr>
              <w:t>仓储用地</w:t>
            </w:r>
            <w:r>
              <w:rPr>
                <w:rFonts w:ascii="仿宋" w:eastAsia="仿宋" w:hAnsi="仿宋" w:cs="仿宋" w:hint="eastAsia"/>
                <w:spacing w:val="-4"/>
                <w:sz w:val="21"/>
              </w:rPr>
              <w:tab/>
              <w:t>(11)</w:t>
            </w:r>
          </w:p>
        </w:tc>
        <w:tc>
          <w:tcPr>
            <w:tcW w:w="1355" w:type="dxa"/>
            <w:vAlign w:val="center"/>
          </w:tcPr>
          <w:p w:rsidR="00925AC4" w:rsidRDefault="00285E1E">
            <w:pPr>
              <w:tabs>
                <w:tab w:val="left" w:pos="103"/>
              </w:tabs>
              <w:spacing w:before="271" w:line="243" w:lineRule="auto"/>
              <w:ind w:firstLineChars="0" w:firstLine="0"/>
              <w:jc w:val="center"/>
              <w:rPr>
                <w:rFonts w:ascii="仿宋" w:eastAsia="仿宋" w:hAnsi="仿宋" w:cs="仿宋"/>
                <w:sz w:val="21"/>
              </w:rPr>
            </w:pPr>
            <w:r>
              <w:rPr>
                <w:rFonts w:ascii="仿宋" w:eastAsia="仿宋" w:hAnsi="仿宋" w:cs="仿宋" w:hint="eastAsia"/>
                <w:spacing w:val="13"/>
                <w:sz w:val="21"/>
              </w:rPr>
              <w:t>公共管理与公共服务用地</w:t>
            </w:r>
            <w:r>
              <w:rPr>
                <w:rFonts w:ascii="仿宋" w:eastAsia="仿宋" w:hAnsi="仿宋" w:cs="仿宋" w:hint="eastAsia"/>
                <w:spacing w:val="13"/>
                <w:sz w:val="21"/>
              </w:rPr>
              <w:t>(</w:t>
            </w:r>
            <w:r>
              <w:rPr>
                <w:rFonts w:ascii="仿宋" w:eastAsia="仿宋" w:hAnsi="仿宋" w:cs="仿宋" w:hint="eastAsia"/>
                <w:spacing w:val="13"/>
                <w:sz w:val="21"/>
              </w:rPr>
              <w:t>08</w:t>
            </w:r>
            <w:r>
              <w:rPr>
                <w:rFonts w:ascii="仿宋" w:eastAsia="仿宋" w:hAnsi="仿宋" w:cs="仿宋" w:hint="eastAsia"/>
                <w:spacing w:val="13"/>
                <w:sz w:val="21"/>
              </w:rPr>
              <w:t>)</w:t>
            </w:r>
            <w:r>
              <w:rPr>
                <w:rFonts w:ascii="仿宋" w:eastAsia="仿宋" w:hAnsi="仿宋" w:cs="仿宋" w:hint="eastAsia"/>
                <w:spacing w:val="13"/>
                <w:sz w:val="21"/>
              </w:rPr>
              <w:t>、商业服务业用地</w:t>
            </w:r>
            <w:r>
              <w:rPr>
                <w:rFonts w:ascii="仿宋" w:eastAsia="仿宋" w:hAnsi="仿宋" w:cs="仿宋" w:hint="eastAsia"/>
                <w:spacing w:val="14"/>
                <w:sz w:val="21"/>
              </w:rPr>
              <w:t>(</w:t>
            </w:r>
            <w:r>
              <w:rPr>
                <w:rFonts w:ascii="仿宋" w:eastAsia="仿宋" w:hAnsi="仿宋" w:cs="仿宋" w:hint="eastAsia"/>
                <w:spacing w:val="14"/>
                <w:sz w:val="21"/>
              </w:rPr>
              <w:t>09</w:t>
            </w:r>
            <w:r>
              <w:rPr>
                <w:rFonts w:ascii="仿宋" w:eastAsia="仿宋" w:hAnsi="仿宋" w:cs="仿宋" w:hint="eastAsia"/>
                <w:spacing w:val="14"/>
                <w:sz w:val="21"/>
              </w:rPr>
              <w:t>)</w:t>
            </w:r>
            <w:r>
              <w:rPr>
                <w:rFonts w:ascii="仿宋" w:eastAsia="仿宋" w:hAnsi="仿宋" w:cs="仿宋" w:hint="eastAsia"/>
                <w:spacing w:val="14"/>
                <w:sz w:val="21"/>
              </w:rPr>
              <w:t>、居住用地</w:t>
            </w:r>
            <w:r>
              <w:rPr>
                <w:rFonts w:ascii="仿宋" w:eastAsia="仿宋" w:hAnsi="仿宋" w:cs="仿宋" w:hint="eastAsia"/>
                <w:spacing w:val="14"/>
                <w:sz w:val="21"/>
              </w:rPr>
              <w:t>(</w:t>
            </w:r>
            <w:r>
              <w:rPr>
                <w:rFonts w:ascii="仿宋" w:eastAsia="仿宋" w:hAnsi="仿宋" w:cs="仿宋" w:hint="eastAsia"/>
                <w:spacing w:val="14"/>
                <w:sz w:val="21"/>
              </w:rPr>
              <w:t>07</w:t>
            </w:r>
            <w:r>
              <w:rPr>
                <w:rFonts w:ascii="仿宋" w:eastAsia="仿宋" w:hAnsi="仿宋" w:cs="仿宋" w:hint="eastAsia"/>
                <w:spacing w:val="14"/>
                <w:sz w:val="21"/>
              </w:rPr>
              <w:t>)</w:t>
            </w:r>
            <w:r>
              <w:rPr>
                <w:rFonts w:ascii="仿宋" w:eastAsia="仿宋" w:hAnsi="仿宋" w:cs="仿宋" w:hint="eastAsia"/>
                <w:spacing w:val="14"/>
                <w:sz w:val="21"/>
              </w:rPr>
              <w:t>、工矿用地</w:t>
            </w:r>
            <w:r>
              <w:rPr>
                <w:rFonts w:ascii="仿宋" w:eastAsia="仿宋" w:hAnsi="仿宋" w:cs="仿宋" w:hint="eastAsia"/>
                <w:spacing w:val="9"/>
                <w:sz w:val="21"/>
              </w:rPr>
              <w:t>(</w:t>
            </w:r>
            <w:r>
              <w:rPr>
                <w:rFonts w:ascii="仿宋" w:eastAsia="仿宋" w:hAnsi="仿宋" w:cs="仿宋" w:hint="eastAsia"/>
                <w:spacing w:val="9"/>
                <w:sz w:val="21"/>
              </w:rPr>
              <w:t>10</w:t>
            </w:r>
            <w:r>
              <w:rPr>
                <w:rFonts w:ascii="仿宋" w:eastAsia="仿宋" w:hAnsi="仿宋" w:cs="仿宋" w:hint="eastAsia"/>
                <w:spacing w:val="9"/>
                <w:sz w:val="21"/>
              </w:rPr>
              <w:t>)</w:t>
            </w:r>
            <w:r>
              <w:rPr>
                <w:rFonts w:ascii="仿宋" w:eastAsia="仿宋" w:hAnsi="仿宋" w:cs="仿宋" w:hint="eastAsia"/>
                <w:spacing w:val="8"/>
                <w:sz w:val="21"/>
              </w:rPr>
              <w:t>、</w:t>
            </w:r>
            <w:r>
              <w:rPr>
                <w:rFonts w:ascii="仿宋" w:eastAsia="仿宋" w:hAnsi="仿宋" w:cs="仿宋" w:hint="eastAsia"/>
                <w:sz w:val="21"/>
              </w:rPr>
              <w:t xml:space="preserve"> </w:t>
            </w:r>
            <w:r>
              <w:rPr>
                <w:rFonts w:ascii="仿宋" w:eastAsia="仿宋" w:hAnsi="仿宋" w:cs="仿宋" w:hint="eastAsia"/>
                <w:spacing w:val="14"/>
                <w:sz w:val="21"/>
              </w:rPr>
              <w:t>仓储用地</w:t>
            </w:r>
            <w:r>
              <w:rPr>
                <w:rFonts w:ascii="仿宋" w:eastAsia="仿宋" w:hAnsi="仿宋" w:cs="仿宋" w:hint="eastAsia"/>
                <w:sz w:val="21"/>
              </w:rPr>
              <w:tab/>
            </w:r>
            <w:r>
              <w:rPr>
                <w:rFonts w:ascii="仿宋" w:eastAsia="仿宋" w:hAnsi="仿宋" w:cs="仿宋" w:hint="eastAsia"/>
                <w:spacing w:val="7"/>
                <w:sz w:val="21"/>
              </w:rPr>
              <w:t>(</w:t>
            </w:r>
            <w:r>
              <w:rPr>
                <w:rFonts w:ascii="仿宋" w:eastAsia="仿宋" w:hAnsi="仿宋" w:cs="仿宋" w:hint="eastAsia"/>
                <w:spacing w:val="5"/>
                <w:sz w:val="21"/>
              </w:rPr>
              <w:t>11</w:t>
            </w:r>
            <w:r>
              <w:rPr>
                <w:rFonts w:ascii="仿宋" w:eastAsia="仿宋" w:hAnsi="仿宋" w:cs="仿宋" w:hint="eastAsia"/>
                <w:spacing w:val="5"/>
                <w:sz w:val="21"/>
              </w:rPr>
              <w:t>)</w:t>
            </w:r>
          </w:p>
        </w:tc>
        <w:tc>
          <w:tcPr>
            <w:tcW w:w="1298" w:type="dxa"/>
            <w:tcBorders>
              <w:right w:val="single" w:sz="4" w:space="0" w:color="000000"/>
            </w:tcBorders>
            <w:vAlign w:val="center"/>
          </w:tcPr>
          <w:p w:rsidR="00925AC4" w:rsidRDefault="00285E1E">
            <w:pPr>
              <w:tabs>
                <w:tab w:val="left" w:pos="95"/>
              </w:tabs>
              <w:spacing w:before="105" w:line="257" w:lineRule="auto"/>
              <w:ind w:firstLineChars="0" w:firstLine="0"/>
              <w:jc w:val="center"/>
              <w:rPr>
                <w:rFonts w:ascii="仿宋" w:eastAsia="仿宋" w:hAnsi="仿宋" w:cs="仿宋"/>
                <w:sz w:val="21"/>
              </w:rPr>
            </w:pPr>
            <w:r>
              <w:rPr>
                <w:rFonts w:ascii="仿宋" w:eastAsia="仿宋" w:hAnsi="仿宋" w:cs="仿宋" w:hint="eastAsia"/>
                <w:spacing w:val="13"/>
                <w:sz w:val="21"/>
              </w:rPr>
              <w:t>公共管理与公共服务用地</w:t>
            </w:r>
            <w:r>
              <w:rPr>
                <w:rFonts w:ascii="仿宋" w:eastAsia="仿宋" w:hAnsi="仿宋" w:cs="仿宋" w:hint="eastAsia"/>
                <w:spacing w:val="13"/>
                <w:sz w:val="21"/>
              </w:rPr>
              <w:t>(</w:t>
            </w:r>
            <w:r>
              <w:rPr>
                <w:rFonts w:ascii="仿宋" w:eastAsia="仿宋" w:hAnsi="仿宋" w:cs="仿宋" w:hint="eastAsia"/>
                <w:spacing w:val="13"/>
                <w:sz w:val="21"/>
              </w:rPr>
              <w:t>08</w:t>
            </w:r>
            <w:r>
              <w:rPr>
                <w:rFonts w:ascii="仿宋" w:eastAsia="仿宋" w:hAnsi="仿宋" w:cs="仿宋" w:hint="eastAsia"/>
                <w:spacing w:val="13"/>
                <w:sz w:val="21"/>
              </w:rPr>
              <w:t>)</w:t>
            </w:r>
            <w:r>
              <w:rPr>
                <w:rFonts w:ascii="仿宋" w:eastAsia="仿宋" w:hAnsi="仿宋" w:cs="仿宋" w:hint="eastAsia"/>
                <w:spacing w:val="13"/>
                <w:sz w:val="21"/>
              </w:rPr>
              <w:t>、商业服务业用地</w:t>
            </w:r>
            <w:r>
              <w:rPr>
                <w:rFonts w:ascii="仿宋" w:eastAsia="仿宋" w:hAnsi="仿宋" w:cs="仿宋" w:hint="eastAsia"/>
                <w:spacing w:val="14"/>
                <w:sz w:val="21"/>
              </w:rPr>
              <w:t>(</w:t>
            </w:r>
            <w:r>
              <w:rPr>
                <w:rFonts w:ascii="仿宋" w:eastAsia="仿宋" w:hAnsi="仿宋" w:cs="仿宋" w:hint="eastAsia"/>
                <w:spacing w:val="14"/>
                <w:sz w:val="21"/>
              </w:rPr>
              <w:t>09</w:t>
            </w:r>
            <w:r>
              <w:rPr>
                <w:rFonts w:ascii="仿宋" w:eastAsia="仿宋" w:hAnsi="仿宋" w:cs="仿宋" w:hint="eastAsia"/>
                <w:spacing w:val="14"/>
                <w:sz w:val="21"/>
              </w:rPr>
              <w:t>)</w:t>
            </w:r>
            <w:r>
              <w:rPr>
                <w:rFonts w:ascii="仿宋" w:eastAsia="仿宋" w:hAnsi="仿宋" w:cs="仿宋" w:hint="eastAsia"/>
                <w:spacing w:val="14"/>
                <w:sz w:val="21"/>
              </w:rPr>
              <w:t>、居住用地</w:t>
            </w:r>
            <w:r>
              <w:rPr>
                <w:rFonts w:ascii="仿宋" w:eastAsia="仿宋" w:hAnsi="仿宋" w:cs="仿宋" w:hint="eastAsia"/>
                <w:spacing w:val="14"/>
                <w:sz w:val="21"/>
              </w:rPr>
              <w:t>(</w:t>
            </w:r>
            <w:r>
              <w:rPr>
                <w:rFonts w:ascii="仿宋" w:eastAsia="仿宋" w:hAnsi="仿宋" w:cs="仿宋" w:hint="eastAsia"/>
                <w:spacing w:val="14"/>
                <w:sz w:val="21"/>
              </w:rPr>
              <w:t>07</w:t>
            </w:r>
            <w:r>
              <w:rPr>
                <w:rFonts w:ascii="仿宋" w:eastAsia="仿宋" w:hAnsi="仿宋" w:cs="仿宋" w:hint="eastAsia"/>
                <w:spacing w:val="14"/>
                <w:sz w:val="21"/>
              </w:rPr>
              <w:t>)</w:t>
            </w:r>
            <w:r>
              <w:rPr>
                <w:rFonts w:ascii="仿宋" w:eastAsia="仿宋" w:hAnsi="仿宋" w:cs="仿宋" w:hint="eastAsia"/>
                <w:spacing w:val="14"/>
                <w:sz w:val="21"/>
              </w:rPr>
              <w:t>、工矿用地</w:t>
            </w:r>
            <w:r>
              <w:rPr>
                <w:rFonts w:ascii="仿宋" w:eastAsia="仿宋" w:hAnsi="仿宋" w:cs="仿宋" w:hint="eastAsia"/>
                <w:spacing w:val="9"/>
                <w:sz w:val="21"/>
              </w:rPr>
              <w:t>(</w:t>
            </w:r>
            <w:r>
              <w:rPr>
                <w:rFonts w:ascii="仿宋" w:eastAsia="仿宋" w:hAnsi="仿宋" w:cs="仿宋" w:hint="eastAsia"/>
                <w:spacing w:val="9"/>
                <w:sz w:val="21"/>
              </w:rPr>
              <w:t>10</w:t>
            </w:r>
            <w:r>
              <w:rPr>
                <w:rFonts w:ascii="仿宋" w:eastAsia="仿宋" w:hAnsi="仿宋" w:cs="仿宋" w:hint="eastAsia"/>
                <w:spacing w:val="9"/>
                <w:sz w:val="21"/>
              </w:rPr>
              <w:t>)</w:t>
            </w:r>
            <w:r>
              <w:rPr>
                <w:rFonts w:ascii="仿宋" w:eastAsia="仿宋" w:hAnsi="仿宋" w:cs="仿宋" w:hint="eastAsia"/>
                <w:spacing w:val="8"/>
                <w:sz w:val="21"/>
              </w:rPr>
              <w:t>、</w:t>
            </w:r>
            <w:r>
              <w:rPr>
                <w:rFonts w:ascii="仿宋" w:eastAsia="仿宋" w:hAnsi="仿宋" w:cs="仿宋" w:hint="eastAsia"/>
                <w:spacing w:val="14"/>
                <w:sz w:val="21"/>
              </w:rPr>
              <w:t>仓储用地</w:t>
            </w:r>
            <w:r>
              <w:rPr>
                <w:rFonts w:ascii="仿宋" w:eastAsia="仿宋" w:hAnsi="仿宋" w:cs="仿宋" w:hint="eastAsia"/>
                <w:spacing w:val="7"/>
                <w:sz w:val="21"/>
              </w:rPr>
              <w:t>(</w:t>
            </w:r>
            <w:r>
              <w:rPr>
                <w:rFonts w:ascii="仿宋" w:eastAsia="仿宋" w:hAnsi="仿宋" w:cs="仿宋" w:hint="eastAsia"/>
                <w:spacing w:val="5"/>
                <w:sz w:val="21"/>
              </w:rPr>
              <w:t>11</w:t>
            </w:r>
            <w:r>
              <w:rPr>
                <w:rFonts w:ascii="仿宋" w:eastAsia="仿宋" w:hAnsi="仿宋" w:cs="仿宋" w:hint="eastAsia"/>
                <w:spacing w:val="5"/>
                <w:sz w:val="21"/>
              </w:rPr>
              <w:t>)</w:t>
            </w:r>
          </w:p>
        </w:tc>
      </w:tr>
    </w:tbl>
    <w:p w:rsidR="00925AC4" w:rsidRDefault="00925AC4">
      <w:pPr>
        <w:pStyle w:val="ac"/>
        <w:ind w:firstLineChars="0" w:firstLine="0"/>
        <w:rPr>
          <w:rFonts w:ascii="仿宋" w:eastAsia="仿宋" w:hAnsi="仿宋" w:cs="仿宋"/>
          <w:color w:val="auto"/>
        </w:rPr>
      </w:pPr>
    </w:p>
    <w:p w:rsidR="00925AC4" w:rsidRDefault="00925AC4">
      <w:pPr>
        <w:pStyle w:val="ac"/>
        <w:ind w:firstLineChars="0" w:firstLine="0"/>
        <w:rPr>
          <w:rFonts w:ascii="仿宋" w:eastAsia="仿宋" w:hAnsi="仿宋" w:cs="仿宋"/>
          <w:color w:val="auto"/>
        </w:rPr>
      </w:pPr>
    </w:p>
    <w:p w:rsidR="00925AC4" w:rsidRDefault="00925AC4">
      <w:pPr>
        <w:pStyle w:val="ac"/>
        <w:ind w:firstLineChars="0" w:firstLine="0"/>
        <w:rPr>
          <w:rFonts w:ascii="仿宋" w:eastAsia="仿宋" w:hAnsi="仿宋" w:cs="仿宋"/>
          <w:color w:val="auto"/>
        </w:rPr>
        <w:sectPr w:rsidR="00925AC4">
          <w:pgSz w:w="11900" w:h="16840"/>
          <w:pgMar w:top="1431" w:right="1465" w:bottom="1849" w:left="1564" w:header="0" w:footer="1581" w:gutter="0"/>
          <w:cols w:space="720"/>
        </w:sectPr>
      </w:pPr>
    </w:p>
    <w:p w:rsidR="00925AC4" w:rsidRDefault="00285E1E">
      <w:pPr>
        <w:spacing w:before="135" w:line="190" w:lineRule="auto"/>
        <w:ind w:firstLineChars="0" w:firstLine="0"/>
        <w:jc w:val="center"/>
        <w:rPr>
          <w:rFonts w:ascii="仿宋" w:eastAsia="仿宋" w:hAnsi="仿宋" w:cs="仿宋"/>
          <w:szCs w:val="28"/>
        </w:rPr>
      </w:pPr>
      <w:r>
        <w:rPr>
          <w:rFonts w:ascii="仿宋" w:eastAsia="仿宋" w:hAnsi="仿宋" w:cs="仿宋" w:hint="eastAsia"/>
          <w:szCs w:val="28"/>
        </w:rPr>
        <w:lastRenderedPageBreak/>
        <w:t>表</w:t>
      </w:r>
      <w:r>
        <w:rPr>
          <w:rFonts w:ascii="仿宋" w:eastAsia="仿宋" w:hAnsi="仿宋" w:cs="仿宋" w:hint="eastAsia"/>
          <w:szCs w:val="28"/>
        </w:rPr>
        <w:t xml:space="preserve">3-3 </w:t>
      </w:r>
      <w:r>
        <w:rPr>
          <w:rFonts w:ascii="仿宋" w:eastAsia="仿宋" w:hAnsi="仿宋" w:cs="仿宋" w:hint="eastAsia"/>
          <w:szCs w:val="28"/>
        </w:rPr>
        <w:t>规划工业用地、物流仓储用地兼容性规定表</w:t>
      </w:r>
    </w:p>
    <w:tbl>
      <w:tblPr>
        <w:tblStyle w:val="TableNormal"/>
        <w:tblW w:w="897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66"/>
        <w:gridCol w:w="3655"/>
        <w:gridCol w:w="3758"/>
      </w:tblGrid>
      <w:tr w:rsidR="00925AC4">
        <w:trPr>
          <w:trHeight w:val="438"/>
        </w:trPr>
        <w:tc>
          <w:tcPr>
            <w:tcW w:w="1566" w:type="dxa"/>
            <w:tcBorders>
              <w:left w:val="single" w:sz="4" w:space="0" w:color="000000"/>
            </w:tcBorders>
            <w:vAlign w:val="center"/>
          </w:tcPr>
          <w:p w:rsidR="00925AC4" w:rsidRDefault="00285E1E">
            <w:pPr>
              <w:spacing w:before="114" w:line="186" w:lineRule="auto"/>
              <w:ind w:firstLineChars="0" w:firstLine="0"/>
              <w:jc w:val="center"/>
              <w:rPr>
                <w:rFonts w:ascii="仿宋" w:eastAsia="仿宋" w:hAnsi="仿宋" w:cs="仿宋"/>
                <w:sz w:val="24"/>
                <w:szCs w:val="24"/>
              </w:rPr>
            </w:pPr>
            <w:r>
              <w:rPr>
                <w:rFonts w:ascii="仿宋" w:eastAsia="仿宋" w:hAnsi="仿宋" w:cs="仿宋" w:hint="eastAsia"/>
                <w:spacing w:val="-7"/>
                <w:sz w:val="24"/>
                <w:szCs w:val="24"/>
              </w:rPr>
              <w:t>主</w:t>
            </w:r>
            <w:r>
              <w:rPr>
                <w:rFonts w:ascii="仿宋" w:eastAsia="仿宋" w:hAnsi="仿宋" w:cs="仿宋" w:hint="eastAsia"/>
                <w:spacing w:val="-6"/>
                <w:sz w:val="24"/>
                <w:szCs w:val="24"/>
              </w:rPr>
              <w:t>要用地性质</w:t>
            </w:r>
          </w:p>
        </w:tc>
        <w:tc>
          <w:tcPr>
            <w:tcW w:w="3655" w:type="dxa"/>
            <w:vAlign w:val="center"/>
          </w:tcPr>
          <w:p w:rsidR="00925AC4" w:rsidRDefault="00285E1E">
            <w:pPr>
              <w:spacing w:before="122" w:line="178" w:lineRule="auto"/>
              <w:ind w:firstLineChars="0" w:firstLine="0"/>
              <w:jc w:val="center"/>
              <w:rPr>
                <w:rFonts w:ascii="仿宋" w:eastAsia="仿宋" w:hAnsi="仿宋" w:cs="仿宋"/>
                <w:sz w:val="24"/>
                <w:szCs w:val="24"/>
              </w:rPr>
            </w:pPr>
            <w:r>
              <w:rPr>
                <w:rFonts w:ascii="仿宋" w:eastAsia="仿宋" w:hAnsi="仿宋" w:cs="仿宋" w:hint="eastAsia"/>
                <w:sz w:val="24"/>
                <w:szCs w:val="24"/>
              </w:rPr>
              <w:t>工矿用地</w:t>
            </w:r>
            <w:r>
              <w:rPr>
                <w:rFonts w:ascii="仿宋" w:eastAsia="仿宋" w:hAnsi="仿宋" w:cs="仿宋" w:hint="eastAsia"/>
                <w:sz w:val="24"/>
                <w:szCs w:val="24"/>
              </w:rPr>
              <w:t>(10)</w:t>
            </w:r>
          </w:p>
        </w:tc>
        <w:tc>
          <w:tcPr>
            <w:tcW w:w="3758" w:type="dxa"/>
            <w:tcBorders>
              <w:right w:val="single" w:sz="4" w:space="0" w:color="000000"/>
            </w:tcBorders>
            <w:vAlign w:val="center"/>
          </w:tcPr>
          <w:p w:rsidR="00925AC4" w:rsidRDefault="00285E1E">
            <w:pPr>
              <w:spacing w:before="115" w:line="182" w:lineRule="auto"/>
              <w:ind w:firstLineChars="0" w:firstLine="0"/>
              <w:jc w:val="center"/>
              <w:rPr>
                <w:rFonts w:ascii="仿宋" w:eastAsia="仿宋" w:hAnsi="仿宋" w:cs="仿宋"/>
                <w:sz w:val="24"/>
                <w:szCs w:val="24"/>
              </w:rPr>
            </w:pPr>
            <w:r>
              <w:rPr>
                <w:rFonts w:ascii="仿宋" w:eastAsia="仿宋" w:hAnsi="仿宋" w:cs="仿宋" w:hint="eastAsia"/>
                <w:sz w:val="24"/>
                <w:szCs w:val="24"/>
              </w:rPr>
              <w:t>仓储用地</w:t>
            </w:r>
            <w:r>
              <w:rPr>
                <w:rFonts w:ascii="仿宋" w:eastAsia="仿宋" w:hAnsi="仿宋" w:cs="仿宋" w:hint="eastAsia"/>
                <w:sz w:val="24"/>
                <w:szCs w:val="24"/>
              </w:rPr>
              <w:t>(11)</w:t>
            </w:r>
          </w:p>
        </w:tc>
      </w:tr>
      <w:tr w:rsidR="00925AC4">
        <w:trPr>
          <w:trHeight w:val="912"/>
        </w:trPr>
        <w:tc>
          <w:tcPr>
            <w:tcW w:w="1566" w:type="dxa"/>
            <w:tcBorders>
              <w:left w:val="single" w:sz="4" w:space="0" w:color="000000"/>
            </w:tcBorders>
            <w:vAlign w:val="center"/>
          </w:tcPr>
          <w:p w:rsidR="00925AC4" w:rsidRDefault="00285E1E">
            <w:pPr>
              <w:pStyle w:val="a4"/>
              <w:ind w:firstLineChars="0" w:firstLine="0"/>
              <w:jc w:val="center"/>
              <w:rPr>
                <w:sz w:val="24"/>
                <w:szCs w:val="24"/>
              </w:rPr>
            </w:pPr>
            <w:r>
              <w:rPr>
                <w:rFonts w:hint="eastAsia"/>
                <w:sz w:val="24"/>
                <w:szCs w:val="24"/>
              </w:rPr>
              <w:t>允许兼容</w:t>
            </w:r>
          </w:p>
        </w:tc>
        <w:tc>
          <w:tcPr>
            <w:tcW w:w="3655" w:type="dxa"/>
            <w:vAlign w:val="center"/>
          </w:tcPr>
          <w:p w:rsidR="00925AC4" w:rsidRDefault="00285E1E">
            <w:pPr>
              <w:pStyle w:val="a4"/>
              <w:ind w:firstLineChars="0" w:firstLine="0"/>
              <w:jc w:val="center"/>
              <w:rPr>
                <w:sz w:val="24"/>
                <w:szCs w:val="24"/>
              </w:rPr>
            </w:pPr>
            <w:r>
              <w:rPr>
                <w:rFonts w:hint="eastAsia"/>
                <w:sz w:val="24"/>
                <w:szCs w:val="24"/>
              </w:rPr>
              <w:t>物流仓储用地</w:t>
            </w:r>
            <w:r>
              <w:rPr>
                <w:rFonts w:hint="eastAsia"/>
                <w:sz w:val="24"/>
                <w:szCs w:val="24"/>
              </w:rPr>
              <w:t>(11</w:t>
            </w:r>
            <w:r>
              <w:rPr>
                <w:rFonts w:hint="eastAsia"/>
                <w:sz w:val="24"/>
                <w:szCs w:val="24"/>
                <w:lang w:val="en-US"/>
              </w:rPr>
              <w:t>01</w:t>
            </w:r>
            <w:r>
              <w:rPr>
                <w:rFonts w:hint="eastAsia"/>
                <w:sz w:val="24"/>
                <w:szCs w:val="24"/>
              </w:rPr>
              <w:t>)</w:t>
            </w:r>
            <w:r>
              <w:rPr>
                <w:rFonts w:hint="eastAsia"/>
                <w:sz w:val="24"/>
                <w:szCs w:val="24"/>
              </w:rPr>
              <w:t>、绿地与开敞空间用地</w:t>
            </w:r>
            <w:r>
              <w:rPr>
                <w:rFonts w:hint="eastAsia"/>
                <w:sz w:val="24"/>
                <w:szCs w:val="24"/>
              </w:rPr>
              <w:t>(14)</w:t>
            </w:r>
          </w:p>
        </w:tc>
        <w:tc>
          <w:tcPr>
            <w:tcW w:w="3758" w:type="dxa"/>
            <w:tcBorders>
              <w:right w:val="single" w:sz="4" w:space="0" w:color="000000"/>
            </w:tcBorders>
            <w:vAlign w:val="center"/>
          </w:tcPr>
          <w:p w:rsidR="00925AC4" w:rsidRDefault="00285E1E">
            <w:pPr>
              <w:pStyle w:val="a4"/>
              <w:ind w:firstLineChars="0" w:firstLine="0"/>
              <w:jc w:val="center"/>
              <w:rPr>
                <w:sz w:val="24"/>
                <w:szCs w:val="24"/>
              </w:rPr>
            </w:pPr>
            <w:r>
              <w:rPr>
                <w:rFonts w:hint="eastAsia"/>
                <w:sz w:val="24"/>
                <w:szCs w:val="24"/>
              </w:rPr>
              <w:t>工业用地</w:t>
            </w:r>
            <w:r>
              <w:rPr>
                <w:rFonts w:hint="eastAsia"/>
                <w:sz w:val="24"/>
                <w:szCs w:val="24"/>
              </w:rPr>
              <w:t>(10</w:t>
            </w:r>
            <w:r>
              <w:rPr>
                <w:rFonts w:hint="eastAsia"/>
                <w:sz w:val="24"/>
                <w:szCs w:val="24"/>
                <w:lang w:val="en-US"/>
              </w:rPr>
              <w:t>01</w:t>
            </w:r>
            <w:r>
              <w:rPr>
                <w:rFonts w:hint="eastAsia"/>
                <w:sz w:val="24"/>
                <w:szCs w:val="24"/>
              </w:rPr>
              <w:t>)</w:t>
            </w:r>
            <w:r>
              <w:rPr>
                <w:rFonts w:hint="eastAsia"/>
                <w:sz w:val="24"/>
                <w:szCs w:val="24"/>
              </w:rPr>
              <w:t>、绿地与开敞空间用地</w:t>
            </w:r>
            <w:r>
              <w:rPr>
                <w:rFonts w:hint="eastAsia"/>
                <w:sz w:val="24"/>
                <w:szCs w:val="24"/>
              </w:rPr>
              <w:t>(14)</w:t>
            </w:r>
          </w:p>
        </w:tc>
      </w:tr>
      <w:tr w:rsidR="00925AC4">
        <w:trPr>
          <w:trHeight w:val="1265"/>
        </w:trPr>
        <w:tc>
          <w:tcPr>
            <w:tcW w:w="1566" w:type="dxa"/>
            <w:tcBorders>
              <w:left w:val="single" w:sz="4" w:space="0" w:color="000000"/>
            </w:tcBorders>
            <w:vAlign w:val="center"/>
          </w:tcPr>
          <w:p w:rsidR="00925AC4" w:rsidRDefault="00285E1E">
            <w:pPr>
              <w:pStyle w:val="a4"/>
              <w:ind w:firstLineChars="0" w:firstLine="0"/>
              <w:jc w:val="center"/>
              <w:rPr>
                <w:sz w:val="24"/>
                <w:szCs w:val="24"/>
              </w:rPr>
            </w:pPr>
            <w:r>
              <w:rPr>
                <w:rFonts w:hint="eastAsia"/>
                <w:sz w:val="24"/>
                <w:szCs w:val="24"/>
              </w:rPr>
              <w:t>禁止兼容</w:t>
            </w:r>
          </w:p>
        </w:tc>
        <w:tc>
          <w:tcPr>
            <w:tcW w:w="3655" w:type="dxa"/>
            <w:vAlign w:val="center"/>
          </w:tcPr>
          <w:p w:rsidR="00925AC4" w:rsidRDefault="00285E1E">
            <w:pPr>
              <w:pStyle w:val="a4"/>
              <w:ind w:firstLineChars="0" w:firstLine="0"/>
              <w:jc w:val="center"/>
              <w:rPr>
                <w:sz w:val="24"/>
                <w:szCs w:val="24"/>
              </w:rPr>
            </w:pPr>
            <w:r>
              <w:rPr>
                <w:rFonts w:hint="eastAsia"/>
                <w:sz w:val="24"/>
                <w:szCs w:val="24"/>
              </w:rPr>
              <w:t>公共管理与公共服务用地</w:t>
            </w:r>
            <w:r>
              <w:rPr>
                <w:rFonts w:hint="eastAsia"/>
                <w:sz w:val="24"/>
                <w:szCs w:val="24"/>
              </w:rPr>
              <w:t>(08)</w:t>
            </w:r>
            <w:r>
              <w:rPr>
                <w:rFonts w:hint="eastAsia"/>
                <w:sz w:val="24"/>
                <w:szCs w:val="24"/>
              </w:rPr>
              <w:t>、商业服务业用地</w:t>
            </w:r>
            <w:r>
              <w:rPr>
                <w:rFonts w:hint="eastAsia"/>
                <w:sz w:val="24"/>
                <w:szCs w:val="24"/>
              </w:rPr>
              <w:t>(09)</w:t>
            </w:r>
            <w:r>
              <w:rPr>
                <w:rFonts w:hint="eastAsia"/>
                <w:sz w:val="24"/>
                <w:szCs w:val="24"/>
              </w:rPr>
              <w:t>、居住用地</w:t>
            </w:r>
            <w:r>
              <w:rPr>
                <w:rFonts w:hint="eastAsia"/>
                <w:sz w:val="24"/>
                <w:szCs w:val="24"/>
              </w:rPr>
              <w:t>(07)</w:t>
            </w:r>
          </w:p>
        </w:tc>
        <w:tc>
          <w:tcPr>
            <w:tcW w:w="3758" w:type="dxa"/>
            <w:tcBorders>
              <w:right w:val="single" w:sz="4" w:space="0" w:color="000000"/>
            </w:tcBorders>
            <w:vAlign w:val="center"/>
          </w:tcPr>
          <w:p w:rsidR="00925AC4" w:rsidRDefault="00285E1E">
            <w:pPr>
              <w:pStyle w:val="a4"/>
              <w:ind w:firstLineChars="0" w:firstLine="0"/>
              <w:jc w:val="center"/>
              <w:rPr>
                <w:sz w:val="24"/>
                <w:szCs w:val="24"/>
              </w:rPr>
            </w:pPr>
            <w:r>
              <w:rPr>
                <w:rFonts w:hint="eastAsia"/>
                <w:sz w:val="24"/>
                <w:szCs w:val="24"/>
              </w:rPr>
              <w:t>公共管理与公共服务用地</w:t>
            </w:r>
            <w:r>
              <w:rPr>
                <w:rFonts w:hint="eastAsia"/>
                <w:sz w:val="24"/>
                <w:szCs w:val="24"/>
              </w:rPr>
              <w:t>(08)</w:t>
            </w:r>
            <w:r>
              <w:rPr>
                <w:rFonts w:hint="eastAsia"/>
                <w:sz w:val="24"/>
                <w:szCs w:val="24"/>
              </w:rPr>
              <w:t>、商业服务业用地</w:t>
            </w:r>
            <w:r>
              <w:rPr>
                <w:rFonts w:hint="eastAsia"/>
                <w:sz w:val="24"/>
                <w:szCs w:val="24"/>
              </w:rPr>
              <w:t>(09)</w:t>
            </w:r>
            <w:r>
              <w:rPr>
                <w:rFonts w:hint="eastAsia"/>
                <w:sz w:val="24"/>
                <w:szCs w:val="24"/>
              </w:rPr>
              <w:t>、居住用地</w:t>
            </w:r>
            <w:r>
              <w:rPr>
                <w:rFonts w:hint="eastAsia"/>
                <w:sz w:val="24"/>
                <w:szCs w:val="24"/>
              </w:rPr>
              <w:t>(07)</w:t>
            </w:r>
          </w:p>
        </w:tc>
      </w:tr>
    </w:tbl>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注：</w:t>
      </w:r>
    </w:p>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1</w:t>
      </w:r>
      <w:r>
        <w:rPr>
          <w:rFonts w:ascii="仿宋" w:eastAsia="仿宋" w:hAnsi="仿宋" w:cs="仿宋" w:hint="eastAsia"/>
          <w:color w:val="auto"/>
          <w:szCs w:val="24"/>
        </w:rPr>
        <w:t>.</w:t>
      </w:r>
      <w:r>
        <w:rPr>
          <w:rFonts w:ascii="仿宋" w:eastAsia="仿宋" w:hAnsi="仿宋" w:cs="仿宋" w:hint="eastAsia"/>
          <w:color w:val="auto"/>
          <w:szCs w:val="24"/>
        </w:rPr>
        <w:t>未列入本表的兼容性质要求的，应当在土地供应前，由</w:t>
      </w:r>
      <w:r>
        <w:rPr>
          <w:rFonts w:ascii="仿宋" w:eastAsia="仿宋" w:hAnsi="仿宋" w:cs="仿宋" w:hint="eastAsia"/>
          <w:color w:val="auto"/>
          <w:szCs w:val="24"/>
        </w:rPr>
        <w:t>自然资源</w:t>
      </w:r>
      <w:r>
        <w:rPr>
          <w:rFonts w:ascii="仿宋" w:eastAsia="仿宋" w:hAnsi="仿宋" w:cs="仿宋" w:hint="eastAsia"/>
          <w:color w:val="auto"/>
          <w:szCs w:val="24"/>
        </w:rPr>
        <w:t>主管部门经专题论证确定</w:t>
      </w:r>
      <w:r>
        <w:rPr>
          <w:rFonts w:ascii="仿宋" w:eastAsia="仿宋" w:hAnsi="仿宋" w:cs="仿宋" w:hint="eastAsia"/>
          <w:color w:val="auto"/>
          <w:szCs w:val="24"/>
        </w:rPr>
        <w:t>。</w:t>
      </w:r>
    </w:p>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2</w:t>
      </w:r>
      <w:r>
        <w:rPr>
          <w:rFonts w:ascii="仿宋" w:eastAsia="仿宋" w:hAnsi="仿宋" w:cs="仿宋" w:hint="eastAsia"/>
          <w:color w:val="auto"/>
          <w:szCs w:val="24"/>
        </w:rPr>
        <w:t>．居住用地</w:t>
      </w:r>
      <w:r>
        <w:rPr>
          <w:rFonts w:ascii="仿宋" w:eastAsia="仿宋" w:hAnsi="仿宋" w:cs="仿宋" w:hint="eastAsia"/>
          <w:color w:val="auto"/>
          <w:szCs w:val="24"/>
        </w:rPr>
        <w:t>(07)</w:t>
      </w:r>
      <w:r>
        <w:rPr>
          <w:rFonts w:ascii="仿宋" w:eastAsia="仿宋" w:hAnsi="仿宋" w:cs="仿宋" w:hint="eastAsia"/>
          <w:color w:val="auto"/>
          <w:szCs w:val="24"/>
        </w:rPr>
        <w:t>、商业服务业用地</w:t>
      </w:r>
      <w:r>
        <w:rPr>
          <w:rFonts w:ascii="仿宋" w:eastAsia="仿宋" w:hAnsi="仿宋" w:cs="仿宋" w:hint="eastAsia"/>
          <w:color w:val="auto"/>
          <w:szCs w:val="24"/>
        </w:rPr>
        <w:t>(09)</w:t>
      </w:r>
      <w:r>
        <w:rPr>
          <w:rFonts w:ascii="仿宋" w:eastAsia="仿宋" w:hAnsi="仿宋" w:cs="仿宋" w:hint="eastAsia"/>
          <w:color w:val="auto"/>
          <w:szCs w:val="24"/>
        </w:rPr>
        <w:t>类用地为主要用地性质，公共管理与公共服务用地</w:t>
      </w:r>
      <w:r>
        <w:rPr>
          <w:rFonts w:ascii="仿宋" w:eastAsia="仿宋" w:hAnsi="仿宋" w:cs="仿宋" w:hint="eastAsia"/>
          <w:color w:val="auto"/>
          <w:szCs w:val="24"/>
        </w:rPr>
        <w:t>(08)</w:t>
      </w:r>
      <w:r>
        <w:rPr>
          <w:rFonts w:ascii="仿宋" w:eastAsia="仿宋" w:hAnsi="仿宋" w:cs="仿宋" w:hint="eastAsia"/>
          <w:color w:val="auto"/>
          <w:szCs w:val="24"/>
        </w:rPr>
        <w:t>类用地为兼容用地性质的，控制性详细规划中未明确主要用地性质和兼容用地性质各自对应的用地面积、用地边界、计容建筑面积的，应当在建设用地规划条件函中予以明确</w:t>
      </w:r>
      <w:r>
        <w:rPr>
          <w:rFonts w:ascii="仿宋" w:eastAsia="仿宋" w:hAnsi="仿宋" w:cs="仿宋" w:hint="eastAsia"/>
          <w:color w:val="auto"/>
          <w:szCs w:val="24"/>
        </w:rPr>
        <w:t>。</w:t>
      </w:r>
    </w:p>
    <w:p w:rsidR="00925AC4" w:rsidRDefault="00285E1E" w:rsidP="008E7712">
      <w:pPr>
        <w:pStyle w:val="ac"/>
        <w:ind w:firstLine="480"/>
        <w:rPr>
          <w:rFonts w:ascii="仿宋" w:eastAsia="仿宋" w:hAnsi="仿宋" w:cs="仿宋"/>
          <w:color w:val="auto"/>
          <w:szCs w:val="24"/>
        </w:rPr>
      </w:pPr>
      <w:r>
        <w:rPr>
          <w:rFonts w:ascii="仿宋" w:eastAsia="仿宋" w:hAnsi="仿宋" w:cs="仿宋" w:hint="eastAsia"/>
          <w:color w:val="auto"/>
          <w:szCs w:val="24"/>
        </w:rPr>
        <w:t>3</w:t>
      </w:r>
      <w:r>
        <w:rPr>
          <w:rFonts w:ascii="仿宋" w:eastAsia="仿宋" w:hAnsi="仿宋" w:cs="仿宋" w:hint="eastAsia"/>
          <w:color w:val="auto"/>
          <w:szCs w:val="24"/>
        </w:rPr>
        <w:t>．其他用地性质为主要用地性质，绿地、广场用地为兼容用地性质的，应当在建设</w:t>
      </w:r>
      <w:r>
        <w:rPr>
          <w:rFonts w:ascii="仿宋" w:eastAsia="仿宋" w:hAnsi="仿宋" w:cs="仿宋" w:hint="eastAsia"/>
          <w:color w:val="auto"/>
          <w:szCs w:val="24"/>
        </w:rPr>
        <w:t xml:space="preserve"> </w:t>
      </w:r>
      <w:r>
        <w:rPr>
          <w:rFonts w:ascii="仿宋" w:eastAsia="仿宋" w:hAnsi="仿宋" w:cs="仿宋" w:hint="eastAsia"/>
          <w:color w:val="auto"/>
          <w:szCs w:val="24"/>
        </w:rPr>
        <w:t>用地选址意见书或者建设用地规划条件函中明确绿地、广场的用地面积、规划布局要求、是否纳入绿地率计算等内容</w:t>
      </w:r>
      <w:r>
        <w:rPr>
          <w:rFonts w:ascii="仿宋" w:eastAsia="仿宋" w:hAnsi="仿宋" w:cs="仿宋" w:hint="eastAsia"/>
          <w:color w:val="auto"/>
          <w:szCs w:val="24"/>
        </w:rPr>
        <w:t>。</w:t>
      </w:r>
    </w:p>
    <w:p w:rsidR="00925AC4" w:rsidRDefault="00285E1E" w:rsidP="008E7712">
      <w:pPr>
        <w:pStyle w:val="ac"/>
        <w:ind w:firstLine="480"/>
        <w:rPr>
          <w:rFonts w:ascii="仿宋" w:eastAsia="仿宋" w:hAnsi="仿宋" w:cs="仿宋"/>
          <w:color w:val="auto"/>
        </w:rPr>
        <w:sectPr w:rsidR="00925AC4">
          <w:pgSz w:w="11900" w:h="16840"/>
          <w:pgMar w:top="1431" w:right="1465" w:bottom="1849" w:left="1564" w:header="0" w:footer="1581" w:gutter="0"/>
          <w:cols w:space="720"/>
        </w:sectPr>
      </w:pPr>
      <w:r>
        <w:rPr>
          <w:rFonts w:ascii="仿宋" w:eastAsia="仿宋" w:hAnsi="仿宋" w:cs="仿宋" w:hint="eastAsia"/>
          <w:color w:val="auto"/>
          <w:szCs w:val="24"/>
        </w:rPr>
        <w:t>4</w:t>
      </w:r>
      <w:r>
        <w:rPr>
          <w:rFonts w:ascii="仿宋" w:eastAsia="仿宋" w:hAnsi="仿宋" w:cs="仿宋" w:hint="eastAsia"/>
          <w:color w:val="auto"/>
          <w:szCs w:val="24"/>
        </w:rPr>
        <w:t>．建设用地内规划的配套设施、无法独立占地的街道综合服务中心不受本表限制</w:t>
      </w:r>
      <w:r>
        <w:rPr>
          <w:rFonts w:ascii="仿宋" w:eastAsia="仿宋" w:hAnsi="仿宋" w:cs="仿宋" w:hint="eastAsia"/>
          <w:color w:val="auto"/>
          <w:szCs w:val="24"/>
        </w:rPr>
        <w:t>。</w:t>
      </w:r>
      <w:bookmarkStart w:id="89" w:name="_GoBack"/>
      <w:bookmarkEnd w:id="89"/>
    </w:p>
    <w:p w:rsidR="00925AC4" w:rsidRDefault="00925AC4">
      <w:pPr>
        <w:spacing w:before="135" w:line="190" w:lineRule="auto"/>
        <w:ind w:firstLineChars="0" w:firstLine="0"/>
        <w:jc w:val="both"/>
        <w:rPr>
          <w:rFonts w:ascii="仿宋" w:eastAsia="仿宋" w:hAnsi="仿宋" w:cs="仿宋"/>
          <w:sz w:val="31"/>
          <w:szCs w:val="31"/>
        </w:rPr>
      </w:pPr>
    </w:p>
    <w:sectPr w:rsidR="00925AC4" w:rsidSect="00925AC4">
      <w:footerReference w:type="default" r:id="rId58"/>
      <w:pgSz w:w="11900" w:h="16840"/>
      <w:pgMar w:top="1431" w:right="1125" w:bottom="400" w:left="1204" w:header="0" w:footer="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Mrs W" w:date="2023-03-30T17:16:00Z" w:initials="">
    <w:p w:rsidR="00925AC4" w:rsidRDefault="00285E1E" w:rsidP="008E7712">
      <w:pPr>
        <w:pStyle w:val="a3"/>
        <w:ind w:firstLine="560"/>
      </w:pPr>
      <w:r>
        <w:rPr>
          <w:rFonts w:hint="eastAsia"/>
        </w:rPr>
        <w:t>结合居住区规范确定</w:t>
      </w:r>
    </w:p>
    <w:p w:rsidR="00925AC4" w:rsidRDefault="00285E1E" w:rsidP="008E7712">
      <w:pPr>
        <w:pStyle w:val="a3"/>
        <w:ind w:firstLine="560"/>
      </w:pPr>
      <w:r>
        <w:rPr>
          <w:noProof/>
        </w:rPr>
        <w:drawing>
          <wp:inline distT="0" distB="0" distL="114300" distR="114300">
            <wp:extent cx="2294890" cy="1397000"/>
            <wp:effectExtent l="0" t="0" r="10160" b="1270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
                    <a:stretch>
                      <a:fillRect/>
                    </a:stretch>
                  </pic:blipFill>
                  <pic:spPr>
                    <a:xfrm>
                      <a:off x="0" y="0"/>
                      <a:ext cx="2294890" cy="1397000"/>
                    </a:xfrm>
                    <a:prstGeom prst="rect">
                      <a:avLst/>
                    </a:prstGeom>
                    <a:noFill/>
                    <a:ln>
                      <a:noFill/>
                    </a:ln>
                  </pic:spPr>
                </pic:pic>
              </a:graphicData>
            </a:graphic>
          </wp:inline>
        </w:drawing>
      </w:r>
    </w:p>
  </w:comment>
  <w:comment w:id="13" w:author="Mrs W" w:date="2023-03-30T17:13:00Z" w:initials="">
    <w:p w:rsidR="00925AC4" w:rsidRDefault="00285E1E" w:rsidP="008E7712">
      <w:pPr>
        <w:pStyle w:val="a3"/>
        <w:ind w:firstLine="560"/>
      </w:pPr>
      <w:r>
        <w:rPr>
          <w:noProof/>
        </w:rPr>
        <w:drawing>
          <wp:inline distT="0" distB="0" distL="114300" distR="114300">
            <wp:extent cx="2345690" cy="1546860"/>
            <wp:effectExtent l="0" t="0" r="16510" b="1524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2"/>
                    <a:stretch>
                      <a:fillRect/>
                    </a:stretch>
                  </pic:blipFill>
                  <pic:spPr>
                    <a:xfrm>
                      <a:off x="0" y="0"/>
                      <a:ext cx="2345690" cy="1546860"/>
                    </a:xfrm>
                    <a:prstGeom prst="rect">
                      <a:avLst/>
                    </a:prstGeom>
                  </pic:spPr>
                </pic:pic>
              </a:graphicData>
            </a:graphic>
          </wp:inline>
        </w:drawing>
      </w:r>
    </w:p>
  </w:comment>
  <w:comment w:id="15" w:author="Mrs W" w:date="2023-04-03T16:53:00Z" w:initials="">
    <w:p w:rsidR="00925AC4" w:rsidRDefault="00285E1E">
      <w:pPr>
        <w:pStyle w:val="a3"/>
        <w:ind w:firstLineChars="0" w:firstLine="0"/>
      </w:pPr>
      <w:r>
        <w:rPr>
          <w:rFonts w:hint="eastAsia"/>
        </w:rPr>
        <w:t>标准的合理性，达州市是</w:t>
      </w:r>
      <w:r>
        <w:rPr>
          <w:rFonts w:hint="eastAsia"/>
        </w:rPr>
        <w:t>2000</w:t>
      </w:r>
      <w:r>
        <w:rPr>
          <w:rFonts w:hint="eastAsia"/>
        </w:rPr>
        <w:t>和</w:t>
      </w:r>
      <w:r>
        <w:rPr>
          <w:rFonts w:hint="eastAsia"/>
        </w:rPr>
        <w:t>1000</w:t>
      </w:r>
      <w:r>
        <w:rPr>
          <w:rFonts w:hint="eastAsia"/>
        </w:rPr>
        <w:t>平方米</w:t>
      </w:r>
    </w:p>
    <w:p w:rsidR="00925AC4" w:rsidRDefault="00925AC4">
      <w:pPr>
        <w:pStyle w:val="a3"/>
        <w:ind w:firstLineChars="0" w:firstLine="0"/>
      </w:pPr>
    </w:p>
    <w:p w:rsidR="00925AC4" w:rsidRDefault="00285E1E">
      <w:pPr>
        <w:pStyle w:val="a3"/>
        <w:ind w:firstLineChars="0" w:firstLine="0"/>
      </w:pPr>
      <w:r>
        <w:rPr>
          <w:rFonts w:hint="eastAsia"/>
        </w:rPr>
        <w:t>成都市</w:t>
      </w:r>
    </w:p>
    <w:p w:rsidR="00925AC4" w:rsidRDefault="00285E1E">
      <w:pPr>
        <w:pStyle w:val="a3"/>
        <w:ind w:firstLineChars="0" w:firstLine="0"/>
      </w:pPr>
      <w:r>
        <w:rPr>
          <w:noProof/>
        </w:rPr>
        <w:drawing>
          <wp:inline distT="0" distB="0" distL="114300" distR="114300">
            <wp:extent cx="2405380" cy="1009650"/>
            <wp:effectExtent l="0" t="0" r="1397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
                    <a:stretch>
                      <a:fillRect/>
                    </a:stretch>
                  </pic:blipFill>
                  <pic:spPr>
                    <a:xfrm>
                      <a:off x="0" y="0"/>
                      <a:ext cx="2405380" cy="1009650"/>
                    </a:xfrm>
                    <a:prstGeom prst="rect">
                      <a:avLst/>
                    </a:prstGeom>
                    <a:noFill/>
                    <a:ln>
                      <a:noFill/>
                    </a:ln>
                  </pic:spPr>
                </pic:pic>
              </a:graphicData>
            </a:graphic>
          </wp:inline>
        </w:drawing>
      </w:r>
    </w:p>
  </w:comment>
  <w:comment w:id="16" w:author="Mrs W" w:date="2023-03-30T17:40:00Z" w:initials="">
    <w:p w:rsidR="00925AC4" w:rsidRDefault="00285E1E" w:rsidP="008E7712">
      <w:pPr>
        <w:pStyle w:val="a3"/>
        <w:ind w:firstLine="560"/>
      </w:pPr>
      <w:r>
        <w:rPr>
          <w:rFonts w:hint="eastAsia"/>
        </w:rPr>
        <w:t>征求部门意见</w:t>
      </w:r>
    </w:p>
  </w:comment>
  <w:comment w:id="17" w:author="Mrs W" w:date="2023-04-03T17:01:00Z" w:initials="">
    <w:p w:rsidR="00925AC4" w:rsidRDefault="00285E1E" w:rsidP="008E7712">
      <w:pPr>
        <w:pStyle w:val="a3"/>
        <w:ind w:firstLine="560"/>
      </w:pPr>
      <w:r>
        <w:rPr>
          <w:rFonts w:hint="eastAsia"/>
        </w:rPr>
        <w:t>达州</w:t>
      </w:r>
      <w:r>
        <w:rPr>
          <w:rFonts w:hint="eastAsia"/>
        </w:rPr>
        <w:t>6000</w:t>
      </w:r>
    </w:p>
  </w:comment>
  <w:comment w:id="18" w:author="Mrs W" w:date="2023-04-03T17:02:00Z" w:initials="">
    <w:p w:rsidR="00925AC4" w:rsidRDefault="00285E1E" w:rsidP="008E7712">
      <w:pPr>
        <w:pStyle w:val="a3"/>
        <w:ind w:firstLine="560"/>
      </w:pPr>
      <w:r>
        <w:rPr>
          <w:rFonts w:hint="eastAsia"/>
        </w:rPr>
        <w:t>10000</w:t>
      </w:r>
    </w:p>
  </w:comment>
  <w:comment w:id="19" w:author="Mrs W" w:date="2023-04-03T17:02:00Z" w:initials="">
    <w:p w:rsidR="00925AC4" w:rsidRDefault="00285E1E" w:rsidP="008E7712">
      <w:pPr>
        <w:pStyle w:val="a3"/>
        <w:ind w:firstLine="560"/>
      </w:pPr>
      <w:r>
        <w:rPr>
          <w:rFonts w:hint="eastAsia"/>
        </w:rPr>
        <w:t>3000</w:t>
      </w:r>
    </w:p>
  </w:comment>
  <w:comment w:id="20" w:author="Mrs W" w:date="2023-04-03T17:04:00Z" w:initials="">
    <w:p w:rsidR="00925AC4" w:rsidRDefault="00285E1E" w:rsidP="008E7712">
      <w:pPr>
        <w:pStyle w:val="a3"/>
        <w:ind w:firstLine="560"/>
      </w:pPr>
      <w:r>
        <w:rPr>
          <w:rFonts w:hint="eastAsia"/>
        </w:rPr>
        <w:t>借鉴重庆市</w:t>
      </w:r>
    </w:p>
    <w:p w:rsidR="00925AC4" w:rsidRDefault="00285E1E" w:rsidP="008E7712">
      <w:pPr>
        <w:pStyle w:val="a3"/>
        <w:ind w:firstLine="560"/>
      </w:pPr>
      <w:r>
        <w:rPr>
          <w:noProof/>
        </w:rPr>
        <w:drawing>
          <wp:inline distT="0" distB="0" distL="114300" distR="114300">
            <wp:extent cx="2504440" cy="631190"/>
            <wp:effectExtent l="0" t="0" r="10160" b="1651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
                    <a:stretch>
                      <a:fillRect/>
                    </a:stretch>
                  </pic:blipFill>
                  <pic:spPr>
                    <a:xfrm>
                      <a:off x="0" y="0"/>
                      <a:ext cx="2504440" cy="631190"/>
                    </a:xfrm>
                    <a:prstGeom prst="rect">
                      <a:avLst/>
                    </a:prstGeom>
                    <a:noFill/>
                    <a:ln>
                      <a:noFill/>
                    </a:ln>
                  </pic:spPr>
                </pic:pic>
              </a:graphicData>
            </a:graphic>
          </wp:inline>
        </w:drawing>
      </w:r>
    </w:p>
  </w:comment>
  <w:comment w:id="21" w:author="Mrs W" w:date="2023-03-30T17:43:00Z" w:initials="">
    <w:p w:rsidR="00925AC4" w:rsidRDefault="00285E1E" w:rsidP="008E7712">
      <w:pPr>
        <w:pStyle w:val="a3"/>
        <w:ind w:firstLine="560"/>
      </w:pPr>
      <w:r>
        <w:rPr>
          <w:noProof/>
        </w:rPr>
        <w:drawing>
          <wp:inline distT="0" distB="0" distL="114300" distR="114300">
            <wp:extent cx="2559050" cy="775335"/>
            <wp:effectExtent l="0" t="0" r="12700" b="571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
                    <a:stretch>
                      <a:fillRect/>
                    </a:stretch>
                  </pic:blipFill>
                  <pic:spPr>
                    <a:xfrm>
                      <a:off x="0" y="0"/>
                      <a:ext cx="2559050" cy="775335"/>
                    </a:xfrm>
                    <a:prstGeom prst="rect">
                      <a:avLst/>
                    </a:prstGeom>
                    <a:noFill/>
                    <a:ln>
                      <a:noFill/>
                    </a:ln>
                  </pic:spPr>
                </pic:pic>
              </a:graphicData>
            </a:graphic>
          </wp:inline>
        </w:drawing>
      </w:r>
    </w:p>
  </w:comment>
  <w:comment w:id="22" w:author="Mrs W" w:date="2023-04-03T17:07:00Z" w:initials="">
    <w:p w:rsidR="00925AC4" w:rsidRDefault="00285E1E" w:rsidP="008E7712">
      <w:pPr>
        <w:pStyle w:val="a3"/>
        <w:ind w:firstLine="560"/>
      </w:pPr>
      <w:r>
        <w:annotationRef/>
      </w:r>
    </w:p>
  </w:comment>
  <w:comment w:id="23" w:author="Mrs W" w:date="2023-03-30T17:44:00Z" w:initials="">
    <w:p w:rsidR="00925AC4" w:rsidRDefault="00285E1E" w:rsidP="008E7712">
      <w:pPr>
        <w:pStyle w:val="a3"/>
        <w:ind w:firstLine="560"/>
      </w:pPr>
      <w:r>
        <w:rPr>
          <w:rFonts w:hint="eastAsia"/>
        </w:rPr>
        <w:t>达州市技术管理规定是</w:t>
      </w:r>
      <w:r>
        <w:rPr>
          <w:rFonts w:hint="eastAsia"/>
        </w:rPr>
        <w:t>20</w:t>
      </w:r>
      <w:r>
        <w:rPr>
          <w:rFonts w:hint="eastAsia"/>
        </w:rPr>
        <w:t>平方米</w:t>
      </w:r>
    </w:p>
    <w:p w:rsidR="00925AC4" w:rsidRDefault="00285E1E" w:rsidP="008E7712">
      <w:pPr>
        <w:pStyle w:val="a3"/>
        <w:ind w:firstLine="560"/>
      </w:pPr>
      <w:r>
        <w:rPr>
          <w:noProof/>
        </w:rPr>
        <w:drawing>
          <wp:inline distT="0" distB="0" distL="114300" distR="114300">
            <wp:extent cx="2478405" cy="635635"/>
            <wp:effectExtent l="0" t="0" r="17145" b="1206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6"/>
                    <a:stretch>
                      <a:fillRect/>
                    </a:stretch>
                  </pic:blipFill>
                  <pic:spPr>
                    <a:xfrm>
                      <a:off x="0" y="0"/>
                      <a:ext cx="2478405" cy="635635"/>
                    </a:xfrm>
                    <a:prstGeom prst="rect">
                      <a:avLst/>
                    </a:prstGeom>
                    <a:noFill/>
                    <a:ln>
                      <a:noFill/>
                    </a:ln>
                  </pic:spPr>
                </pic:pic>
              </a:graphicData>
            </a:graphic>
          </wp:inline>
        </w:drawing>
      </w:r>
    </w:p>
  </w:comment>
  <w:comment w:id="24" w:author="Mrs W" w:date="2023-04-03T17:07:00Z" w:initials="">
    <w:p w:rsidR="00925AC4" w:rsidRDefault="00285E1E" w:rsidP="008E7712">
      <w:pPr>
        <w:pStyle w:val="a3"/>
        <w:ind w:firstLine="560"/>
      </w:pPr>
      <w:r>
        <w:rPr>
          <w:rFonts w:hint="eastAsia"/>
        </w:rPr>
        <w:t>是否需要明确产权，是否需要移交给相关部门</w:t>
      </w:r>
    </w:p>
    <w:p w:rsidR="00925AC4" w:rsidRDefault="00285E1E" w:rsidP="008E7712">
      <w:pPr>
        <w:pStyle w:val="a3"/>
        <w:ind w:firstLine="560"/>
      </w:pPr>
      <w:r>
        <w:rPr>
          <w:rFonts w:hint="eastAsia"/>
        </w:rPr>
        <w:t>达州市要求移交</w:t>
      </w:r>
    </w:p>
    <w:p w:rsidR="00925AC4" w:rsidRDefault="00285E1E">
      <w:pPr>
        <w:pStyle w:val="a3"/>
        <w:ind w:firstLineChars="0" w:firstLine="0"/>
      </w:pPr>
      <w:r>
        <w:rPr>
          <w:noProof/>
        </w:rPr>
        <w:drawing>
          <wp:inline distT="0" distB="0" distL="114300" distR="114300">
            <wp:extent cx="2449195" cy="634365"/>
            <wp:effectExtent l="0" t="0" r="8255" b="1333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7"/>
                    <a:stretch>
                      <a:fillRect/>
                    </a:stretch>
                  </pic:blipFill>
                  <pic:spPr>
                    <a:xfrm>
                      <a:off x="0" y="0"/>
                      <a:ext cx="2449195" cy="634365"/>
                    </a:xfrm>
                    <a:prstGeom prst="rect">
                      <a:avLst/>
                    </a:prstGeom>
                    <a:noFill/>
                    <a:ln>
                      <a:noFill/>
                    </a:ln>
                  </pic:spPr>
                </pic:pic>
              </a:graphicData>
            </a:graphic>
          </wp:inline>
        </w:drawing>
      </w:r>
    </w:p>
  </w:comment>
  <w:comment w:id="25" w:author="Mrs W" w:date="2023-04-03T17:08:00Z" w:initials="">
    <w:p w:rsidR="00925AC4" w:rsidRDefault="00285E1E" w:rsidP="008E7712">
      <w:pPr>
        <w:pStyle w:val="a3"/>
        <w:ind w:firstLine="560"/>
      </w:pPr>
      <w:r>
        <w:rPr>
          <w:rFonts w:hint="eastAsia"/>
        </w:rPr>
        <w:t>达州市社区综合服务设施建议应移交给政府</w:t>
      </w:r>
    </w:p>
    <w:p w:rsidR="00925AC4" w:rsidRDefault="00285E1E" w:rsidP="008E7712">
      <w:pPr>
        <w:pStyle w:val="a3"/>
        <w:ind w:firstLine="560"/>
      </w:pPr>
      <w:r>
        <w:rPr>
          <w:noProof/>
        </w:rPr>
        <w:drawing>
          <wp:inline distT="0" distB="0" distL="114300" distR="114300">
            <wp:extent cx="2437130" cy="417830"/>
            <wp:effectExtent l="0" t="0" r="1270" b="127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8"/>
                    <a:stretch>
                      <a:fillRect/>
                    </a:stretch>
                  </pic:blipFill>
                  <pic:spPr>
                    <a:xfrm>
                      <a:off x="0" y="0"/>
                      <a:ext cx="2437130" cy="417830"/>
                    </a:xfrm>
                    <a:prstGeom prst="rect">
                      <a:avLst/>
                    </a:prstGeom>
                    <a:noFill/>
                    <a:ln>
                      <a:noFill/>
                    </a:ln>
                  </pic:spPr>
                </pic:pic>
              </a:graphicData>
            </a:graphic>
          </wp:inline>
        </w:drawing>
      </w:r>
    </w:p>
  </w:comment>
  <w:comment w:id="26" w:author="Mrs W" w:date="2023-04-19T10:19:00Z" w:initials="">
    <w:p w:rsidR="00925AC4" w:rsidRDefault="00285E1E" w:rsidP="008E7712">
      <w:pPr>
        <w:pStyle w:val="a3"/>
        <w:ind w:firstLine="560"/>
      </w:pPr>
      <w:r>
        <w:rPr>
          <w:rFonts w:hint="eastAsia"/>
        </w:rPr>
        <w:t>居住区规范最低要求是</w:t>
      </w:r>
      <w:r>
        <w:rPr>
          <w:rFonts w:hint="eastAsia"/>
        </w:rPr>
        <w:t>600</w:t>
      </w:r>
      <w:r>
        <w:rPr>
          <w:rFonts w:hint="eastAsia"/>
        </w:rPr>
        <w:t>平方米</w:t>
      </w:r>
    </w:p>
    <w:p w:rsidR="00925AC4" w:rsidRDefault="00285E1E" w:rsidP="008E7712">
      <w:pPr>
        <w:pStyle w:val="a3"/>
        <w:ind w:firstLine="560"/>
      </w:pPr>
      <w:r>
        <w:rPr>
          <w:noProof/>
        </w:rPr>
        <w:drawing>
          <wp:inline distT="0" distB="0" distL="114300" distR="114300">
            <wp:extent cx="2411095" cy="835025"/>
            <wp:effectExtent l="0" t="0" r="8255" b="317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9"/>
                    <a:stretch>
                      <a:fillRect/>
                    </a:stretch>
                  </pic:blipFill>
                  <pic:spPr>
                    <a:xfrm>
                      <a:off x="0" y="0"/>
                      <a:ext cx="2411095" cy="835025"/>
                    </a:xfrm>
                    <a:prstGeom prst="rect">
                      <a:avLst/>
                    </a:prstGeom>
                    <a:noFill/>
                    <a:ln>
                      <a:noFill/>
                    </a:ln>
                  </pic:spPr>
                </pic:pic>
              </a:graphicData>
            </a:graphic>
          </wp:inline>
        </w:drawing>
      </w:r>
    </w:p>
  </w:comment>
  <w:comment w:id="27" w:author="Mrs W" w:date="2023-03-31T15:12:00Z" w:initials="">
    <w:p w:rsidR="00925AC4" w:rsidRDefault="00285E1E" w:rsidP="008E7712">
      <w:pPr>
        <w:pStyle w:val="a3"/>
        <w:ind w:firstLine="560"/>
      </w:pPr>
      <w:r>
        <w:rPr>
          <w:rFonts w:hint="eastAsia"/>
        </w:rPr>
        <w:t>这里说的是新建情况</w:t>
      </w:r>
    </w:p>
  </w:comment>
  <w:comment w:id="28" w:author="Mrs W" w:date="2023-04-03T17:12:00Z" w:initials="">
    <w:p w:rsidR="00925AC4" w:rsidRDefault="00285E1E">
      <w:pPr>
        <w:pStyle w:val="a3"/>
        <w:ind w:firstLineChars="0" w:firstLine="0"/>
      </w:pPr>
      <w:r>
        <w:rPr>
          <w:rFonts w:hint="eastAsia"/>
        </w:rPr>
        <w:t>为</w:t>
      </w:r>
      <w:r>
        <w:rPr>
          <w:rFonts w:hint="eastAsia"/>
          <w:szCs w:val="28"/>
        </w:rPr>
        <w:t>以万源市人民政府批复为准；或者以设计方案为准？</w:t>
      </w:r>
    </w:p>
  </w:comment>
  <w:comment w:id="29" w:author="Mrs W" w:date="2023-04-03T17:17:00Z" w:initials="">
    <w:p w:rsidR="00925AC4" w:rsidRDefault="00285E1E" w:rsidP="008E7712">
      <w:pPr>
        <w:pStyle w:val="a3"/>
        <w:ind w:firstLine="560"/>
      </w:pPr>
      <w:r>
        <w:rPr>
          <w:rFonts w:hint="eastAsia"/>
        </w:rPr>
        <w:t>参考居住区标准和达州市标准</w:t>
      </w:r>
    </w:p>
    <w:p w:rsidR="00925AC4" w:rsidRDefault="00285E1E" w:rsidP="008E7712">
      <w:pPr>
        <w:pStyle w:val="a3"/>
        <w:ind w:firstLine="560"/>
      </w:pPr>
      <w:r>
        <w:rPr>
          <w:noProof/>
        </w:rPr>
        <w:drawing>
          <wp:inline distT="0" distB="0" distL="114300" distR="114300">
            <wp:extent cx="2299335" cy="963930"/>
            <wp:effectExtent l="0" t="0" r="5715"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
                    <a:stretch>
                      <a:fillRect/>
                    </a:stretch>
                  </pic:blipFill>
                  <pic:spPr>
                    <a:xfrm>
                      <a:off x="0" y="0"/>
                      <a:ext cx="2299335" cy="963930"/>
                    </a:xfrm>
                    <a:prstGeom prst="rect">
                      <a:avLst/>
                    </a:prstGeom>
                    <a:noFill/>
                    <a:ln>
                      <a:noFill/>
                    </a:ln>
                  </pic:spPr>
                </pic:pic>
              </a:graphicData>
            </a:graphic>
          </wp:inline>
        </w:drawing>
      </w:r>
    </w:p>
  </w:comment>
  <w:comment w:id="30" w:author="Mrs W" w:date="2023-03-30T17:11:00Z" w:initials="">
    <w:p w:rsidR="00925AC4" w:rsidRDefault="00285E1E" w:rsidP="008E7712">
      <w:pPr>
        <w:pStyle w:val="a3"/>
        <w:ind w:firstLine="560"/>
      </w:pPr>
      <w:r>
        <w:rPr>
          <w:noProof/>
        </w:rPr>
        <w:drawing>
          <wp:inline distT="0" distB="0" distL="114300" distR="114300">
            <wp:extent cx="2110105" cy="2168525"/>
            <wp:effectExtent l="0" t="0" r="4445" b="317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1"/>
                    <a:stretch>
                      <a:fillRect/>
                    </a:stretch>
                  </pic:blipFill>
                  <pic:spPr>
                    <a:xfrm>
                      <a:off x="0" y="0"/>
                      <a:ext cx="2110105" cy="2168525"/>
                    </a:xfrm>
                    <a:prstGeom prst="rect">
                      <a:avLst/>
                    </a:prstGeom>
                    <a:noFill/>
                    <a:ln>
                      <a:noFill/>
                    </a:ln>
                  </pic:spPr>
                </pic:pic>
              </a:graphicData>
            </a:graphic>
          </wp:inline>
        </w:drawing>
      </w:r>
    </w:p>
  </w:comment>
  <w:comment w:id="31" w:author="Mrs W" w:date="2023-04-19T11:39:00Z" w:initials="">
    <w:p w:rsidR="00925AC4" w:rsidRDefault="00285E1E" w:rsidP="008E7712">
      <w:pPr>
        <w:pStyle w:val="a3"/>
        <w:ind w:firstLine="560"/>
      </w:pPr>
      <w:r>
        <w:rPr>
          <w:noProof/>
        </w:rPr>
        <w:drawing>
          <wp:inline distT="0" distB="0" distL="114300" distR="114300">
            <wp:extent cx="2473325" cy="1089025"/>
            <wp:effectExtent l="0" t="0" r="3175" b="1587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2"/>
                    <a:stretch>
                      <a:fillRect/>
                    </a:stretch>
                  </pic:blipFill>
                  <pic:spPr>
                    <a:xfrm>
                      <a:off x="0" y="0"/>
                      <a:ext cx="2473325" cy="1089025"/>
                    </a:xfrm>
                    <a:prstGeom prst="rect">
                      <a:avLst/>
                    </a:prstGeom>
                    <a:noFill/>
                    <a:ln>
                      <a:noFill/>
                    </a:ln>
                  </pic:spPr>
                </pic:pic>
              </a:graphicData>
            </a:graphic>
          </wp:inline>
        </w:drawing>
      </w:r>
    </w:p>
  </w:comment>
  <w:comment w:id="34" w:author="Mrs W" w:date="2023-03-31T15:25:00Z" w:initials="">
    <w:p w:rsidR="00925AC4" w:rsidRDefault="00285E1E" w:rsidP="008E7712">
      <w:pPr>
        <w:pStyle w:val="a3"/>
        <w:ind w:firstLine="560"/>
      </w:pPr>
      <w:r>
        <w:rPr>
          <w:rFonts w:hint="eastAsia"/>
        </w:rPr>
        <w:t>借鉴重庆市的要求</w:t>
      </w:r>
    </w:p>
    <w:p w:rsidR="00925AC4" w:rsidRDefault="00285E1E" w:rsidP="008E7712">
      <w:pPr>
        <w:pStyle w:val="a3"/>
        <w:ind w:firstLine="560"/>
      </w:pPr>
      <w:r>
        <w:rPr>
          <w:noProof/>
        </w:rPr>
        <w:drawing>
          <wp:inline distT="0" distB="0" distL="114300" distR="114300">
            <wp:extent cx="2472690" cy="3098800"/>
            <wp:effectExtent l="0" t="0" r="3810"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3"/>
                    <a:stretch>
                      <a:fillRect/>
                    </a:stretch>
                  </pic:blipFill>
                  <pic:spPr>
                    <a:xfrm>
                      <a:off x="0" y="0"/>
                      <a:ext cx="2472690" cy="3098800"/>
                    </a:xfrm>
                    <a:prstGeom prst="rect">
                      <a:avLst/>
                    </a:prstGeom>
                    <a:noFill/>
                    <a:ln>
                      <a:noFill/>
                    </a:ln>
                  </pic:spPr>
                </pic:pic>
              </a:graphicData>
            </a:graphic>
          </wp:inline>
        </w:drawing>
      </w:r>
    </w:p>
  </w:comment>
  <w:comment w:id="37" w:author="Mrs W" w:date="2023-03-31T14:53:00Z" w:initials="">
    <w:p w:rsidR="00925AC4" w:rsidRDefault="00285E1E" w:rsidP="008E7712">
      <w:pPr>
        <w:pStyle w:val="a3"/>
        <w:ind w:firstLine="560"/>
      </w:pPr>
      <w:r>
        <w:rPr>
          <w:rFonts w:hint="eastAsia"/>
        </w:rPr>
        <w:t>达州市、重庆市都是这样控制</w:t>
      </w:r>
    </w:p>
  </w:comment>
  <w:comment w:id="38" w:author="Mrs W" w:date="2023-03-31T14:55:00Z" w:initials="">
    <w:p w:rsidR="00925AC4" w:rsidRDefault="00285E1E" w:rsidP="008E7712">
      <w:pPr>
        <w:pStyle w:val="a3"/>
        <w:ind w:firstLine="560"/>
      </w:pPr>
      <w:r>
        <w:rPr>
          <w:rFonts w:hint="eastAsia"/>
        </w:rPr>
        <w:t>重庆市是</w:t>
      </w:r>
      <w:r>
        <w:rPr>
          <w:rFonts w:hint="eastAsia"/>
        </w:rPr>
        <w:t>0.5</w:t>
      </w:r>
      <w:r>
        <w:rPr>
          <w:rFonts w:hint="eastAsia"/>
        </w:rPr>
        <w:t>倍</w:t>
      </w:r>
    </w:p>
    <w:p w:rsidR="00925AC4" w:rsidRDefault="00285E1E" w:rsidP="008E7712">
      <w:pPr>
        <w:pStyle w:val="a3"/>
        <w:ind w:firstLine="560"/>
      </w:pPr>
      <w:r>
        <w:rPr>
          <w:noProof/>
        </w:rPr>
        <w:drawing>
          <wp:inline distT="0" distB="0" distL="114300" distR="114300">
            <wp:extent cx="2421890" cy="793115"/>
            <wp:effectExtent l="0" t="0" r="16510" b="698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4"/>
                    <a:stretch>
                      <a:fillRect/>
                    </a:stretch>
                  </pic:blipFill>
                  <pic:spPr>
                    <a:xfrm>
                      <a:off x="0" y="0"/>
                      <a:ext cx="2421890" cy="793115"/>
                    </a:xfrm>
                    <a:prstGeom prst="rect">
                      <a:avLst/>
                    </a:prstGeom>
                    <a:noFill/>
                    <a:ln>
                      <a:noFill/>
                    </a:ln>
                  </pic:spPr>
                </pic:pic>
              </a:graphicData>
            </a:graphic>
          </wp:inline>
        </w:drawing>
      </w:r>
    </w:p>
  </w:comment>
  <w:comment w:id="39" w:author="Mrs W" w:date="2023-03-31T14:58:00Z" w:initials="">
    <w:p w:rsidR="00925AC4" w:rsidRDefault="00925AC4" w:rsidP="008E7712">
      <w:pPr>
        <w:pStyle w:val="a3"/>
        <w:ind w:firstLine="560"/>
      </w:pPr>
    </w:p>
    <w:p w:rsidR="00925AC4" w:rsidRDefault="00285E1E" w:rsidP="008E7712">
      <w:pPr>
        <w:pStyle w:val="a3"/>
        <w:ind w:firstLine="560"/>
      </w:pPr>
      <w:r>
        <w:rPr>
          <w:noProof/>
        </w:rPr>
        <w:drawing>
          <wp:inline distT="0" distB="0" distL="114300" distR="114300">
            <wp:extent cx="2490470" cy="777875"/>
            <wp:effectExtent l="0" t="0" r="5080" b="31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5"/>
                    <a:stretch>
                      <a:fillRect/>
                    </a:stretch>
                  </pic:blipFill>
                  <pic:spPr>
                    <a:xfrm>
                      <a:off x="0" y="0"/>
                      <a:ext cx="2490470" cy="777875"/>
                    </a:xfrm>
                    <a:prstGeom prst="rect">
                      <a:avLst/>
                    </a:prstGeom>
                    <a:noFill/>
                    <a:ln>
                      <a:noFill/>
                    </a:ln>
                  </pic:spPr>
                </pic:pic>
              </a:graphicData>
            </a:graphic>
          </wp:inline>
        </w:drawing>
      </w:r>
    </w:p>
  </w:comment>
  <w:comment w:id="40" w:author="Mrs W" w:date="2023-03-31T14:56:00Z" w:initials="">
    <w:p w:rsidR="00925AC4" w:rsidRDefault="00285E1E" w:rsidP="008E7712">
      <w:pPr>
        <w:pStyle w:val="a3"/>
        <w:ind w:firstLine="560"/>
      </w:pPr>
      <w:r>
        <w:rPr>
          <w:rFonts w:hint="eastAsia"/>
        </w:rPr>
        <w:t>跟达州市、重庆市控制一样</w:t>
      </w:r>
    </w:p>
    <w:p w:rsidR="00925AC4" w:rsidRDefault="00285E1E">
      <w:pPr>
        <w:pStyle w:val="a3"/>
        <w:ind w:firstLineChars="0" w:firstLine="0"/>
      </w:pPr>
      <w:r>
        <w:rPr>
          <w:noProof/>
        </w:rPr>
        <w:drawing>
          <wp:inline distT="0" distB="0" distL="114300" distR="114300">
            <wp:extent cx="2014855" cy="1366520"/>
            <wp:effectExtent l="0" t="0" r="4445" b="508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6"/>
                    <a:stretch>
                      <a:fillRect/>
                    </a:stretch>
                  </pic:blipFill>
                  <pic:spPr>
                    <a:xfrm>
                      <a:off x="0" y="0"/>
                      <a:ext cx="2014855" cy="1366520"/>
                    </a:xfrm>
                    <a:prstGeom prst="rect">
                      <a:avLst/>
                    </a:prstGeom>
                    <a:noFill/>
                    <a:ln>
                      <a:noFill/>
                    </a:ln>
                  </pic:spPr>
                </pic:pic>
              </a:graphicData>
            </a:graphic>
          </wp:inline>
        </w:drawing>
      </w:r>
    </w:p>
  </w:comment>
  <w:comment w:id="43" w:author="Mrs W" w:date="2023-03-31T10:47:00Z" w:initials="">
    <w:p w:rsidR="00925AC4" w:rsidRDefault="00285E1E" w:rsidP="008E7712">
      <w:pPr>
        <w:pStyle w:val="a3"/>
        <w:ind w:firstLine="560"/>
      </w:pPr>
      <w:r>
        <w:rPr>
          <w:rFonts w:hint="eastAsia"/>
        </w:rPr>
        <w:t>参考重庆市退距要求</w:t>
      </w:r>
    </w:p>
    <w:p w:rsidR="00925AC4" w:rsidRDefault="00285E1E" w:rsidP="008E7712">
      <w:pPr>
        <w:pStyle w:val="a3"/>
        <w:ind w:firstLine="560"/>
      </w:pPr>
      <w:r>
        <w:rPr>
          <w:noProof/>
        </w:rPr>
        <w:drawing>
          <wp:inline distT="0" distB="0" distL="114300" distR="114300">
            <wp:extent cx="2584450" cy="972820"/>
            <wp:effectExtent l="0" t="0" r="6350" b="177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2584450" cy="972820"/>
                    </a:xfrm>
                    <a:prstGeom prst="rect">
                      <a:avLst/>
                    </a:prstGeom>
                    <a:noFill/>
                    <a:ln>
                      <a:noFill/>
                    </a:ln>
                  </pic:spPr>
                </pic:pic>
              </a:graphicData>
            </a:graphic>
          </wp:inline>
        </w:drawing>
      </w:r>
    </w:p>
  </w:comment>
  <w:comment w:id="44" w:author="Mrs W" w:date="2023-03-31T11:04:00Z" w:initials="">
    <w:p w:rsidR="00925AC4" w:rsidRDefault="00285E1E" w:rsidP="008E7712">
      <w:pPr>
        <w:pStyle w:val="a3"/>
        <w:ind w:firstLine="560"/>
      </w:pPr>
      <w:r>
        <w:rPr>
          <w:rFonts w:hint="eastAsia"/>
        </w:rPr>
        <w:t>达州市要求</w:t>
      </w:r>
    </w:p>
    <w:p w:rsidR="00925AC4" w:rsidRDefault="00285E1E" w:rsidP="008E7712">
      <w:pPr>
        <w:pStyle w:val="a3"/>
        <w:ind w:firstLine="560"/>
      </w:pPr>
      <w:r>
        <w:rPr>
          <w:noProof/>
        </w:rPr>
        <w:drawing>
          <wp:inline distT="0" distB="0" distL="114300" distR="114300">
            <wp:extent cx="2291080" cy="1079500"/>
            <wp:effectExtent l="0" t="0" r="13970"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8"/>
                    <a:stretch>
                      <a:fillRect/>
                    </a:stretch>
                  </pic:blipFill>
                  <pic:spPr>
                    <a:xfrm>
                      <a:off x="0" y="0"/>
                      <a:ext cx="2291080" cy="1079500"/>
                    </a:xfrm>
                    <a:prstGeom prst="rect">
                      <a:avLst/>
                    </a:prstGeom>
                    <a:noFill/>
                    <a:ln>
                      <a:noFill/>
                    </a:ln>
                  </pic:spPr>
                </pic:pic>
              </a:graphicData>
            </a:graphic>
          </wp:inline>
        </w:drawing>
      </w:r>
    </w:p>
    <w:p w:rsidR="00925AC4" w:rsidRDefault="00925AC4" w:rsidP="008E7712">
      <w:pPr>
        <w:pStyle w:val="a3"/>
        <w:ind w:firstLine="560"/>
      </w:pPr>
    </w:p>
    <w:p w:rsidR="00925AC4" w:rsidRDefault="00285E1E" w:rsidP="008E7712">
      <w:pPr>
        <w:pStyle w:val="a3"/>
        <w:ind w:firstLine="560"/>
      </w:pPr>
      <w:r>
        <w:rPr>
          <w:rFonts w:hint="eastAsia"/>
        </w:rPr>
        <w:t>重庆市要求</w:t>
      </w:r>
      <w:r>
        <w:rPr>
          <w:rFonts w:hint="eastAsia"/>
        </w:rPr>
        <w:t>15</w:t>
      </w:r>
      <w:r>
        <w:rPr>
          <w:rFonts w:hint="eastAsia"/>
        </w:rPr>
        <w:t>米。</w:t>
      </w:r>
    </w:p>
  </w:comment>
  <w:comment w:id="45" w:author="Mrs W" w:date="2023-03-30T17:12:00Z" w:initials="">
    <w:p w:rsidR="00925AC4" w:rsidRDefault="00285E1E" w:rsidP="008E7712">
      <w:pPr>
        <w:pStyle w:val="a3"/>
        <w:ind w:firstLine="560"/>
      </w:pPr>
      <w:r>
        <w:rPr>
          <w:noProof/>
        </w:rPr>
        <w:drawing>
          <wp:inline distT="0" distB="0" distL="114300" distR="114300">
            <wp:extent cx="2384425" cy="905510"/>
            <wp:effectExtent l="0" t="0" r="15875" b="889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9"/>
                    <a:stretch>
                      <a:fillRect/>
                    </a:stretch>
                  </pic:blipFill>
                  <pic:spPr>
                    <a:xfrm>
                      <a:off x="0" y="0"/>
                      <a:ext cx="2384425" cy="905510"/>
                    </a:xfrm>
                    <a:prstGeom prst="rect">
                      <a:avLst/>
                    </a:prstGeom>
                    <a:noFill/>
                    <a:ln>
                      <a:noFill/>
                    </a:ln>
                  </pic:spPr>
                </pic:pic>
              </a:graphicData>
            </a:graphic>
          </wp:inline>
        </w:drawing>
      </w:r>
    </w:p>
  </w:comment>
  <w:comment w:id="46" w:author="Mrs W" w:date="2023-03-31T10:57:00Z" w:initials="">
    <w:p w:rsidR="00925AC4" w:rsidRDefault="00285E1E" w:rsidP="008E7712">
      <w:pPr>
        <w:pStyle w:val="a3"/>
        <w:ind w:firstLine="560"/>
      </w:pPr>
      <w:r>
        <w:rPr>
          <w:rFonts w:hint="eastAsia"/>
        </w:rPr>
        <w:t>参考重庆市道路交叉口退距要求</w:t>
      </w:r>
    </w:p>
    <w:p w:rsidR="00925AC4" w:rsidRDefault="00285E1E" w:rsidP="008E7712">
      <w:pPr>
        <w:pStyle w:val="a3"/>
        <w:ind w:firstLine="560"/>
      </w:pPr>
      <w:r>
        <w:rPr>
          <w:noProof/>
        </w:rPr>
        <w:drawing>
          <wp:inline distT="0" distB="0" distL="114300" distR="114300">
            <wp:extent cx="2381250" cy="1249045"/>
            <wp:effectExtent l="0" t="0" r="0" b="825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0"/>
                    <a:stretch>
                      <a:fillRect/>
                    </a:stretch>
                  </pic:blipFill>
                  <pic:spPr>
                    <a:xfrm>
                      <a:off x="0" y="0"/>
                      <a:ext cx="2381250" cy="1249045"/>
                    </a:xfrm>
                    <a:prstGeom prst="rect">
                      <a:avLst/>
                    </a:prstGeom>
                    <a:noFill/>
                    <a:ln>
                      <a:noFill/>
                    </a:ln>
                  </pic:spPr>
                </pic:pic>
              </a:graphicData>
            </a:graphic>
          </wp:inline>
        </w:drawing>
      </w:r>
    </w:p>
  </w:comment>
  <w:comment w:id="49" w:author="Mrs W" w:date="2023-03-31T15:36:00Z" w:initials="">
    <w:p w:rsidR="00925AC4" w:rsidRDefault="00285E1E" w:rsidP="008E7712">
      <w:pPr>
        <w:pStyle w:val="a3"/>
        <w:ind w:firstLine="560"/>
      </w:pPr>
      <w:r>
        <w:rPr>
          <w:rFonts w:hint="eastAsia"/>
        </w:rPr>
        <w:t>对接综合执法局</w:t>
      </w:r>
    </w:p>
  </w:comment>
  <w:comment w:id="64" w:author="Mrs W" w:date="2023-03-31T15:38:00Z" w:initials="">
    <w:p w:rsidR="00925AC4" w:rsidRDefault="00285E1E" w:rsidP="008E7712">
      <w:pPr>
        <w:pStyle w:val="a3"/>
        <w:ind w:firstLine="560"/>
      </w:pPr>
      <w:r>
        <w:rPr>
          <w:rFonts w:hint="eastAsia"/>
        </w:rPr>
        <w:t>达州市是</w:t>
      </w:r>
      <w:r>
        <w:rPr>
          <w:rFonts w:hint="eastAsia"/>
        </w:rPr>
        <w:t>90</w:t>
      </w:r>
      <w:r>
        <w:rPr>
          <w:rFonts w:hint="eastAsia"/>
        </w:rPr>
        <w:t>平方米</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B0C7B3F" w15:done="0"/>
  <w15:commentEx w15:paraId="15AB3B6A" w15:done="0"/>
  <w15:commentEx w15:paraId="797D09DD" w15:done="0"/>
  <w15:commentEx w15:paraId="30CA1857" w15:done="0"/>
  <w15:commentEx w15:paraId="331E0DDB" w15:done="0"/>
  <w15:commentEx w15:paraId="56333EDE" w15:done="0"/>
  <w15:commentEx w15:paraId="4D5318EA" w15:done="0"/>
  <w15:commentEx w15:paraId="6B5C6923" w15:done="0"/>
  <w15:commentEx w15:paraId="5D823C5E" w15:done="0"/>
  <w15:commentEx w15:paraId="1F3A2C0D" w15:done="0" w15:paraIdParent="5D823C5E"/>
  <w15:commentEx w15:paraId="391E141C" w15:done="0"/>
  <w15:commentEx w15:paraId="3A2F6990" w15:done="0"/>
  <w15:commentEx w15:paraId="609B2095" w15:done="0"/>
  <w15:commentEx w15:paraId="684452F4" w15:done="0"/>
  <w15:commentEx w15:paraId="78181379" w15:done="0"/>
  <w15:commentEx w15:paraId="49E76075" w15:done="0"/>
  <w15:commentEx w15:paraId="2D27703A" w15:done="0"/>
  <w15:commentEx w15:paraId="245E2F2F" w15:done="0"/>
  <w15:commentEx w15:paraId="652521EB" w15:done="0"/>
  <w15:commentEx w15:paraId="1B505A10" w15:done="0"/>
  <w15:commentEx w15:paraId="01487235" w15:done="0"/>
  <w15:commentEx w15:paraId="5FA33040" w15:done="0"/>
  <w15:commentEx w15:paraId="45347A96" w15:done="0"/>
  <w15:commentEx w15:paraId="25C04779" w15:done="0"/>
  <w15:commentEx w15:paraId="302B7DCF" w15:done="0"/>
  <w15:commentEx w15:paraId="16554554" w15:done="0"/>
  <w15:commentEx w15:paraId="53DC60DB" w15:done="0"/>
  <w15:commentEx w15:paraId="202E5281" w15:done="0"/>
  <w15:commentEx w15:paraId="7A7F7B09" w15:done="0"/>
  <w15:commentEx w15:paraId="402278F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E1E" w:rsidRDefault="00285E1E">
      <w:pPr>
        <w:spacing w:line="240" w:lineRule="auto"/>
        <w:ind w:firstLine="560"/>
      </w:pPr>
      <w:r>
        <w:separator/>
      </w:r>
    </w:p>
  </w:endnote>
  <w:endnote w:type="continuationSeparator" w:id="0">
    <w:p w:rsidR="00285E1E" w:rsidRDefault="00285E1E">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2" w:rsidRDefault="008E7712" w:rsidP="008E7712">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C4" w:rsidRDefault="00925AC4" w:rsidP="008E7712">
    <w:pPr>
      <w:spacing w:line="183" w:lineRule="auto"/>
      <w:ind w:right="123" w:firstLine="620"/>
      <w:jc w:val="right"/>
      <w:rPr>
        <w:sz w:val="31"/>
        <w:szCs w:val="3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2" w:rsidRDefault="008E7712" w:rsidP="008E7712">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C4" w:rsidRDefault="00925AC4">
    <w:pPr>
      <w:spacing w:line="183" w:lineRule="auto"/>
      <w:ind w:firstLineChars="0" w:firstLine="0"/>
      <w:rPr>
        <w:sz w:val="31"/>
        <w:szCs w:val="31"/>
      </w:rPr>
    </w:pPr>
    <w:r w:rsidRPr="00925AC4">
      <w:rPr>
        <w:sz w:val="31"/>
      </w:rPr>
      <w:pict>
        <v:shapetype id="_x0000_t202" coordsize="21600,21600" o:spt="202" path="m,l,21600r21600,l21600,xe">
          <v:stroke joinstyle="miter"/>
          <v:path gradientshapeok="t" o:connecttype="rect"/>
        </v:shapetype>
        <v:shape id="_x0000_s2052" type="#_x0000_t202" style="position:absolute;margin-left:0;margin-top:0;width:2in;height:2in;z-index:2516787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D8L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yO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bcD8LeAgAAJgYAAA4AAAAAAAAAAQAgAAAAHwEAAGRycy9lMm9Eb2MueG1sUEsF&#10;BgAAAAAGAAYAWQEAAG8GAAAAAA==&#10;" filled="f" stroked="f" strokeweight=".5pt">
          <v:textbox style="mso-fit-shape-to-text:t" inset="0,0,0,0">
            <w:txbxContent>
              <w:p w:rsidR="00925AC4" w:rsidRDefault="00925AC4" w:rsidP="008E7712">
                <w:pPr>
                  <w:pStyle w:val="a5"/>
                  <w:ind w:firstLine="360"/>
                </w:pPr>
                <w:r>
                  <w:fldChar w:fldCharType="begin"/>
                </w:r>
                <w:r w:rsidR="00285E1E">
                  <w:instrText xml:space="preserve"> PAGE  \* MERGEFORMAT </w:instrText>
                </w:r>
                <w:r>
                  <w:fldChar w:fldCharType="separate"/>
                </w:r>
                <w:r w:rsidR="008E7712">
                  <w:rPr>
                    <w:noProof/>
                  </w:rPr>
                  <w:t>49</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C4" w:rsidRDefault="00925AC4" w:rsidP="008E7712">
    <w:pPr>
      <w:spacing w:before="1" w:line="181" w:lineRule="auto"/>
      <w:ind w:right="333" w:firstLine="540"/>
      <w:jc w:val="right"/>
      <w:rPr>
        <w:sz w:val="27"/>
        <w:szCs w:val="27"/>
      </w:rPr>
    </w:pPr>
    <w:r w:rsidRPr="00925AC4">
      <w:rPr>
        <w:sz w:val="27"/>
      </w:rPr>
      <w:pict>
        <v:shapetype id="_x0000_t202" coordsize="21600,21600" o:spt="202" path="m,l,21600r21600,l21600,xe">
          <v:stroke joinstyle="miter"/>
          <v:path gradientshapeok="t" o:connecttype="rect"/>
        </v:shapetype>
        <v:shape id="文本框 12" o:spid="_x0000_s2051"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COXskBAACb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1QEssMTvz888f515/z7+9k&#10;WSWBeg815j16zIzDBzfg2sx+QGfiPchg0hcZEYwj1ukirxgi4enRqlqtSgxxjM0XxC+envsA8aNw&#10;hiSjoQHnl2Vlx3uIY+qckqpZd6e0zjPU9h8HYiZPkXofe0xWHHbDRGjn2hPy6XH0DbW46ZToTxaV&#10;xf7ibITZ2M3GwQe17/IapXrgbw8Rm8i9pQoj7FQYZ5bZTfuVluL5PWc9/V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YI5eyQEAAJsDAAAOAAAAAAAAAAEAIAAAAB4BAABkcnMvZTJvRG9j&#10;LnhtbFBLBQYAAAAABgAGAFkBAABZBQAAAAA=&#10;" filled="f" stroked="f">
          <v:textbox style="mso-fit-shape-to-text:t" inset="0,0,0,0">
            <w:txbxContent>
              <w:p w:rsidR="00925AC4" w:rsidRDefault="00925AC4">
                <w:pPr>
                  <w:pStyle w:val="a5"/>
                  <w:ind w:firstLineChars="0" w:firstLine="0"/>
                  <w:jc w:val="both"/>
                </w:pPr>
                <w:r>
                  <w:fldChar w:fldCharType="begin"/>
                </w:r>
                <w:r w:rsidR="00285E1E">
                  <w:instrText xml:space="preserve"> PAGE  \* MERGEFORMAT </w:instrText>
                </w:r>
                <w:r>
                  <w:fldChar w:fldCharType="separate"/>
                </w:r>
                <w:r w:rsidR="00796C1F">
                  <w:rPr>
                    <w:noProof/>
                  </w:rPr>
                  <w:t>59</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C4" w:rsidRDefault="00925AC4" w:rsidP="008E7712">
    <w:pPr>
      <w:spacing w:line="183" w:lineRule="auto"/>
      <w:ind w:right="293" w:firstLine="540"/>
      <w:jc w:val="right"/>
      <w:rPr>
        <w:sz w:val="27"/>
        <w:szCs w:val="27"/>
      </w:rPr>
    </w:pPr>
    <w:r w:rsidRPr="00925AC4">
      <w:rPr>
        <w:sz w:val="27"/>
      </w:rPr>
      <w:pict>
        <v:shapetype id="_x0000_t202" coordsize="21600,21600" o:spt="202" path="m,l,21600r21600,l21600,xe">
          <v:stroke joinstyle="miter"/>
          <v:path gradientshapeok="t" o:connecttype="rect"/>
        </v:shapetype>
        <v:shape id="文本框 14" o:spid="_x0000_s2050" type="#_x0000_t202" style="position:absolute;left:0;text-align:left;margin-left:0;margin-top:0;width:2in;height:2in;z-index:2516643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jzz8oBAACb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ey&#10;fJ0F6gPUmPcQMDMNd37AtZn9gM7Me1DR5i8yIhhHec9XeeWQiMiP1qv1usKQwNh8QXz2+DxESG+l&#10;tyQbDY04vyIrP72HNKbOKbma8/famDJD4/5yIGb2sNz72GO20rAfJkJ7356RT4+jb6jDTafEvHOo&#10;bN6S2YizsZ+NY4j60JU1yvUg3B4TNlF6yxVG2Kkwzqywm/YrL8Wf95L1+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djzz8oBAACbAwAADgAAAAAAAAABACAAAAAeAQAAZHJzL2Uyb0Rv&#10;Yy54bWxQSwUGAAAAAAYABgBZAQAAWgUAAAAA&#10;" filled="f" stroked="f">
          <v:textbox style="mso-fit-shape-to-text:t" inset="0,0,0,0">
            <w:txbxContent>
              <w:p w:rsidR="00925AC4" w:rsidRDefault="00925AC4" w:rsidP="008E7712">
                <w:pPr>
                  <w:pStyle w:val="a5"/>
                  <w:ind w:firstLine="360"/>
                </w:pPr>
                <w:r>
                  <w:fldChar w:fldCharType="begin"/>
                </w:r>
                <w:r w:rsidR="00285E1E">
                  <w:instrText xml:space="preserve"> PAGE  \* MERGEFORMAT </w:instrText>
                </w:r>
                <w:r>
                  <w:fldChar w:fldCharType="separate"/>
                </w:r>
                <w:r w:rsidR="008E7712">
                  <w:rPr>
                    <w:noProof/>
                  </w:rPr>
                  <w:t>79</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C4" w:rsidRDefault="00925AC4" w:rsidP="008E7712">
    <w:pPr>
      <w:spacing w:line="14" w:lineRule="auto"/>
      <w:ind w:firstLine="40"/>
      <w:rPr>
        <w:rFonts w:ascii="Arial"/>
        <w:sz w:val="2"/>
      </w:rPr>
    </w:pPr>
    <w:r w:rsidRPr="00925AC4">
      <w:rPr>
        <w:sz w:val="2"/>
      </w:rPr>
      <w:pict>
        <v:shapetype id="_x0000_t202" coordsize="21600,21600" o:spt="202" path="m,l,21600r21600,l21600,xe">
          <v:stroke joinstyle="miter"/>
          <v:path gradientshapeok="t" o:connecttype="rect"/>
        </v:shapetype>
        <v:shape id="文本框 15" o:spid="_x0000_s2049" type="#_x0000_t202" style="position:absolute;left:0;text-align:left;margin-left:0;margin-top:0;width:2in;height:2in;z-index:25166540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vBrUMoBAACb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ZlSYnlBid+/v7t/OPX+edX&#10;snybBOo9VJj35DEzDnduwLWZ/YDOxHtog0lfZEQwjvKeLvLKIRKRHq3K1arAkMDYfEF89vzcB4jv&#10;pTMkGTUNOL8sKz8+QhxT55RUzbp7pXWeobZ/ORAzeVjqfewxWXHYDROhnWtOyKfH0dfU4qZToh8s&#10;Kpu2ZDbCbOxm4+CD2nd5jVI98LeHiE3k3lKFEXYqjDPL7Kb9Skvx5z1nPf9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vBrUMoBAACbAwAADgAAAAAAAAABACAAAAAeAQAAZHJzL2Uyb0Rv&#10;Yy54bWxQSwUGAAAAAAYABgBZAQAAWgUAAAAA&#10;" filled="f" stroked="f">
          <v:textbox style="mso-fit-shape-to-text:t" inset="0,0,0,0">
            <w:txbxContent>
              <w:p w:rsidR="00925AC4" w:rsidRDefault="00925AC4" w:rsidP="008E7712">
                <w:pPr>
                  <w:pStyle w:val="a5"/>
                  <w:ind w:firstLine="360"/>
                </w:pPr>
                <w:r>
                  <w:fldChar w:fldCharType="begin"/>
                </w:r>
                <w:r w:rsidR="00285E1E">
                  <w:instrText xml:space="preserve"> PAGE  \* MERGEFORMAT </w:instrText>
                </w:r>
                <w:r>
                  <w:fldChar w:fldCharType="separate"/>
                </w:r>
                <w:r w:rsidR="008E7712">
                  <w:rPr>
                    <w:noProof/>
                  </w:rPr>
                  <w:t>80</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E1E" w:rsidRDefault="00285E1E">
      <w:pPr>
        <w:ind w:firstLine="560"/>
      </w:pPr>
      <w:r>
        <w:separator/>
      </w:r>
    </w:p>
  </w:footnote>
  <w:footnote w:type="continuationSeparator" w:id="0">
    <w:p w:rsidR="00285E1E" w:rsidRDefault="00285E1E">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2" w:rsidRDefault="008E7712" w:rsidP="008E7712">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2" w:rsidRDefault="008E7712" w:rsidP="008E7712">
    <w:pPr>
      <w:pStyle w:val="a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2" w:rsidRDefault="008E7712" w:rsidP="008E7712">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5594E9"/>
    <w:multiLevelType w:val="singleLevel"/>
    <w:tmpl w:val="815594E9"/>
    <w:lvl w:ilvl="0">
      <w:start w:val="1"/>
      <w:numFmt w:val="decimal"/>
      <w:lvlText w:val="%1."/>
      <w:lvlJc w:val="left"/>
      <w:pPr>
        <w:tabs>
          <w:tab w:val="left" w:pos="210"/>
        </w:tabs>
        <w:ind w:left="0" w:firstLine="0"/>
      </w:pPr>
      <w:rPr>
        <w:rFonts w:eastAsia="宋体" w:hint="default"/>
        <w:sz w:val="28"/>
        <w:szCs w:val="28"/>
      </w:rPr>
    </w:lvl>
  </w:abstractNum>
  <w:abstractNum w:abstractNumId="1">
    <w:nsid w:val="838D6BAE"/>
    <w:multiLevelType w:val="singleLevel"/>
    <w:tmpl w:val="838D6BAE"/>
    <w:lvl w:ilvl="0">
      <w:start w:val="1"/>
      <w:numFmt w:val="decimal"/>
      <w:lvlText w:val="%1."/>
      <w:lvlJc w:val="left"/>
      <w:pPr>
        <w:tabs>
          <w:tab w:val="left" w:pos="210"/>
        </w:tabs>
        <w:ind w:left="0" w:firstLine="0"/>
      </w:pPr>
      <w:rPr>
        <w:rFonts w:eastAsia="宋体" w:hint="default"/>
        <w:sz w:val="28"/>
        <w:szCs w:val="28"/>
      </w:rPr>
    </w:lvl>
  </w:abstractNum>
  <w:abstractNum w:abstractNumId="2">
    <w:nsid w:val="83B33D8E"/>
    <w:multiLevelType w:val="singleLevel"/>
    <w:tmpl w:val="83B33D8E"/>
    <w:lvl w:ilvl="0">
      <w:start w:val="1"/>
      <w:numFmt w:val="decimal"/>
      <w:lvlText w:val="(%1)"/>
      <w:lvlJc w:val="left"/>
      <w:pPr>
        <w:tabs>
          <w:tab w:val="left" w:pos="210"/>
        </w:tabs>
        <w:ind w:left="0" w:firstLine="0"/>
      </w:pPr>
      <w:rPr>
        <w:rFonts w:eastAsia="宋体" w:hint="default"/>
        <w:sz w:val="28"/>
        <w:szCs w:val="28"/>
      </w:rPr>
    </w:lvl>
  </w:abstractNum>
  <w:abstractNum w:abstractNumId="3">
    <w:nsid w:val="84B0648B"/>
    <w:multiLevelType w:val="singleLevel"/>
    <w:tmpl w:val="84B0648B"/>
    <w:lvl w:ilvl="0">
      <w:start w:val="1"/>
      <w:numFmt w:val="chineseCounting"/>
      <w:suff w:val="nothing"/>
      <w:lvlText w:val="（%1）"/>
      <w:lvlJc w:val="left"/>
      <w:pPr>
        <w:ind w:left="0" w:firstLine="397"/>
      </w:pPr>
      <w:rPr>
        <w:rFonts w:eastAsia="宋体" w:hint="eastAsia"/>
        <w:sz w:val="28"/>
        <w:szCs w:val="28"/>
      </w:rPr>
    </w:lvl>
  </w:abstractNum>
  <w:abstractNum w:abstractNumId="4">
    <w:nsid w:val="874BAD36"/>
    <w:multiLevelType w:val="singleLevel"/>
    <w:tmpl w:val="874BAD36"/>
    <w:lvl w:ilvl="0">
      <w:start w:val="1"/>
      <w:numFmt w:val="decimal"/>
      <w:lvlText w:val="(%1)"/>
      <w:lvlJc w:val="left"/>
      <w:pPr>
        <w:tabs>
          <w:tab w:val="left" w:pos="210"/>
        </w:tabs>
        <w:ind w:left="0" w:firstLine="0"/>
      </w:pPr>
      <w:rPr>
        <w:rFonts w:eastAsia="宋体" w:hint="default"/>
        <w:sz w:val="28"/>
        <w:szCs w:val="28"/>
      </w:rPr>
    </w:lvl>
  </w:abstractNum>
  <w:abstractNum w:abstractNumId="5">
    <w:nsid w:val="8815B51A"/>
    <w:multiLevelType w:val="singleLevel"/>
    <w:tmpl w:val="8815B51A"/>
    <w:lvl w:ilvl="0">
      <w:start w:val="1"/>
      <w:numFmt w:val="decimal"/>
      <w:lvlText w:val="第6.0.%1条"/>
      <w:lvlJc w:val="left"/>
      <w:pPr>
        <w:tabs>
          <w:tab w:val="left" w:pos="210"/>
        </w:tabs>
        <w:ind w:left="0" w:firstLine="0"/>
      </w:pPr>
      <w:rPr>
        <w:rFonts w:ascii="宋体" w:eastAsia="宋体" w:hAnsi="宋体" w:cs="宋体" w:hint="default"/>
        <w:b/>
        <w:bCs/>
        <w:color w:val="auto"/>
        <w:sz w:val="28"/>
        <w:szCs w:val="28"/>
      </w:rPr>
    </w:lvl>
  </w:abstractNum>
  <w:abstractNum w:abstractNumId="6">
    <w:nsid w:val="8C352BE1"/>
    <w:multiLevelType w:val="singleLevel"/>
    <w:tmpl w:val="8C352BE1"/>
    <w:lvl w:ilvl="0">
      <w:start w:val="1"/>
      <w:numFmt w:val="decimal"/>
      <w:lvlText w:val="%1."/>
      <w:lvlJc w:val="left"/>
      <w:pPr>
        <w:tabs>
          <w:tab w:val="left" w:pos="210"/>
        </w:tabs>
        <w:ind w:left="0" w:firstLine="0"/>
      </w:pPr>
      <w:rPr>
        <w:rFonts w:eastAsia="宋体" w:hint="default"/>
        <w:sz w:val="28"/>
        <w:szCs w:val="28"/>
      </w:rPr>
    </w:lvl>
  </w:abstractNum>
  <w:abstractNum w:abstractNumId="7">
    <w:nsid w:val="8DDC529D"/>
    <w:multiLevelType w:val="singleLevel"/>
    <w:tmpl w:val="8DDC529D"/>
    <w:lvl w:ilvl="0">
      <w:start w:val="1"/>
      <w:numFmt w:val="decimal"/>
      <w:lvlText w:val="第5.0.%1条"/>
      <w:lvlJc w:val="left"/>
      <w:pPr>
        <w:tabs>
          <w:tab w:val="left" w:pos="210"/>
        </w:tabs>
        <w:ind w:left="0" w:firstLine="0"/>
      </w:pPr>
      <w:rPr>
        <w:rFonts w:eastAsia="宋体" w:hint="default"/>
        <w:b/>
        <w:bCs/>
        <w:sz w:val="28"/>
        <w:szCs w:val="28"/>
      </w:rPr>
    </w:lvl>
  </w:abstractNum>
  <w:abstractNum w:abstractNumId="8">
    <w:nsid w:val="8EEBF7EF"/>
    <w:multiLevelType w:val="singleLevel"/>
    <w:tmpl w:val="8EEBF7EF"/>
    <w:lvl w:ilvl="0">
      <w:start w:val="1"/>
      <w:numFmt w:val="decimal"/>
      <w:lvlText w:val="(%1)"/>
      <w:lvlJc w:val="left"/>
      <w:pPr>
        <w:tabs>
          <w:tab w:val="left" w:pos="210"/>
        </w:tabs>
        <w:ind w:left="0" w:firstLine="1134"/>
      </w:pPr>
      <w:rPr>
        <w:rFonts w:eastAsia="宋体" w:hint="default"/>
        <w:color w:val="auto"/>
        <w:sz w:val="28"/>
        <w:szCs w:val="28"/>
      </w:rPr>
    </w:lvl>
  </w:abstractNum>
  <w:abstractNum w:abstractNumId="9">
    <w:nsid w:val="917D5522"/>
    <w:multiLevelType w:val="singleLevel"/>
    <w:tmpl w:val="917D5522"/>
    <w:lvl w:ilvl="0">
      <w:start w:val="1"/>
      <w:numFmt w:val="decimal"/>
      <w:suff w:val="space"/>
      <w:lvlText w:val="%1."/>
      <w:lvlJc w:val="left"/>
    </w:lvl>
  </w:abstractNum>
  <w:abstractNum w:abstractNumId="10">
    <w:nsid w:val="989D2D9B"/>
    <w:multiLevelType w:val="singleLevel"/>
    <w:tmpl w:val="989D2D9B"/>
    <w:lvl w:ilvl="0">
      <w:start w:val="1"/>
      <w:numFmt w:val="decimal"/>
      <w:lvlText w:val="%1."/>
      <w:lvlJc w:val="left"/>
      <w:pPr>
        <w:tabs>
          <w:tab w:val="left" w:pos="210"/>
        </w:tabs>
        <w:ind w:left="0" w:firstLine="0"/>
      </w:pPr>
      <w:rPr>
        <w:rFonts w:eastAsia="宋体" w:hint="default"/>
        <w:sz w:val="28"/>
        <w:szCs w:val="28"/>
      </w:rPr>
    </w:lvl>
  </w:abstractNum>
  <w:abstractNum w:abstractNumId="11">
    <w:nsid w:val="99A03781"/>
    <w:multiLevelType w:val="singleLevel"/>
    <w:tmpl w:val="99A03781"/>
    <w:lvl w:ilvl="0">
      <w:start w:val="1"/>
      <w:numFmt w:val="decimal"/>
      <w:lvlText w:val="%1."/>
      <w:lvlJc w:val="left"/>
      <w:pPr>
        <w:tabs>
          <w:tab w:val="left" w:pos="210"/>
        </w:tabs>
        <w:ind w:left="0" w:firstLine="0"/>
      </w:pPr>
      <w:rPr>
        <w:rFonts w:eastAsia="宋体" w:hint="default"/>
        <w:sz w:val="28"/>
        <w:szCs w:val="28"/>
      </w:rPr>
    </w:lvl>
  </w:abstractNum>
  <w:abstractNum w:abstractNumId="12">
    <w:nsid w:val="99F06C4D"/>
    <w:multiLevelType w:val="singleLevel"/>
    <w:tmpl w:val="99F06C4D"/>
    <w:lvl w:ilvl="0">
      <w:start w:val="1"/>
      <w:numFmt w:val="decimal"/>
      <w:lvlText w:val="%1."/>
      <w:lvlJc w:val="left"/>
      <w:pPr>
        <w:tabs>
          <w:tab w:val="left" w:pos="210"/>
        </w:tabs>
        <w:ind w:left="0" w:firstLine="1134"/>
      </w:pPr>
      <w:rPr>
        <w:rFonts w:eastAsia="宋体" w:hint="default"/>
        <w:sz w:val="28"/>
        <w:szCs w:val="28"/>
      </w:rPr>
    </w:lvl>
  </w:abstractNum>
  <w:abstractNum w:abstractNumId="13">
    <w:nsid w:val="9A157D65"/>
    <w:multiLevelType w:val="singleLevel"/>
    <w:tmpl w:val="9A157D65"/>
    <w:lvl w:ilvl="0">
      <w:start w:val="1"/>
      <w:numFmt w:val="decimal"/>
      <w:lvlText w:val="第4.1.%1条"/>
      <w:lvlJc w:val="left"/>
      <w:pPr>
        <w:tabs>
          <w:tab w:val="left" w:pos="210"/>
        </w:tabs>
        <w:ind w:left="0" w:firstLine="0"/>
      </w:pPr>
      <w:rPr>
        <w:rFonts w:eastAsia="宋体" w:hint="default"/>
        <w:b/>
        <w:bCs/>
        <w:color w:val="auto"/>
        <w:sz w:val="28"/>
        <w:szCs w:val="28"/>
      </w:rPr>
    </w:lvl>
  </w:abstractNum>
  <w:abstractNum w:abstractNumId="14">
    <w:nsid w:val="9B100AEB"/>
    <w:multiLevelType w:val="singleLevel"/>
    <w:tmpl w:val="9B100AEB"/>
    <w:lvl w:ilvl="0">
      <w:start w:val="1"/>
      <w:numFmt w:val="decimal"/>
      <w:lvlText w:val="%1."/>
      <w:lvlJc w:val="left"/>
      <w:pPr>
        <w:tabs>
          <w:tab w:val="left" w:pos="210"/>
        </w:tabs>
        <w:ind w:left="0" w:firstLine="0"/>
      </w:pPr>
      <w:rPr>
        <w:rFonts w:eastAsia="宋体" w:hint="default"/>
        <w:sz w:val="28"/>
        <w:szCs w:val="28"/>
      </w:rPr>
    </w:lvl>
  </w:abstractNum>
  <w:abstractNum w:abstractNumId="15">
    <w:nsid w:val="9B164F36"/>
    <w:multiLevelType w:val="singleLevel"/>
    <w:tmpl w:val="9B164F36"/>
    <w:lvl w:ilvl="0">
      <w:start w:val="1"/>
      <w:numFmt w:val="decimal"/>
      <w:lvlText w:val="(%1)"/>
      <w:lvlJc w:val="left"/>
      <w:pPr>
        <w:tabs>
          <w:tab w:val="left" w:pos="210"/>
        </w:tabs>
        <w:ind w:left="0" w:firstLine="1134"/>
      </w:pPr>
      <w:rPr>
        <w:rFonts w:eastAsia="宋体" w:hint="default"/>
        <w:color w:val="auto"/>
        <w:sz w:val="28"/>
        <w:szCs w:val="28"/>
      </w:rPr>
    </w:lvl>
  </w:abstractNum>
  <w:abstractNum w:abstractNumId="16">
    <w:nsid w:val="9B25E17F"/>
    <w:multiLevelType w:val="singleLevel"/>
    <w:tmpl w:val="9B25E17F"/>
    <w:lvl w:ilvl="0">
      <w:start w:val="1"/>
      <w:numFmt w:val="decimal"/>
      <w:lvlText w:val="第3.3.%1条"/>
      <w:lvlJc w:val="left"/>
      <w:pPr>
        <w:tabs>
          <w:tab w:val="left" w:pos="210"/>
        </w:tabs>
        <w:ind w:left="0" w:firstLine="0"/>
      </w:pPr>
      <w:rPr>
        <w:rFonts w:eastAsia="宋体" w:hint="default"/>
        <w:b/>
        <w:bCs/>
        <w:color w:val="auto"/>
        <w:sz w:val="28"/>
        <w:szCs w:val="28"/>
      </w:rPr>
    </w:lvl>
  </w:abstractNum>
  <w:abstractNum w:abstractNumId="17">
    <w:nsid w:val="A2DCC758"/>
    <w:multiLevelType w:val="singleLevel"/>
    <w:tmpl w:val="A2DCC758"/>
    <w:lvl w:ilvl="0">
      <w:start w:val="1"/>
      <w:numFmt w:val="decimal"/>
      <w:lvlText w:val="(%1)"/>
      <w:lvlJc w:val="left"/>
      <w:pPr>
        <w:tabs>
          <w:tab w:val="left" w:pos="210"/>
        </w:tabs>
        <w:ind w:left="0" w:firstLine="40"/>
      </w:pPr>
      <w:rPr>
        <w:rFonts w:eastAsia="宋体" w:hint="default"/>
        <w:sz w:val="28"/>
        <w:szCs w:val="28"/>
      </w:rPr>
    </w:lvl>
  </w:abstractNum>
  <w:abstractNum w:abstractNumId="18">
    <w:nsid w:val="AA7A129B"/>
    <w:multiLevelType w:val="singleLevel"/>
    <w:tmpl w:val="AA7A129B"/>
    <w:lvl w:ilvl="0">
      <w:start w:val="1"/>
      <w:numFmt w:val="decimal"/>
      <w:lvlText w:val="%1."/>
      <w:lvlJc w:val="left"/>
      <w:pPr>
        <w:tabs>
          <w:tab w:val="left" w:pos="210"/>
        </w:tabs>
        <w:ind w:left="0" w:firstLine="0"/>
      </w:pPr>
      <w:rPr>
        <w:rFonts w:eastAsia="宋体" w:hint="default"/>
        <w:sz w:val="24"/>
        <w:szCs w:val="24"/>
      </w:rPr>
    </w:lvl>
  </w:abstractNum>
  <w:abstractNum w:abstractNumId="19">
    <w:nsid w:val="ABD66716"/>
    <w:multiLevelType w:val="singleLevel"/>
    <w:tmpl w:val="ABD66716"/>
    <w:lvl w:ilvl="0">
      <w:start w:val="1"/>
      <w:numFmt w:val="decimal"/>
      <w:lvlText w:val="(%1)"/>
      <w:lvlJc w:val="left"/>
      <w:pPr>
        <w:tabs>
          <w:tab w:val="left" w:pos="210"/>
        </w:tabs>
        <w:ind w:left="0" w:firstLine="0"/>
      </w:pPr>
      <w:rPr>
        <w:rFonts w:eastAsia="宋体" w:hint="default"/>
        <w:sz w:val="28"/>
        <w:szCs w:val="28"/>
      </w:rPr>
    </w:lvl>
  </w:abstractNum>
  <w:abstractNum w:abstractNumId="20">
    <w:nsid w:val="AD973897"/>
    <w:multiLevelType w:val="singleLevel"/>
    <w:tmpl w:val="AD973897"/>
    <w:lvl w:ilvl="0">
      <w:start w:val="1"/>
      <w:numFmt w:val="decimal"/>
      <w:lvlText w:val="第3.0.%1条."/>
      <w:lvlJc w:val="left"/>
      <w:pPr>
        <w:tabs>
          <w:tab w:val="left" w:pos="210"/>
        </w:tabs>
        <w:ind w:left="0" w:firstLine="40"/>
      </w:pPr>
      <w:rPr>
        <w:rFonts w:ascii="宋体" w:eastAsia="宋体" w:hAnsi="宋体" w:cs="宋体" w:hint="default"/>
        <w:b/>
        <w:bCs/>
        <w:sz w:val="28"/>
        <w:szCs w:val="28"/>
      </w:rPr>
    </w:lvl>
  </w:abstractNum>
  <w:abstractNum w:abstractNumId="21">
    <w:nsid w:val="AE56BF8F"/>
    <w:multiLevelType w:val="singleLevel"/>
    <w:tmpl w:val="AE56BF8F"/>
    <w:lvl w:ilvl="0">
      <w:start w:val="1"/>
      <w:numFmt w:val="decimal"/>
      <w:lvlText w:val="%1."/>
      <w:lvlJc w:val="left"/>
      <w:pPr>
        <w:tabs>
          <w:tab w:val="left" w:pos="210"/>
        </w:tabs>
        <w:ind w:left="0" w:firstLine="0"/>
      </w:pPr>
      <w:rPr>
        <w:rFonts w:eastAsia="宋体" w:hint="default"/>
        <w:sz w:val="28"/>
        <w:szCs w:val="28"/>
      </w:rPr>
    </w:lvl>
  </w:abstractNum>
  <w:abstractNum w:abstractNumId="22">
    <w:nsid w:val="B0815366"/>
    <w:multiLevelType w:val="singleLevel"/>
    <w:tmpl w:val="B0815366"/>
    <w:lvl w:ilvl="0">
      <w:start w:val="1"/>
      <w:numFmt w:val="decimalEnclosedCircleChinese"/>
      <w:suff w:val="nothing"/>
      <w:lvlText w:val="%1　"/>
      <w:lvlJc w:val="left"/>
      <w:pPr>
        <w:ind w:left="0" w:firstLine="397"/>
      </w:pPr>
      <w:rPr>
        <w:rFonts w:eastAsia="宋体" w:hint="eastAsia"/>
        <w:sz w:val="28"/>
        <w:szCs w:val="28"/>
      </w:rPr>
    </w:lvl>
  </w:abstractNum>
  <w:abstractNum w:abstractNumId="23">
    <w:nsid w:val="B0A37835"/>
    <w:multiLevelType w:val="singleLevel"/>
    <w:tmpl w:val="B0A37835"/>
    <w:lvl w:ilvl="0">
      <w:start w:val="1"/>
      <w:numFmt w:val="decimal"/>
      <w:lvlText w:val="%1."/>
      <w:lvlJc w:val="left"/>
      <w:pPr>
        <w:tabs>
          <w:tab w:val="left" w:pos="397"/>
        </w:tabs>
        <w:ind w:left="0" w:firstLine="0"/>
      </w:pPr>
      <w:rPr>
        <w:rFonts w:hint="default"/>
        <w:b w:val="0"/>
        <w:bCs w:val="0"/>
        <w:sz w:val="28"/>
        <w:szCs w:val="28"/>
      </w:rPr>
    </w:lvl>
  </w:abstractNum>
  <w:abstractNum w:abstractNumId="24">
    <w:nsid w:val="B245A84D"/>
    <w:multiLevelType w:val="singleLevel"/>
    <w:tmpl w:val="B245A84D"/>
    <w:lvl w:ilvl="0">
      <w:start w:val="1"/>
      <w:numFmt w:val="decimal"/>
      <w:lvlText w:val="(%1)"/>
      <w:lvlJc w:val="left"/>
      <w:pPr>
        <w:tabs>
          <w:tab w:val="left" w:pos="210"/>
        </w:tabs>
        <w:ind w:left="0" w:firstLine="0"/>
      </w:pPr>
      <w:rPr>
        <w:rFonts w:eastAsia="宋体" w:hint="default"/>
        <w:sz w:val="28"/>
        <w:szCs w:val="28"/>
      </w:rPr>
    </w:lvl>
  </w:abstractNum>
  <w:abstractNum w:abstractNumId="25">
    <w:nsid w:val="B2C3F343"/>
    <w:multiLevelType w:val="singleLevel"/>
    <w:tmpl w:val="B2C3F343"/>
    <w:lvl w:ilvl="0">
      <w:start w:val="1"/>
      <w:numFmt w:val="chineseCounting"/>
      <w:suff w:val="nothing"/>
      <w:lvlText w:val="（%1）"/>
      <w:lvlJc w:val="left"/>
      <w:pPr>
        <w:ind w:left="0" w:firstLine="397"/>
      </w:pPr>
      <w:rPr>
        <w:rFonts w:eastAsia="宋体" w:hint="eastAsia"/>
        <w:sz w:val="28"/>
        <w:szCs w:val="28"/>
      </w:rPr>
    </w:lvl>
  </w:abstractNum>
  <w:abstractNum w:abstractNumId="26">
    <w:nsid w:val="B3F99824"/>
    <w:multiLevelType w:val="singleLevel"/>
    <w:tmpl w:val="B3F99824"/>
    <w:lvl w:ilvl="0">
      <w:start w:val="1"/>
      <w:numFmt w:val="decimal"/>
      <w:lvlText w:val="%1."/>
      <w:lvlJc w:val="left"/>
      <w:pPr>
        <w:tabs>
          <w:tab w:val="left" w:pos="210"/>
        </w:tabs>
        <w:ind w:left="0" w:firstLine="1134"/>
      </w:pPr>
      <w:rPr>
        <w:rFonts w:eastAsia="宋体" w:hint="default"/>
        <w:sz w:val="28"/>
        <w:szCs w:val="28"/>
      </w:rPr>
    </w:lvl>
  </w:abstractNum>
  <w:abstractNum w:abstractNumId="27">
    <w:nsid w:val="B8A1C38C"/>
    <w:multiLevelType w:val="singleLevel"/>
    <w:tmpl w:val="B8A1C38C"/>
    <w:lvl w:ilvl="0">
      <w:start w:val="1"/>
      <w:numFmt w:val="decimal"/>
      <w:lvlText w:val="%1."/>
      <w:lvlJc w:val="left"/>
      <w:pPr>
        <w:tabs>
          <w:tab w:val="left" w:pos="210"/>
        </w:tabs>
        <w:ind w:left="0" w:firstLine="1134"/>
      </w:pPr>
      <w:rPr>
        <w:rFonts w:eastAsia="宋体" w:hint="default"/>
        <w:sz w:val="28"/>
        <w:szCs w:val="28"/>
      </w:rPr>
    </w:lvl>
  </w:abstractNum>
  <w:abstractNum w:abstractNumId="28">
    <w:nsid w:val="B8CCB791"/>
    <w:multiLevelType w:val="singleLevel"/>
    <w:tmpl w:val="B8CCB791"/>
    <w:lvl w:ilvl="0">
      <w:start w:val="1"/>
      <w:numFmt w:val="decimal"/>
      <w:lvlText w:val="%1."/>
      <w:lvlJc w:val="left"/>
      <w:pPr>
        <w:tabs>
          <w:tab w:val="left" w:pos="210"/>
        </w:tabs>
        <w:ind w:left="0" w:firstLine="1134"/>
      </w:pPr>
      <w:rPr>
        <w:rFonts w:eastAsia="宋体" w:hint="default"/>
        <w:sz w:val="28"/>
        <w:szCs w:val="28"/>
      </w:rPr>
    </w:lvl>
  </w:abstractNum>
  <w:abstractNum w:abstractNumId="29">
    <w:nsid w:val="B9DA8A96"/>
    <w:multiLevelType w:val="singleLevel"/>
    <w:tmpl w:val="B9DA8A96"/>
    <w:lvl w:ilvl="0">
      <w:start w:val="1"/>
      <w:numFmt w:val="decimal"/>
      <w:lvlText w:val="第3.2.%1条"/>
      <w:lvlJc w:val="left"/>
      <w:pPr>
        <w:tabs>
          <w:tab w:val="left" w:pos="210"/>
        </w:tabs>
        <w:ind w:left="0" w:firstLine="0"/>
      </w:pPr>
      <w:rPr>
        <w:rFonts w:eastAsia="宋体" w:hint="default"/>
        <w:b/>
        <w:bCs/>
        <w:sz w:val="28"/>
        <w:szCs w:val="28"/>
      </w:rPr>
    </w:lvl>
  </w:abstractNum>
  <w:abstractNum w:abstractNumId="30">
    <w:nsid w:val="BA83C98D"/>
    <w:multiLevelType w:val="singleLevel"/>
    <w:tmpl w:val="BA83C98D"/>
    <w:lvl w:ilvl="0">
      <w:start w:val="1"/>
      <w:numFmt w:val="decimal"/>
      <w:lvlText w:val="%1."/>
      <w:lvlJc w:val="left"/>
      <w:pPr>
        <w:tabs>
          <w:tab w:val="left" w:pos="210"/>
        </w:tabs>
        <w:ind w:left="0" w:firstLine="0"/>
      </w:pPr>
      <w:rPr>
        <w:rFonts w:eastAsia="宋体" w:hint="default"/>
        <w:sz w:val="28"/>
        <w:szCs w:val="28"/>
      </w:rPr>
    </w:lvl>
  </w:abstractNum>
  <w:abstractNum w:abstractNumId="31">
    <w:nsid w:val="BEAE3B14"/>
    <w:multiLevelType w:val="singleLevel"/>
    <w:tmpl w:val="BEAE3B14"/>
    <w:lvl w:ilvl="0">
      <w:start w:val="1"/>
      <w:numFmt w:val="decimal"/>
      <w:lvlText w:val="(%1)"/>
      <w:lvlJc w:val="left"/>
      <w:pPr>
        <w:tabs>
          <w:tab w:val="left" w:pos="210"/>
        </w:tabs>
        <w:ind w:left="0" w:firstLine="0"/>
      </w:pPr>
      <w:rPr>
        <w:rFonts w:eastAsia="宋体" w:hint="default"/>
        <w:sz w:val="28"/>
        <w:szCs w:val="28"/>
      </w:rPr>
    </w:lvl>
  </w:abstractNum>
  <w:abstractNum w:abstractNumId="32">
    <w:nsid w:val="C7246879"/>
    <w:multiLevelType w:val="singleLevel"/>
    <w:tmpl w:val="C7246879"/>
    <w:lvl w:ilvl="0">
      <w:start w:val="1"/>
      <w:numFmt w:val="decimal"/>
      <w:lvlText w:val="%1."/>
      <w:lvlJc w:val="left"/>
      <w:pPr>
        <w:tabs>
          <w:tab w:val="left" w:pos="210"/>
        </w:tabs>
        <w:ind w:left="-2" w:firstLine="0"/>
      </w:pPr>
      <w:rPr>
        <w:rFonts w:eastAsia="宋体" w:hint="default"/>
        <w:b/>
        <w:bCs/>
        <w:sz w:val="28"/>
        <w:szCs w:val="28"/>
      </w:rPr>
    </w:lvl>
  </w:abstractNum>
  <w:abstractNum w:abstractNumId="33">
    <w:nsid w:val="C88D0F16"/>
    <w:multiLevelType w:val="singleLevel"/>
    <w:tmpl w:val="C88D0F16"/>
    <w:lvl w:ilvl="0">
      <w:start w:val="1"/>
      <w:numFmt w:val="decimal"/>
      <w:lvlText w:val="%1."/>
      <w:lvlJc w:val="left"/>
      <w:pPr>
        <w:tabs>
          <w:tab w:val="left" w:pos="210"/>
        </w:tabs>
        <w:ind w:left="0" w:firstLine="1134"/>
      </w:pPr>
      <w:rPr>
        <w:rFonts w:eastAsia="宋体" w:hint="default"/>
        <w:sz w:val="28"/>
        <w:szCs w:val="28"/>
      </w:rPr>
    </w:lvl>
  </w:abstractNum>
  <w:abstractNum w:abstractNumId="34">
    <w:nsid w:val="CBFDEDDE"/>
    <w:multiLevelType w:val="singleLevel"/>
    <w:tmpl w:val="CBFDEDDE"/>
    <w:lvl w:ilvl="0">
      <w:start w:val="1"/>
      <w:numFmt w:val="decimal"/>
      <w:lvlText w:val="%1."/>
      <w:lvlJc w:val="left"/>
      <w:pPr>
        <w:tabs>
          <w:tab w:val="left" w:pos="210"/>
        </w:tabs>
        <w:ind w:left="0" w:firstLine="0"/>
      </w:pPr>
      <w:rPr>
        <w:rFonts w:eastAsia="宋体" w:hint="default"/>
        <w:sz w:val="28"/>
        <w:szCs w:val="28"/>
      </w:rPr>
    </w:lvl>
  </w:abstractNum>
  <w:abstractNum w:abstractNumId="35">
    <w:nsid w:val="CD65805F"/>
    <w:multiLevelType w:val="singleLevel"/>
    <w:tmpl w:val="CD65805F"/>
    <w:lvl w:ilvl="0">
      <w:start w:val="1"/>
      <w:numFmt w:val="decimal"/>
      <w:lvlText w:val="%1."/>
      <w:lvlJc w:val="left"/>
      <w:pPr>
        <w:tabs>
          <w:tab w:val="left" w:pos="210"/>
        </w:tabs>
        <w:ind w:left="0" w:firstLine="0"/>
      </w:pPr>
      <w:rPr>
        <w:rFonts w:eastAsia="宋体" w:hint="default"/>
        <w:color w:val="auto"/>
        <w:sz w:val="28"/>
        <w:szCs w:val="28"/>
      </w:rPr>
    </w:lvl>
  </w:abstractNum>
  <w:abstractNum w:abstractNumId="36">
    <w:nsid w:val="CDBBF976"/>
    <w:multiLevelType w:val="singleLevel"/>
    <w:tmpl w:val="CDBBF976"/>
    <w:lvl w:ilvl="0">
      <w:start w:val="1"/>
      <w:numFmt w:val="decimal"/>
      <w:lvlText w:val="%1."/>
      <w:lvlJc w:val="left"/>
      <w:pPr>
        <w:tabs>
          <w:tab w:val="left" w:pos="210"/>
        </w:tabs>
        <w:ind w:left="0" w:firstLine="0"/>
      </w:pPr>
      <w:rPr>
        <w:rFonts w:eastAsia="宋体" w:hint="default"/>
        <w:sz w:val="28"/>
        <w:szCs w:val="28"/>
      </w:rPr>
    </w:lvl>
  </w:abstractNum>
  <w:abstractNum w:abstractNumId="37">
    <w:nsid w:val="D0AEDD5C"/>
    <w:multiLevelType w:val="singleLevel"/>
    <w:tmpl w:val="D0AEDD5C"/>
    <w:lvl w:ilvl="0">
      <w:start w:val="1"/>
      <w:numFmt w:val="chineseCounting"/>
      <w:suff w:val="nothing"/>
      <w:lvlText w:val="（%1）"/>
      <w:lvlJc w:val="left"/>
      <w:pPr>
        <w:ind w:left="0" w:firstLine="397"/>
      </w:pPr>
      <w:rPr>
        <w:rFonts w:eastAsia="宋体" w:hint="eastAsia"/>
        <w:sz w:val="28"/>
        <w:szCs w:val="28"/>
      </w:rPr>
    </w:lvl>
  </w:abstractNum>
  <w:abstractNum w:abstractNumId="38">
    <w:nsid w:val="D8027CED"/>
    <w:multiLevelType w:val="singleLevel"/>
    <w:tmpl w:val="D8027CED"/>
    <w:lvl w:ilvl="0">
      <w:start w:val="6"/>
      <w:numFmt w:val="chineseCounting"/>
      <w:suff w:val="space"/>
      <w:lvlText w:val="第%1章"/>
      <w:lvlJc w:val="left"/>
      <w:rPr>
        <w:rFonts w:hint="eastAsia"/>
      </w:rPr>
    </w:lvl>
  </w:abstractNum>
  <w:abstractNum w:abstractNumId="39">
    <w:nsid w:val="D807EDCE"/>
    <w:multiLevelType w:val="singleLevel"/>
    <w:tmpl w:val="D807EDCE"/>
    <w:lvl w:ilvl="0">
      <w:start w:val="1"/>
      <w:numFmt w:val="chineseCounting"/>
      <w:suff w:val="nothing"/>
      <w:lvlText w:val="%1、"/>
      <w:lvlJc w:val="left"/>
      <w:pPr>
        <w:ind w:left="0" w:firstLine="420"/>
      </w:pPr>
      <w:rPr>
        <w:rFonts w:ascii="宋体" w:eastAsia="宋体" w:hAnsi="宋体" w:cs="宋体" w:hint="eastAsia"/>
        <w:sz w:val="28"/>
        <w:szCs w:val="28"/>
      </w:rPr>
    </w:lvl>
  </w:abstractNum>
  <w:abstractNum w:abstractNumId="40">
    <w:nsid w:val="D9B426F9"/>
    <w:multiLevelType w:val="singleLevel"/>
    <w:tmpl w:val="D9B426F9"/>
    <w:lvl w:ilvl="0">
      <w:start w:val="1"/>
      <w:numFmt w:val="decimal"/>
      <w:lvlText w:val="(%1)"/>
      <w:lvlJc w:val="left"/>
      <w:pPr>
        <w:tabs>
          <w:tab w:val="left" w:pos="210"/>
        </w:tabs>
        <w:ind w:left="0" w:firstLine="1134"/>
      </w:pPr>
      <w:rPr>
        <w:rFonts w:eastAsia="宋体" w:hint="default"/>
        <w:sz w:val="28"/>
        <w:szCs w:val="28"/>
      </w:rPr>
    </w:lvl>
  </w:abstractNum>
  <w:abstractNum w:abstractNumId="41">
    <w:nsid w:val="DAC844A0"/>
    <w:multiLevelType w:val="singleLevel"/>
    <w:tmpl w:val="DAC844A0"/>
    <w:lvl w:ilvl="0">
      <w:start w:val="1"/>
      <w:numFmt w:val="decimal"/>
      <w:lvlText w:val="%1."/>
      <w:lvlJc w:val="left"/>
      <w:pPr>
        <w:tabs>
          <w:tab w:val="left" w:pos="210"/>
        </w:tabs>
        <w:ind w:left="0" w:firstLine="1134"/>
      </w:pPr>
      <w:rPr>
        <w:rFonts w:eastAsia="宋体" w:hint="default"/>
        <w:sz w:val="24"/>
        <w:szCs w:val="24"/>
      </w:rPr>
    </w:lvl>
  </w:abstractNum>
  <w:abstractNum w:abstractNumId="42">
    <w:nsid w:val="DCE52D5F"/>
    <w:multiLevelType w:val="singleLevel"/>
    <w:tmpl w:val="DCE52D5F"/>
    <w:lvl w:ilvl="0">
      <w:start w:val="1"/>
      <w:numFmt w:val="decimalEnclosedCircleChinese"/>
      <w:suff w:val="nothing"/>
      <w:lvlText w:val="%1　"/>
      <w:lvlJc w:val="left"/>
      <w:pPr>
        <w:ind w:left="0" w:firstLine="1134"/>
      </w:pPr>
      <w:rPr>
        <w:rFonts w:hint="eastAsia"/>
        <w:sz w:val="28"/>
        <w:szCs w:val="28"/>
      </w:rPr>
    </w:lvl>
  </w:abstractNum>
  <w:abstractNum w:abstractNumId="43">
    <w:nsid w:val="DEE085D5"/>
    <w:multiLevelType w:val="singleLevel"/>
    <w:tmpl w:val="DEE085D5"/>
    <w:lvl w:ilvl="0">
      <w:start w:val="1"/>
      <w:numFmt w:val="decimal"/>
      <w:lvlText w:val="%1."/>
      <w:lvlJc w:val="left"/>
      <w:pPr>
        <w:tabs>
          <w:tab w:val="left" w:pos="210"/>
        </w:tabs>
        <w:ind w:left="0" w:firstLine="0"/>
      </w:pPr>
      <w:rPr>
        <w:rFonts w:eastAsia="宋体" w:hint="default"/>
        <w:sz w:val="28"/>
        <w:szCs w:val="28"/>
      </w:rPr>
    </w:lvl>
  </w:abstractNum>
  <w:abstractNum w:abstractNumId="44">
    <w:nsid w:val="E6370752"/>
    <w:multiLevelType w:val="singleLevel"/>
    <w:tmpl w:val="E6370752"/>
    <w:lvl w:ilvl="0">
      <w:start w:val="1"/>
      <w:numFmt w:val="decimal"/>
      <w:lvlText w:val="%1."/>
      <w:lvlJc w:val="left"/>
      <w:pPr>
        <w:tabs>
          <w:tab w:val="left" w:pos="210"/>
        </w:tabs>
        <w:ind w:left="0" w:firstLine="0"/>
      </w:pPr>
      <w:rPr>
        <w:rFonts w:eastAsia="宋体" w:hint="default"/>
        <w:sz w:val="28"/>
        <w:szCs w:val="28"/>
      </w:rPr>
    </w:lvl>
  </w:abstractNum>
  <w:abstractNum w:abstractNumId="45">
    <w:nsid w:val="EAD280E0"/>
    <w:multiLevelType w:val="singleLevel"/>
    <w:tmpl w:val="EAD280E0"/>
    <w:lvl w:ilvl="0">
      <w:start w:val="1"/>
      <w:numFmt w:val="decimal"/>
      <w:lvlText w:val="(%1)"/>
      <w:lvlJc w:val="left"/>
      <w:pPr>
        <w:tabs>
          <w:tab w:val="left" w:pos="210"/>
        </w:tabs>
        <w:ind w:left="0" w:firstLine="0"/>
      </w:pPr>
      <w:rPr>
        <w:rFonts w:eastAsia="宋体" w:hint="default"/>
        <w:sz w:val="28"/>
        <w:szCs w:val="28"/>
      </w:rPr>
    </w:lvl>
  </w:abstractNum>
  <w:abstractNum w:abstractNumId="46">
    <w:nsid w:val="F3C8462F"/>
    <w:multiLevelType w:val="singleLevel"/>
    <w:tmpl w:val="F3C8462F"/>
    <w:lvl w:ilvl="0">
      <w:start w:val="1"/>
      <w:numFmt w:val="decimal"/>
      <w:lvlText w:val="%1)"/>
      <w:lvlJc w:val="left"/>
      <w:pPr>
        <w:tabs>
          <w:tab w:val="left" w:pos="210"/>
        </w:tabs>
        <w:ind w:left="0" w:firstLine="0"/>
      </w:pPr>
      <w:rPr>
        <w:rFonts w:eastAsia="宋体" w:hint="default"/>
        <w:sz w:val="28"/>
        <w:szCs w:val="28"/>
      </w:rPr>
    </w:lvl>
  </w:abstractNum>
  <w:abstractNum w:abstractNumId="47">
    <w:nsid w:val="F9D07968"/>
    <w:multiLevelType w:val="singleLevel"/>
    <w:tmpl w:val="F9D07968"/>
    <w:lvl w:ilvl="0">
      <w:start w:val="1"/>
      <w:numFmt w:val="decimal"/>
      <w:lvlText w:val="%1."/>
      <w:lvlJc w:val="left"/>
      <w:pPr>
        <w:tabs>
          <w:tab w:val="left" w:pos="210"/>
        </w:tabs>
        <w:ind w:left="0" w:firstLine="0"/>
      </w:pPr>
      <w:rPr>
        <w:rFonts w:eastAsia="宋体" w:hint="default"/>
        <w:sz w:val="28"/>
        <w:szCs w:val="28"/>
      </w:rPr>
    </w:lvl>
  </w:abstractNum>
  <w:abstractNum w:abstractNumId="48">
    <w:nsid w:val="FD93DD15"/>
    <w:multiLevelType w:val="singleLevel"/>
    <w:tmpl w:val="FD93DD15"/>
    <w:lvl w:ilvl="0">
      <w:start w:val="1"/>
      <w:numFmt w:val="decimal"/>
      <w:lvlText w:val="%1."/>
      <w:lvlJc w:val="left"/>
      <w:pPr>
        <w:tabs>
          <w:tab w:val="left" w:pos="210"/>
        </w:tabs>
        <w:ind w:left="0" w:firstLine="0"/>
      </w:pPr>
      <w:rPr>
        <w:rFonts w:eastAsia="宋体" w:hint="default"/>
        <w:sz w:val="28"/>
        <w:szCs w:val="28"/>
      </w:rPr>
    </w:lvl>
  </w:abstractNum>
  <w:abstractNum w:abstractNumId="49">
    <w:nsid w:val="0956530D"/>
    <w:multiLevelType w:val="singleLevel"/>
    <w:tmpl w:val="0956530D"/>
    <w:lvl w:ilvl="0">
      <w:start w:val="1"/>
      <w:numFmt w:val="decimal"/>
      <w:lvlText w:val="第4.4.%1条"/>
      <w:lvlJc w:val="left"/>
      <w:pPr>
        <w:tabs>
          <w:tab w:val="left" w:pos="210"/>
        </w:tabs>
        <w:ind w:left="0" w:firstLine="0"/>
      </w:pPr>
      <w:rPr>
        <w:rFonts w:eastAsia="宋体" w:hint="default"/>
        <w:b/>
        <w:bCs/>
        <w:sz w:val="28"/>
        <w:szCs w:val="28"/>
      </w:rPr>
    </w:lvl>
  </w:abstractNum>
  <w:abstractNum w:abstractNumId="50">
    <w:nsid w:val="0C570D9D"/>
    <w:multiLevelType w:val="singleLevel"/>
    <w:tmpl w:val="0C570D9D"/>
    <w:lvl w:ilvl="0">
      <w:start w:val="1"/>
      <w:numFmt w:val="decimal"/>
      <w:suff w:val="nothing"/>
      <w:lvlText w:val="第2.3.%1条"/>
      <w:lvlJc w:val="left"/>
      <w:pPr>
        <w:tabs>
          <w:tab w:val="left" w:pos="0"/>
        </w:tabs>
        <w:ind w:left="0" w:firstLine="40"/>
      </w:pPr>
      <w:rPr>
        <w:rFonts w:ascii="宋体" w:eastAsia="宋体" w:hAnsi="宋体" w:cs="宋体" w:hint="default"/>
        <w:b/>
        <w:bCs/>
        <w:color w:val="auto"/>
        <w:sz w:val="28"/>
        <w:szCs w:val="28"/>
      </w:rPr>
    </w:lvl>
  </w:abstractNum>
  <w:abstractNum w:abstractNumId="51">
    <w:nsid w:val="0FB79076"/>
    <w:multiLevelType w:val="singleLevel"/>
    <w:tmpl w:val="0FB79076"/>
    <w:lvl w:ilvl="0">
      <w:start w:val="1"/>
      <w:numFmt w:val="decimal"/>
      <w:lvlText w:val="%1."/>
      <w:lvlJc w:val="left"/>
      <w:pPr>
        <w:tabs>
          <w:tab w:val="left" w:pos="210"/>
        </w:tabs>
        <w:ind w:left="0" w:firstLine="0"/>
      </w:pPr>
      <w:rPr>
        <w:rFonts w:eastAsia="宋体" w:hint="default"/>
        <w:sz w:val="28"/>
        <w:szCs w:val="28"/>
      </w:rPr>
    </w:lvl>
  </w:abstractNum>
  <w:abstractNum w:abstractNumId="52">
    <w:nsid w:val="0FBD3B46"/>
    <w:multiLevelType w:val="singleLevel"/>
    <w:tmpl w:val="0FBD3B46"/>
    <w:lvl w:ilvl="0">
      <w:start w:val="1"/>
      <w:numFmt w:val="decimalEnclosedCircleChinese"/>
      <w:suff w:val="nothing"/>
      <w:lvlText w:val="%1　"/>
      <w:lvlJc w:val="left"/>
      <w:pPr>
        <w:ind w:left="0" w:firstLine="1134"/>
      </w:pPr>
      <w:rPr>
        <w:rFonts w:eastAsia="宋体" w:hint="eastAsia"/>
        <w:sz w:val="28"/>
        <w:szCs w:val="28"/>
      </w:rPr>
    </w:lvl>
  </w:abstractNum>
  <w:abstractNum w:abstractNumId="53">
    <w:nsid w:val="112E7154"/>
    <w:multiLevelType w:val="singleLevel"/>
    <w:tmpl w:val="112E7154"/>
    <w:lvl w:ilvl="0">
      <w:start w:val="1"/>
      <w:numFmt w:val="decimal"/>
      <w:lvlText w:val="%1."/>
      <w:lvlJc w:val="left"/>
      <w:pPr>
        <w:tabs>
          <w:tab w:val="left" w:pos="210"/>
        </w:tabs>
        <w:ind w:left="-2" w:firstLine="0"/>
      </w:pPr>
      <w:rPr>
        <w:rFonts w:eastAsia="宋体" w:hint="default"/>
        <w:b/>
        <w:bCs/>
        <w:color w:val="auto"/>
        <w:sz w:val="28"/>
        <w:szCs w:val="28"/>
      </w:rPr>
    </w:lvl>
  </w:abstractNum>
  <w:abstractNum w:abstractNumId="54">
    <w:nsid w:val="11ACBC4E"/>
    <w:multiLevelType w:val="singleLevel"/>
    <w:tmpl w:val="11ACBC4E"/>
    <w:lvl w:ilvl="0">
      <w:start w:val="1"/>
      <w:numFmt w:val="decimal"/>
      <w:lvlText w:val="(%1)"/>
      <w:lvlJc w:val="left"/>
      <w:pPr>
        <w:tabs>
          <w:tab w:val="left" w:pos="210"/>
        </w:tabs>
        <w:ind w:left="0" w:firstLine="0"/>
      </w:pPr>
      <w:rPr>
        <w:rFonts w:eastAsia="宋体" w:hint="default"/>
        <w:sz w:val="28"/>
        <w:szCs w:val="28"/>
      </w:rPr>
    </w:lvl>
  </w:abstractNum>
  <w:abstractNum w:abstractNumId="55">
    <w:nsid w:val="12E5FE5D"/>
    <w:multiLevelType w:val="singleLevel"/>
    <w:tmpl w:val="12E5FE5D"/>
    <w:lvl w:ilvl="0">
      <w:start w:val="1"/>
      <w:numFmt w:val="decimal"/>
      <w:suff w:val="nothing"/>
      <w:lvlText w:val="第2.1.%1条"/>
      <w:lvlJc w:val="left"/>
      <w:pPr>
        <w:tabs>
          <w:tab w:val="left" w:pos="0"/>
        </w:tabs>
        <w:ind w:left="0" w:firstLine="40"/>
      </w:pPr>
      <w:rPr>
        <w:rFonts w:ascii="宋体" w:eastAsia="宋体" w:hAnsi="宋体" w:cs="宋体" w:hint="default"/>
        <w:b/>
        <w:bCs/>
        <w:color w:val="auto"/>
        <w:sz w:val="28"/>
        <w:szCs w:val="28"/>
      </w:rPr>
    </w:lvl>
  </w:abstractNum>
  <w:abstractNum w:abstractNumId="56">
    <w:nsid w:val="14A10F20"/>
    <w:multiLevelType w:val="singleLevel"/>
    <w:tmpl w:val="14A10F20"/>
    <w:lvl w:ilvl="0">
      <w:start w:val="1"/>
      <w:numFmt w:val="decimal"/>
      <w:lvlText w:val="4.%1"/>
      <w:lvlJc w:val="left"/>
      <w:pPr>
        <w:tabs>
          <w:tab w:val="left" w:pos="210"/>
        </w:tabs>
        <w:ind w:left="0" w:firstLine="0"/>
      </w:pPr>
      <w:rPr>
        <w:rFonts w:ascii="宋体" w:eastAsia="宋体" w:hAnsi="宋体" w:cs="宋体" w:hint="default"/>
        <w:sz w:val="28"/>
        <w:szCs w:val="28"/>
      </w:rPr>
    </w:lvl>
  </w:abstractNum>
  <w:abstractNum w:abstractNumId="57">
    <w:nsid w:val="1558690F"/>
    <w:multiLevelType w:val="singleLevel"/>
    <w:tmpl w:val="1558690F"/>
    <w:lvl w:ilvl="0">
      <w:start w:val="1"/>
      <w:numFmt w:val="decimal"/>
      <w:lvlText w:val="%1."/>
      <w:lvlJc w:val="left"/>
      <w:pPr>
        <w:tabs>
          <w:tab w:val="left" w:pos="210"/>
        </w:tabs>
        <w:ind w:left="0" w:firstLine="0"/>
      </w:pPr>
      <w:rPr>
        <w:rFonts w:eastAsia="宋体" w:hint="default"/>
        <w:sz w:val="28"/>
        <w:szCs w:val="28"/>
      </w:rPr>
    </w:lvl>
  </w:abstractNum>
  <w:abstractNum w:abstractNumId="58">
    <w:nsid w:val="1B8CB272"/>
    <w:multiLevelType w:val="singleLevel"/>
    <w:tmpl w:val="1B8CB272"/>
    <w:lvl w:ilvl="0">
      <w:start w:val="1"/>
      <w:numFmt w:val="decimal"/>
      <w:lvlText w:val="%1."/>
      <w:lvlJc w:val="left"/>
      <w:pPr>
        <w:tabs>
          <w:tab w:val="left" w:pos="210"/>
        </w:tabs>
        <w:ind w:left="0" w:firstLine="0"/>
      </w:pPr>
      <w:rPr>
        <w:rFonts w:ascii="宋体" w:eastAsia="宋体" w:hAnsi="宋体" w:cs="宋体" w:hint="default"/>
        <w:sz w:val="28"/>
        <w:szCs w:val="28"/>
      </w:rPr>
    </w:lvl>
  </w:abstractNum>
  <w:abstractNum w:abstractNumId="59">
    <w:nsid w:val="1CC76237"/>
    <w:multiLevelType w:val="singleLevel"/>
    <w:tmpl w:val="1CC76237"/>
    <w:lvl w:ilvl="0">
      <w:start w:val="1"/>
      <w:numFmt w:val="decimal"/>
      <w:lvlText w:val="%1."/>
      <w:lvlJc w:val="left"/>
      <w:pPr>
        <w:tabs>
          <w:tab w:val="left" w:pos="210"/>
        </w:tabs>
        <w:ind w:left="0" w:firstLine="0"/>
      </w:pPr>
      <w:rPr>
        <w:rFonts w:eastAsia="宋体" w:hint="default"/>
        <w:sz w:val="28"/>
        <w:szCs w:val="28"/>
      </w:rPr>
    </w:lvl>
  </w:abstractNum>
  <w:abstractNum w:abstractNumId="60">
    <w:nsid w:val="1EA13487"/>
    <w:multiLevelType w:val="singleLevel"/>
    <w:tmpl w:val="1EA13487"/>
    <w:lvl w:ilvl="0">
      <w:start w:val="1"/>
      <w:numFmt w:val="decimal"/>
      <w:lvlText w:val="第7.0.%1条"/>
      <w:lvlJc w:val="left"/>
      <w:pPr>
        <w:tabs>
          <w:tab w:val="left" w:pos="210"/>
        </w:tabs>
        <w:ind w:left="0" w:firstLine="0"/>
      </w:pPr>
      <w:rPr>
        <w:rFonts w:ascii="宋体" w:eastAsia="宋体" w:hAnsi="宋体" w:cs="宋体" w:hint="default"/>
        <w:b/>
        <w:bCs/>
        <w:color w:val="auto"/>
        <w:sz w:val="28"/>
        <w:szCs w:val="28"/>
      </w:rPr>
    </w:lvl>
  </w:abstractNum>
  <w:abstractNum w:abstractNumId="61">
    <w:nsid w:val="2268D825"/>
    <w:multiLevelType w:val="singleLevel"/>
    <w:tmpl w:val="2268D825"/>
    <w:lvl w:ilvl="0">
      <w:start w:val="1"/>
      <w:numFmt w:val="decimal"/>
      <w:lvlText w:val="%1)"/>
      <w:lvlJc w:val="left"/>
      <w:pPr>
        <w:tabs>
          <w:tab w:val="left" w:pos="210"/>
        </w:tabs>
        <w:ind w:left="0" w:firstLine="0"/>
      </w:pPr>
      <w:rPr>
        <w:rFonts w:eastAsia="宋体" w:hint="default"/>
        <w:sz w:val="28"/>
        <w:szCs w:val="28"/>
      </w:rPr>
    </w:lvl>
  </w:abstractNum>
  <w:abstractNum w:abstractNumId="62">
    <w:nsid w:val="292241DE"/>
    <w:multiLevelType w:val="singleLevel"/>
    <w:tmpl w:val="292241DE"/>
    <w:lvl w:ilvl="0">
      <w:start w:val="1"/>
      <w:numFmt w:val="decimal"/>
      <w:lvlText w:val="%1."/>
      <w:lvlJc w:val="left"/>
      <w:pPr>
        <w:tabs>
          <w:tab w:val="left" w:pos="210"/>
        </w:tabs>
        <w:ind w:left="0" w:firstLine="0"/>
      </w:pPr>
      <w:rPr>
        <w:rFonts w:eastAsia="宋体" w:hint="default"/>
        <w:sz w:val="28"/>
        <w:szCs w:val="28"/>
      </w:rPr>
    </w:lvl>
  </w:abstractNum>
  <w:abstractNum w:abstractNumId="63">
    <w:nsid w:val="2925DEAB"/>
    <w:multiLevelType w:val="singleLevel"/>
    <w:tmpl w:val="2925DEAB"/>
    <w:lvl w:ilvl="0">
      <w:start w:val="1"/>
      <w:numFmt w:val="decimal"/>
      <w:lvlText w:val="(%1)"/>
      <w:lvlJc w:val="left"/>
      <w:pPr>
        <w:tabs>
          <w:tab w:val="left" w:pos="210"/>
        </w:tabs>
        <w:ind w:left="0" w:firstLine="40"/>
      </w:pPr>
      <w:rPr>
        <w:rFonts w:eastAsia="宋体" w:hint="default"/>
        <w:sz w:val="28"/>
        <w:szCs w:val="28"/>
      </w:rPr>
    </w:lvl>
  </w:abstractNum>
  <w:abstractNum w:abstractNumId="64">
    <w:nsid w:val="2CA001B9"/>
    <w:multiLevelType w:val="singleLevel"/>
    <w:tmpl w:val="2CA001B9"/>
    <w:lvl w:ilvl="0">
      <w:start w:val="1"/>
      <w:numFmt w:val="decimal"/>
      <w:lvlText w:val="%1."/>
      <w:lvlJc w:val="left"/>
      <w:pPr>
        <w:tabs>
          <w:tab w:val="left" w:pos="210"/>
        </w:tabs>
        <w:ind w:left="0" w:firstLine="0"/>
      </w:pPr>
      <w:rPr>
        <w:rFonts w:eastAsia="宋体" w:hint="default"/>
        <w:b w:val="0"/>
        <w:bCs w:val="0"/>
        <w:sz w:val="28"/>
        <w:szCs w:val="28"/>
      </w:rPr>
    </w:lvl>
  </w:abstractNum>
  <w:abstractNum w:abstractNumId="65">
    <w:nsid w:val="32FF3F21"/>
    <w:multiLevelType w:val="singleLevel"/>
    <w:tmpl w:val="32FF3F21"/>
    <w:lvl w:ilvl="0">
      <w:start w:val="1"/>
      <w:numFmt w:val="decimal"/>
      <w:lvlText w:val="第4.2.%1条"/>
      <w:lvlJc w:val="left"/>
      <w:pPr>
        <w:tabs>
          <w:tab w:val="left" w:pos="210"/>
        </w:tabs>
        <w:ind w:left="0" w:firstLine="0"/>
      </w:pPr>
      <w:rPr>
        <w:rFonts w:eastAsia="宋体" w:hint="default"/>
        <w:b/>
        <w:bCs/>
        <w:sz w:val="28"/>
        <w:szCs w:val="28"/>
      </w:rPr>
    </w:lvl>
  </w:abstractNum>
  <w:abstractNum w:abstractNumId="66">
    <w:nsid w:val="3327180C"/>
    <w:multiLevelType w:val="singleLevel"/>
    <w:tmpl w:val="3327180C"/>
    <w:lvl w:ilvl="0">
      <w:start w:val="1"/>
      <w:numFmt w:val="decimal"/>
      <w:lvlText w:val="(%1)"/>
      <w:lvlJc w:val="left"/>
      <w:pPr>
        <w:tabs>
          <w:tab w:val="left" w:pos="210"/>
        </w:tabs>
        <w:ind w:left="0" w:firstLine="40"/>
      </w:pPr>
      <w:rPr>
        <w:rFonts w:eastAsia="宋体" w:hint="default"/>
        <w:sz w:val="28"/>
        <w:szCs w:val="28"/>
      </w:rPr>
    </w:lvl>
  </w:abstractNum>
  <w:abstractNum w:abstractNumId="67">
    <w:nsid w:val="38DFA083"/>
    <w:multiLevelType w:val="singleLevel"/>
    <w:tmpl w:val="38DFA083"/>
    <w:lvl w:ilvl="0">
      <w:start w:val="1"/>
      <w:numFmt w:val="decimal"/>
      <w:lvlText w:val="%1."/>
      <w:lvlJc w:val="left"/>
      <w:pPr>
        <w:tabs>
          <w:tab w:val="left" w:pos="210"/>
        </w:tabs>
        <w:ind w:left="0" w:firstLine="0"/>
      </w:pPr>
      <w:rPr>
        <w:rFonts w:eastAsia="宋体" w:hint="default"/>
        <w:sz w:val="28"/>
        <w:szCs w:val="28"/>
      </w:rPr>
    </w:lvl>
  </w:abstractNum>
  <w:abstractNum w:abstractNumId="68">
    <w:nsid w:val="3A17D674"/>
    <w:multiLevelType w:val="singleLevel"/>
    <w:tmpl w:val="3A17D674"/>
    <w:lvl w:ilvl="0">
      <w:start w:val="1"/>
      <w:numFmt w:val="decimal"/>
      <w:lvlText w:val="(%1)"/>
      <w:lvlJc w:val="left"/>
      <w:pPr>
        <w:tabs>
          <w:tab w:val="left" w:pos="210"/>
        </w:tabs>
        <w:ind w:left="0" w:firstLine="1134"/>
      </w:pPr>
      <w:rPr>
        <w:rFonts w:eastAsia="宋体" w:hint="default"/>
        <w:sz w:val="24"/>
        <w:szCs w:val="24"/>
      </w:rPr>
    </w:lvl>
  </w:abstractNum>
  <w:abstractNum w:abstractNumId="69">
    <w:nsid w:val="3E9B522A"/>
    <w:multiLevelType w:val="singleLevel"/>
    <w:tmpl w:val="3E9B522A"/>
    <w:lvl w:ilvl="0">
      <w:start w:val="1"/>
      <w:numFmt w:val="decimal"/>
      <w:lvlText w:val="(%1)"/>
      <w:lvlJc w:val="left"/>
      <w:pPr>
        <w:tabs>
          <w:tab w:val="left" w:pos="210"/>
        </w:tabs>
        <w:ind w:left="0" w:firstLine="0"/>
      </w:pPr>
      <w:rPr>
        <w:rFonts w:eastAsia="宋体" w:hint="default"/>
        <w:sz w:val="28"/>
        <w:szCs w:val="28"/>
      </w:rPr>
    </w:lvl>
  </w:abstractNum>
  <w:abstractNum w:abstractNumId="70">
    <w:nsid w:val="40BAE0EF"/>
    <w:multiLevelType w:val="singleLevel"/>
    <w:tmpl w:val="40BAE0EF"/>
    <w:lvl w:ilvl="0">
      <w:start w:val="1"/>
      <w:numFmt w:val="decimal"/>
      <w:lvlText w:val="%1."/>
      <w:lvlJc w:val="left"/>
      <w:pPr>
        <w:tabs>
          <w:tab w:val="left" w:pos="210"/>
        </w:tabs>
        <w:ind w:left="0" w:firstLine="0"/>
      </w:pPr>
      <w:rPr>
        <w:rFonts w:eastAsia="宋体" w:hint="default"/>
        <w:sz w:val="28"/>
        <w:szCs w:val="28"/>
      </w:rPr>
    </w:lvl>
  </w:abstractNum>
  <w:abstractNum w:abstractNumId="71">
    <w:nsid w:val="4299C4CB"/>
    <w:multiLevelType w:val="singleLevel"/>
    <w:tmpl w:val="4299C4CB"/>
    <w:lvl w:ilvl="0">
      <w:start w:val="1"/>
      <w:numFmt w:val="decimal"/>
      <w:lvlText w:val="(%1)"/>
      <w:lvlJc w:val="left"/>
      <w:pPr>
        <w:tabs>
          <w:tab w:val="left" w:pos="210"/>
        </w:tabs>
        <w:ind w:left="0" w:firstLine="0"/>
      </w:pPr>
      <w:rPr>
        <w:rFonts w:eastAsia="宋体" w:hint="default"/>
        <w:sz w:val="28"/>
        <w:szCs w:val="28"/>
      </w:rPr>
    </w:lvl>
  </w:abstractNum>
  <w:abstractNum w:abstractNumId="72">
    <w:nsid w:val="4670DF5C"/>
    <w:multiLevelType w:val="singleLevel"/>
    <w:tmpl w:val="4670DF5C"/>
    <w:lvl w:ilvl="0">
      <w:start w:val="1"/>
      <w:numFmt w:val="decimal"/>
      <w:lvlText w:val="(%1)"/>
      <w:lvlJc w:val="left"/>
      <w:pPr>
        <w:tabs>
          <w:tab w:val="left" w:pos="210"/>
        </w:tabs>
        <w:ind w:left="0" w:firstLine="0"/>
      </w:pPr>
      <w:rPr>
        <w:rFonts w:eastAsia="宋体" w:hint="default"/>
        <w:sz w:val="28"/>
        <w:szCs w:val="28"/>
      </w:rPr>
    </w:lvl>
  </w:abstractNum>
  <w:abstractNum w:abstractNumId="73">
    <w:nsid w:val="46EC082D"/>
    <w:multiLevelType w:val="singleLevel"/>
    <w:tmpl w:val="46EC082D"/>
    <w:lvl w:ilvl="0">
      <w:start w:val="1"/>
      <w:numFmt w:val="decimal"/>
      <w:lvlText w:val="%1."/>
      <w:lvlJc w:val="left"/>
      <w:pPr>
        <w:tabs>
          <w:tab w:val="left" w:pos="210"/>
        </w:tabs>
        <w:ind w:left="0" w:firstLine="0"/>
      </w:pPr>
      <w:rPr>
        <w:rFonts w:eastAsia="宋体" w:hint="default"/>
        <w:sz w:val="28"/>
        <w:szCs w:val="28"/>
      </w:rPr>
    </w:lvl>
  </w:abstractNum>
  <w:abstractNum w:abstractNumId="74">
    <w:nsid w:val="4814B440"/>
    <w:multiLevelType w:val="singleLevel"/>
    <w:tmpl w:val="4814B440"/>
    <w:lvl w:ilvl="0">
      <w:start w:val="1"/>
      <w:numFmt w:val="chineseCounting"/>
      <w:suff w:val="nothing"/>
      <w:lvlText w:val="（%1）"/>
      <w:lvlJc w:val="left"/>
      <w:pPr>
        <w:ind w:left="0" w:firstLine="397"/>
      </w:pPr>
      <w:rPr>
        <w:rFonts w:eastAsia="宋体" w:hint="eastAsia"/>
        <w:sz w:val="28"/>
        <w:szCs w:val="28"/>
      </w:rPr>
    </w:lvl>
  </w:abstractNum>
  <w:abstractNum w:abstractNumId="75">
    <w:nsid w:val="4B43447D"/>
    <w:multiLevelType w:val="singleLevel"/>
    <w:tmpl w:val="4B43447D"/>
    <w:lvl w:ilvl="0">
      <w:start w:val="1"/>
      <w:numFmt w:val="decimal"/>
      <w:lvlText w:val="(%1)"/>
      <w:lvlJc w:val="left"/>
      <w:pPr>
        <w:tabs>
          <w:tab w:val="left" w:pos="210"/>
        </w:tabs>
        <w:ind w:left="0" w:firstLine="0"/>
      </w:pPr>
      <w:rPr>
        <w:rFonts w:eastAsia="宋体" w:hint="default"/>
        <w:sz w:val="28"/>
        <w:szCs w:val="28"/>
      </w:rPr>
    </w:lvl>
  </w:abstractNum>
  <w:abstractNum w:abstractNumId="76">
    <w:nsid w:val="4B84C0FB"/>
    <w:multiLevelType w:val="singleLevel"/>
    <w:tmpl w:val="4B84C0FB"/>
    <w:lvl w:ilvl="0">
      <w:start w:val="1"/>
      <w:numFmt w:val="decimal"/>
      <w:lvlText w:val="2.%1"/>
      <w:lvlJc w:val="left"/>
      <w:pPr>
        <w:tabs>
          <w:tab w:val="left" w:pos="210"/>
        </w:tabs>
        <w:ind w:left="0" w:firstLine="0"/>
      </w:pPr>
      <w:rPr>
        <w:rFonts w:ascii="宋体" w:eastAsia="宋体" w:hAnsi="宋体" w:cs="宋体" w:hint="default"/>
        <w:color w:val="auto"/>
        <w:sz w:val="30"/>
        <w:szCs w:val="30"/>
      </w:rPr>
    </w:lvl>
  </w:abstractNum>
  <w:abstractNum w:abstractNumId="77">
    <w:nsid w:val="4DCD43C5"/>
    <w:multiLevelType w:val="singleLevel"/>
    <w:tmpl w:val="4DCD43C5"/>
    <w:lvl w:ilvl="0">
      <w:start w:val="1"/>
      <w:numFmt w:val="decimal"/>
      <w:lvlText w:val="3.%1"/>
      <w:lvlJc w:val="left"/>
      <w:pPr>
        <w:tabs>
          <w:tab w:val="left" w:pos="210"/>
        </w:tabs>
        <w:ind w:left="0" w:firstLine="0"/>
      </w:pPr>
      <w:rPr>
        <w:rFonts w:ascii="宋体" w:eastAsia="宋体" w:hAnsi="宋体" w:cs="宋体" w:hint="default"/>
        <w:color w:val="auto"/>
        <w:szCs w:val="36"/>
      </w:rPr>
    </w:lvl>
  </w:abstractNum>
  <w:abstractNum w:abstractNumId="78">
    <w:nsid w:val="5014A46A"/>
    <w:multiLevelType w:val="singleLevel"/>
    <w:tmpl w:val="5014A46A"/>
    <w:lvl w:ilvl="0">
      <w:start w:val="1"/>
      <w:numFmt w:val="decimal"/>
      <w:lvlText w:val="(%1)"/>
      <w:lvlJc w:val="left"/>
      <w:pPr>
        <w:tabs>
          <w:tab w:val="left" w:pos="210"/>
        </w:tabs>
        <w:ind w:left="0" w:firstLine="0"/>
      </w:pPr>
      <w:rPr>
        <w:rFonts w:eastAsia="宋体" w:hint="default"/>
        <w:sz w:val="28"/>
        <w:szCs w:val="28"/>
      </w:rPr>
    </w:lvl>
  </w:abstractNum>
  <w:abstractNum w:abstractNumId="79">
    <w:nsid w:val="5090EF5C"/>
    <w:multiLevelType w:val="singleLevel"/>
    <w:tmpl w:val="5090EF5C"/>
    <w:lvl w:ilvl="0">
      <w:start w:val="1"/>
      <w:numFmt w:val="decimal"/>
      <w:lvlText w:val="第4.3.%1条"/>
      <w:lvlJc w:val="left"/>
      <w:pPr>
        <w:tabs>
          <w:tab w:val="left" w:pos="210"/>
        </w:tabs>
        <w:ind w:left="0" w:firstLine="0"/>
      </w:pPr>
      <w:rPr>
        <w:rFonts w:eastAsia="宋体" w:hint="default"/>
        <w:b/>
        <w:bCs/>
        <w:sz w:val="28"/>
        <w:szCs w:val="28"/>
      </w:rPr>
    </w:lvl>
  </w:abstractNum>
  <w:abstractNum w:abstractNumId="80">
    <w:nsid w:val="50BFBC2F"/>
    <w:multiLevelType w:val="singleLevel"/>
    <w:tmpl w:val="50BFBC2F"/>
    <w:lvl w:ilvl="0">
      <w:start w:val="1"/>
      <w:numFmt w:val="chineseCounting"/>
      <w:suff w:val="nothing"/>
      <w:lvlText w:val="%1、"/>
      <w:lvlJc w:val="left"/>
      <w:pPr>
        <w:ind w:left="0" w:firstLine="420"/>
      </w:pPr>
      <w:rPr>
        <w:rFonts w:hint="eastAsia"/>
        <w:color w:val="auto"/>
        <w:sz w:val="28"/>
        <w:szCs w:val="28"/>
      </w:rPr>
    </w:lvl>
  </w:abstractNum>
  <w:abstractNum w:abstractNumId="81">
    <w:nsid w:val="54267C3C"/>
    <w:multiLevelType w:val="singleLevel"/>
    <w:tmpl w:val="54267C3C"/>
    <w:lvl w:ilvl="0">
      <w:start w:val="1"/>
      <w:numFmt w:val="decimal"/>
      <w:suff w:val="nothing"/>
      <w:lvlText w:val="第1.0.%1条"/>
      <w:lvlJc w:val="left"/>
      <w:pPr>
        <w:tabs>
          <w:tab w:val="left" w:pos="0"/>
        </w:tabs>
        <w:ind w:left="0" w:firstLine="40"/>
      </w:pPr>
      <w:rPr>
        <w:rFonts w:eastAsia="宋体" w:hint="default"/>
        <w:b/>
        <w:bCs/>
        <w:color w:val="auto"/>
        <w:sz w:val="28"/>
        <w:szCs w:val="28"/>
      </w:rPr>
    </w:lvl>
  </w:abstractNum>
  <w:abstractNum w:abstractNumId="82">
    <w:nsid w:val="56B86DD9"/>
    <w:multiLevelType w:val="singleLevel"/>
    <w:tmpl w:val="56B86DD9"/>
    <w:lvl w:ilvl="0">
      <w:start w:val="1"/>
      <w:numFmt w:val="chineseCounting"/>
      <w:suff w:val="nothing"/>
      <w:lvlText w:val="（%1）"/>
      <w:lvlJc w:val="left"/>
      <w:pPr>
        <w:ind w:left="0" w:firstLine="420"/>
      </w:pPr>
      <w:rPr>
        <w:rFonts w:hint="eastAsia"/>
        <w:color w:val="auto"/>
        <w:sz w:val="28"/>
        <w:szCs w:val="28"/>
      </w:rPr>
    </w:lvl>
  </w:abstractNum>
  <w:abstractNum w:abstractNumId="83">
    <w:nsid w:val="56CFACC1"/>
    <w:multiLevelType w:val="singleLevel"/>
    <w:tmpl w:val="56CFACC1"/>
    <w:lvl w:ilvl="0">
      <w:start w:val="1"/>
      <w:numFmt w:val="decimal"/>
      <w:lvlText w:val="(%1)"/>
      <w:lvlJc w:val="left"/>
      <w:pPr>
        <w:tabs>
          <w:tab w:val="left" w:pos="210"/>
        </w:tabs>
        <w:ind w:left="0" w:firstLine="0"/>
      </w:pPr>
      <w:rPr>
        <w:rFonts w:eastAsia="宋体" w:hint="default"/>
        <w:sz w:val="28"/>
        <w:szCs w:val="28"/>
      </w:rPr>
    </w:lvl>
  </w:abstractNum>
  <w:abstractNum w:abstractNumId="84">
    <w:nsid w:val="584BAFC9"/>
    <w:multiLevelType w:val="singleLevel"/>
    <w:tmpl w:val="584BAFC9"/>
    <w:lvl w:ilvl="0">
      <w:start w:val="1"/>
      <w:numFmt w:val="decimal"/>
      <w:lvlText w:val="%1."/>
      <w:lvlJc w:val="left"/>
      <w:pPr>
        <w:tabs>
          <w:tab w:val="left" w:pos="210"/>
        </w:tabs>
        <w:ind w:left="0" w:firstLine="0"/>
      </w:pPr>
      <w:rPr>
        <w:rFonts w:eastAsia="宋体" w:hint="default"/>
        <w:sz w:val="28"/>
        <w:szCs w:val="28"/>
      </w:rPr>
    </w:lvl>
  </w:abstractNum>
  <w:abstractNum w:abstractNumId="85">
    <w:nsid w:val="58D1A1B1"/>
    <w:multiLevelType w:val="singleLevel"/>
    <w:tmpl w:val="58D1A1B1"/>
    <w:lvl w:ilvl="0">
      <w:start w:val="1"/>
      <w:numFmt w:val="decimal"/>
      <w:lvlText w:val="%1."/>
      <w:lvlJc w:val="left"/>
      <w:pPr>
        <w:tabs>
          <w:tab w:val="left" w:pos="210"/>
        </w:tabs>
        <w:ind w:left="0" w:firstLine="0"/>
      </w:pPr>
      <w:rPr>
        <w:rFonts w:eastAsia="宋体" w:hint="default"/>
        <w:sz w:val="24"/>
        <w:szCs w:val="24"/>
      </w:rPr>
    </w:lvl>
  </w:abstractNum>
  <w:abstractNum w:abstractNumId="86">
    <w:nsid w:val="5B954D4C"/>
    <w:multiLevelType w:val="singleLevel"/>
    <w:tmpl w:val="5B954D4C"/>
    <w:lvl w:ilvl="0">
      <w:start w:val="1"/>
      <w:numFmt w:val="decimal"/>
      <w:lvlText w:val="第3.1.%1条."/>
      <w:lvlJc w:val="left"/>
      <w:pPr>
        <w:tabs>
          <w:tab w:val="left" w:pos="210"/>
        </w:tabs>
        <w:ind w:left="0" w:firstLine="1134"/>
      </w:pPr>
      <w:rPr>
        <w:rFonts w:eastAsia="宋体" w:hint="default"/>
        <w:b/>
        <w:bCs/>
        <w:sz w:val="28"/>
        <w:szCs w:val="28"/>
      </w:rPr>
    </w:lvl>
  </w:abstractNum>
  <w:abstractNum w:abstractNumId="87">
    <w:nsid w:val="5E0F8CEC"/>
    <w:multiLevelType w:val="singleLevel"/>
    <w:tmpl w:val="5E0F8CEC"/>
    <w:lvl w:ilvl="0">
      <w:start w:val="1"/>
      <w:numFmt w:val="decimal"/>
      <w:lvlText w:val="%1."/>
      <w:lvlJc w:val="left"/>
      <w:pPr>
        <w:tabs>
          <w:tab w:val="left" w:pos="210"/>
        </w:tabs>
        <w:ind w:left="0" w:firstLine="1134"/>
      </w:pPr>
      <w:rPr>
        <w:rFonts w:eastAsia="宋体" w:hint="default"/>
        <w:sz w:val="28"/>
        <w:szCs w:val="28"/>
      </w:rPr>
    </w:lvl>
  </w:abstractNum>
  <w:abstractNum w:abstractNumId="88">
    <w:nsid w:val="5EAB7E8C"/>
    <w:multiLevelType w:val="singleLevel"/>
    <w:tmpl w:val="5EAB7E8C"/>
    <w:lvl w:ilvl="0">
      <w:start w:val="1"/>
      <w:numFmt w:val="chineseCounting"/>
      <w:suff w:val="nothing"/>
      <w:lvlText w:val="（%1）"/>
      <w:lvlJc w:val="left"/>
      <w:pPr>
        <w:ind w:left="0" w:firstLine="420"/>
      </w:pPr>
      <w:rPr>
        <w:rFonts w:hint="eastAsia"/>
        <w:sz w:val="28"/>
        <w:szCs w:val="28"/>
      </w:rPr>
    </w:lvl>
  </w:abstractNum>
  <w:abstractNum w:abstractNumId="89">
    <w:nsid w:val="5F492716"/>
    <w:multiLevelType w:val="singleLevel"/>
    <w:tmpl w:val="5F492716"/>
    <w:lvl w:ilvl="0">
      <w:start w:val="1"/>
      <w:numFmt w:val="decimal"/>
      <w:lvlText w:val="(%1)"/>
      <w:lvlJc w:val="left"/>
      <w:pPr>
        <w:tabs>
          <w:tab w:val="left" w:pos="210"/>
        </w:tabs>
        <w:ind w:left="0" w:firstLine="0"/>
      </w:pPr>
      <w:rPr>
        <w:rFonts w:eastAsia="宋体" w:hint="default"/>
        <w:sz w:val="28"/>
        <w:szCs w:val="28"/>
      </w:rPr>
    </w:lvl>
  </w:abstractNum>
  <w:abstractNum w:abstractNumId="90">
    <w:nsid w:val="61F1688F"/>
    <w:multiLevelType w:val="singleLevel"/>
    <w:tmpl w:val="61F1688F"/>
    <w:lvl w:ilvl="0">
      <w:start w:val="1"/>
      <w:numFmt w:val="decimal"/>
      <w:suff w:val="nothing"/>
      <w:lvlText w:val="第2.2.%1条"/>
      <w:lvlJc w:val="left"/>
      <w:pPr>
        <w:tabs>
          <w:tab w:val="left" w:pos="0"/>
        </w:tabs>
        <w:ind w:left="0" w:firstLine="40"/>
      </w:pPr>
      <w:rPr>
        <w:rFonts w:ascii="宋体" w:eastAsia="宋体" w:hAnsi="宋体" w:cs="宋体" w:hint="default"/>
        <w:b/>
        <w:bCs/>
        <w:color w:val="auto"/>
        <w:sz w:val="28"/>
        <w:szCs w:val="28"/>
      </w:rPr>
    </w:lvl>
  </w:abstractNum>
  <w:abstractNum w:abstractNumId="91">
    <w:nsid w:val="6332EDB3"/>
    <w:multiLevelType w:val="singleLevel"/>
    <w:tmpl w:val="6332EDB3"/>
    <w:lvl w:ilvl="0">
      <w:start w:val="1"/>
      <w:numFmt w:val="chineseCounting"/>
      <w:suff w:val="nothing"/>
      <w:lvlText w:val="（%1）"/>
      <w:lvlJc w:val="left"/>
      <w:pPr>
        <w:ind w:left="0" w:firstLine="397"/>
      </w:pPr>
      <w:rPr>
        <w:rFonts w:eastAsia="宋体" w:hint="eastAsia"/>
        <w:sz w:val="28"/>
        <w:szCs w:val="28"/>
      </w:rPr>
    </w:lvl>
  </w:abstractNum>
  <w:abstractNum w:abstractNumId="92">
    <w:nsid w:val="6C5867C7"/>
    <w:multiLevelType w:val="singleLevel"/>
    <w:tmpl w:val="6C5867C7"/>
    <w:lvl w:ilvl="0">
      <w:start w:val="1"/>
      <w:numFmt w:val="decimal"/>
      <w:lvlText w:val="%1."/>
      <w:lvlJc w:val="left"/>
      <w:pPr>
        <w:tabs>
          <w:tab w:val="left" w:pos="210"/>
        </w:tabs>
        <w:ind w:left="0" w:firstLine="0"/>
      </w:pPr>
      <w:rPr>
        <w:rFonts w:eastAsia="宋体" w:hint="default"/>
        <w:sz w:val="28"/>
        <w:szCs w:val="28"/>
      </w:rPr>
    </w:lvl>
  </w:abstractNum>
  <w:abstractNum w:abstractNumId="93">
    <w:nsid w:val="6D8D0B5E"/>
    <w:multiLevelType w:val="singleLevel"/>
    <w:tmpl w:val="6D8D0B5E"/>
    <w:lvl w:ilvl="0">
      <w:start w:val="1"/>
      <w:numFmt w:val="decimal"/>
      <w:lvlText w:val="%1."/>
      <w:lvlJc w:val="left"/>
      <w:pPr>
        <w:tabs>
          <w:tab w:val="left" w:pos="210"/>
        </w:tabs>
        <w:ind w:left="60" w:hanging="454"/>
      </w:pPr>
      <w:rPr>
        <w:rFonts w:eastAsia="宋体" w:hint="default"/>
        <w:sz w:val="24"/>
        <w:szCs w:val="24"/>
      </w:rPr>
    </w:lvl>
  </w:abstractNum>
  <w:abstractNum w:abstractNumId="94">
    <w:nsid w:val="7051480A"/>
    <w:multiLevelType w:val="singleLevel"/>
    <w:tmpl w:val="7051480A"/>
    <w:lvl w:ilvl="0">
      <w:start w:val="1"/>
      <w:numFmt w:val="decimal"/>
      <w:lvlText w:val="%1."/>
      <w:lvlJc w:val="left"/>
      <w:pPr>
        <w:tabs>
          <w:tab w:val="left" w:pos="210"/>
        </w:tabs>
        <w:ind w:left="0" w:hanging="454"/>
      </w:pPr>
      <w:rPr>
        <w:rFonts w:eastAsia="宋体" w:hint="default"/>
        <w:sz w:val="28"/>
        <w:szCs w:val="28"/>
      </w:rPr>
    </w:lvl>
  </w:abstractNum>
  <w:abstractNum w:abstractNumId="95">
    <w:nsid w:val="716A4962"/>
    <w:multiLevelType w:val="singleLevel"/>
    <w:tmpl w:val="716A4962"/>
    <w:lvl w:ilvl="0">
      <w:start w:val="1"/>
      <w:numFmt w:val="chineseCounting"/>
      <w:suff w:val="nothing"/>
      <w:lvlText w:val="（%1）"/>
      <w:lvlJc w:val="left"/>
      <w:pPr>
        <w:ind w:left="0" w:firstLine="397"/>
      </w:pPr>
      <w:rPr>
        <w:rFonts w:eastAsia="宋体" w:hint="eastAsia"/>
        <w:sz w:val="28"/>
        <w:szCs w:val="28"/>
      </w:rPr>
    </w:lvl>
  </w:abstractNum>
  <w:abstractNum w:abstractNumId="96">
    <w:nsid w:val="7276FA42"/>
    <w:multiLevelType w:val="singleLevel"/>
    <w:tmpl w:val="7276FA42"/>
    <w:lvl w:ilvl="0">
      <w:start w:val="1"/>
      <w:numFmt w:val="decimal"/>
      <w:lvlText w:val="%1."/>
      <w:lvlJc w:val="left"/>
      <w:pPr>
        <w:tabs>
          <w:tab w:val="left" w:pos="210"/>
        </w:tabs>
        <w:ind w:left="0" w:firstLine="1134"/>
      </w:pPr>
      <w:rPr>
        <w:rFonts w:eastAsia="宋体" w:hint="default"/>
        <w:sz w:val="28"/>
        <w:szCs w:val="28"/>
      </w:rPr>
    </w:lvl>
  </w:abstractNum>
  <w:abstractNum w:abstractNumId="97">
    <w:nsid w:val="74AA3FF0"/>
    <w:multiLevelType w:val="singleLevel"/>
    <w:tmpl w:val="74AA3FF0"/>
    <w:lvl w:ilvl="0">
      <w:start w:val="1"/>
      <w:numFmt w:val="decimal"/>
      <w:lvlText w:val="%1."/>
      <w:lvlJc w:val="left"/>
      <w:pPr>
        <w:tabs>
          <w:tab w:val="left" w:pos="210"/>
        </w:tabs>
        <w:ind w:left="0" w:firstLine="0"/>
      </w:pPr>
      <w:rPr>
        <w:rFonts w:eastAsia="宋体" w:hint="default"/>
        <w:sz w:val="28"/>
        <w:szCs w:val="28"/>
      </w:rPr>
    </w:lvl>
  </w:abstractNum>
  <w:abstractNum w:abstractNumId="98">
    <w:nsid w:val="7B0E9F81"/>
    <w:multiLevelType w:val="singleLevel"/>
    <w:tmpl w:val="7B0E9F81"/>
    <w:lvl w:ilvl="0">
      <w:start w:val="1"/>
      <w:numFmt w:val="decimalEnclosedCircleChinese"/>
      <w:suff w:val="nothing"/>
      <w:lvlText w:val="%1　"/>
      <w:lvlJc w:val="left"/>
      <w:pPr>
        <w:ind w:left="0" w:firstLine="397"/>
      </w:pPr>
      <w:rPr>
        <w:rFonts w:eastAsia="宋体" w:hint="eastAsia"/>
        <w:sz w:val="28"/>
        <w:szCs w:val="28"/>
      </w:rPr>
    </w:lvl>
  </w:abstractNum>
  <w:abstractNum w:abstractNumId="99">
    <w:nsid w:val="7B10CF30"/>
    <w:multiLevelType w:val="singleLevel"/>
    <w:tmpl w:val="7B10CF30"/>
    <w:lvl w:ilvl="0">
      <w:start w:val="1"/>
      <w:numFmt w:val="decimal"/>
      <w:lvlText w:val="%1."/>
      <w:lvlJc w:val="left"/>
      <w:pPr>
        <w:tabs>
          <w:tab w:val="left" w:pos="210"/>
        </w:tabs>
        <w:ind w:left="0" w:firstLine="1134"/>
      </w:pPr>
      <w:rPr>
        <w:rFonts w:eastAsia="宋体" w:hint="default"/>
        <w:sz w:val="28"/>
        <w:szCs w:val="28"/>
      </w:rPr>
    </w:lvl>
  </w:abstractNum>
  <w:abstractNum w:abstractNumId="100">
    <w:nsid w:val="7BB2BC53"/>
    <w:multiLevelType w:val="singleLevel"/>
    <w:tmpl w:val="7BB2BC53"/>
    <w:lvl w:ilvl="0">
      <w:start w:val="1"/>
      <w:numFmt w:val="decimal"/>
      <w:lvlText w:val="%1."/>
      <w:lvlJc w:val="left"/>
      <w:pPr>
        <w:tabs>
          <w:tab w:val="left" w:pos="210"/>
        </w:tabs>
        <w:ind w:left="0" w:firstLine="0"/>
      </w:pPr>
      <w:rPr>
        <w:rFonts w:eastAsia="宋体" w:hint="default"/>
        <w:sz w:val="28"/>
        <w:szCs w:val="28"/>
      </w:rPr>
    </w:lvl>
  </w:abstractNum>
  <w:num w:numId="1">
    <w:abstractNumId w:val="81"/>
  </w:num>
  <w:num w:numId="2">
    <w:abstractNumId w:val="76"/>
  </w:num>
  <w:num w:numId="3">
    <w:abstractNumId w:val="55"/>
  </w:num>
  <w:num w:numId="4">
    <w:abstractNumId w:val="90"/>
  </w:num>
  <w:num w:numId="5">
    <w:abstractNumId w:val="34"/>
  </w:num>
  <w:num w:numId="6">
    <w:abstractNumId w:val="50"/>
  </w:num>
  <w:num w:numId="7">
    <w:abstractNumId w:val="41"/>
  </w:num>
  <w:num w:numId="8">
    <w:abstractNumId w:val="9"/>
  </w:num>
  <w:num w:numId="9">
    <w:abstractNumId w:val="40"/>
  </w:num>
  <w:num w:numId="10">
    <w:abstractNumId w:val="63"/>
  </w:num>
  <w:num w:numId="11">
    <w:abstractNumId w:val="23"/>
  </w:num>
  <w:num w:numId="12">
    <w:abstractNumId w:val="93"/>
  </w:num>
  <w:num w:numId="13">
    <w:abstractNumId w:val="32"/>
  </w:num>
  <w:num w:numId="14">
    <w:abstractNumId w:val="75"/>
  </w:num>
  <w:num w:numId="15">
    <w:abstractNumId w:val="66"/>
  </w:num>
  <w:num w:numId="16">
    <w:abstractNumId w:val="52"/>
  </w:num>
  <w:num w:numId="17">
    <w:abstractNumId w:val="17"/>
  </w:num>
  <w:num w:numId="18">
    <w:abstractNumId w:val="42"/>
  </w:num>
  <w:num w:numId="19">
    <w:abstractNumId w:val="15"/>
  </w:num>
  <w:num w:numId="20">
    <w:abstractNumId w:val="8"/>
  </w:num>
  <w:num w:numId="21">
    <w:abstractNumId w:val="20"/>
  </w:num>
  <w:num w:numId="22">
    <w:abstractNumId w:val="77"/>
  </w:num>
  <w:num w:numId="23">
    <w:abstractNumId w:val="86"/>
  </w:num>
  <w:num w:numId="24">
    <w:abstractNumId w:val="33"/>
  </w:num>
  <w:num w:numId="25">
    <w:abstractNumId w:val="68"/>
  </w:num>
  <w:num w:numId="26">
    <w:abstractNumId w:val="43"/>
  </w:num>
  <w:num w:numId="27">
    <w:abstractNumId w:val="96"/>
  </w:num>
  <w:num w:numId="28">
    <w:abstractNumId w:val="99"/>
  </w:num>
  <w:num w:numId="29">
    <w:abstractNumId w:val="12"/>
  </w:num>
  <w:num w:numId="30">
    <w:abstractNumId w:val="29"/>
  </w:num>
  <w:num w:numId="31">
    <w:abstractNumId w:val="26"/>
  </w:num>
  <w:num w:numId="32">
    <w:abstractNumId w:val="85"/>
  </w:num>
  <w:num w:numId="33">
    <w:abstractNumId w:val="58"/>
  </w:num>
  <w:num w:numId="34">
    <w:abstractNumId w:val="71"/>
  </w:num>
  <w:num w:numId="35">
    <w:abstractNumId w:val="16"/>
  </w:num>
  <w:num w:numId="36">
    <w:abstractNumId w:val="36"/>
  </w:num>
  <w:num w:numId="37">
    <w:abstractNumId w:val="30"/>
  </w:num>
  <w:num w:numId="38">
    <w:abstractNumId w:val="0"/>
  </w:num>
  <w:num w:numId="39">
    <w:abstractNumId w:val="57"/>
  </w:num>
  <w:num w:numId="40">
    <w:abstractNumId w:val="62"/>
  </w:num>
  <w:num w:numId="41">
    <w:abstractNumId w:val="73"/>
  </w:num>
  <w:num w:numId="42">
    <w:abstractNumId w:val="67"/>
  </w:num>
  <w:num w:numId="43">
    <w:abstractNumId w:val="83"/>
  </w:num>
  <w:num w:numId="44">
    <w:abstractNumId w:val="47"/>
  </w:num>
  <w:num w:numId="45">
    <w:abstractNumId w:val="56"/>
  </w:num>
  <w:num w:numId="46">
    <w:abstractNumId w:val="13"/>
  </w:num>
  <w:num w:numId="47">
    <w:abstractNumId w:val="87"/>
  </w:num>
  <w:num w:numId="48">
    <w:abstractNumId w:val="48"/>
  </w:num>
  <w:num w:numId="49">
    <w:abstractNumId w:val="45"/>
  </w:num>
  <w:num w:numId="50">
    <w:abstractNumId w:val="27"/>
  </w:num>
  <w:num w:numId="51">
    <w:abstractNumId w:val="97"/>
  </w:num>
  <w:num w:numId="52">
    <w:abstractNumId w:val="4"/>
  </w:num>
  <w:num w:numId="53">
    <w:abstractNumId w:val="21"/>
  </w:num>
  <w:num w:numId="54">
    <w:abstractNumId w:val="28"/>
  </w:num>
  <w:num w:numId="55">
    <w:abstractNumId w:val="2"/>
  </w:num>
  <w:num w:numId="56">
    <w:abstractNumId w:val="44"/>
  </w:num>
  <w:num w:numId="57">
    <w:abstractNumId w:val="10"/>
  </w:num>
  <w:num w:numId="58">
    <w:abstractNumId w:val="11"/>
  </w:num>
  <w:num w:numId="59">
    <w:abstractNumId w:val="35"/>
  </w:num>
  <w:num w:numId="60">
    <w:abstractNumId w:val="64"/>
  </w:num>
  <w:num w:numId="61">
    <w:abstractNumId w:val="65"/>
  </w:num>
  <w:num w:numId="62">
    <w:abstractNumId w:val="59"/>
  </w:num>
  <w:num w:numId="63">
    <w:abstractNumId w:val="78"/>
  </w:num>
  <w:num w:numId="64">
    <w:abstractNumId w:val="79"/>
  </w:num>
  <w:num w:numId="65">
    <w:abstractNumId w:val="100"/>
  </w:num>
  <w:num w:numId="66">
    <w:abstractNumId w:val="49"/>
  </w:num>
  <w:num w:numId="67">
    <w:abstractNumId w:val="51"/>
  </w:num>
  <w:num w:numId="68">
    <w:abstractNumId w:val="7"/>
  </w:num>
  <w:num w:numId="69">
    <w:abstractNumId w:val="92"/>
  </w:num>
  <w:num w:numId="70">
    <w:abstractNumId w:val="38"/>
  </w:num>
  <w:num w:numId="71">
    <w:abstractNumId w:val="5"/>
  </w:num>
  <w:num w:numId="72">
    <w:abstractNumId w:val="19"/>
  </w:num>
  <w:num w:numId="73">
    <w:abstractNumId w:val="60"/>
  </w:num>
  <w:num w:numId="74">
    <w:abstractNumId w:val="53"/>
  </w:num>
  <w:num w:numId="75">
    <w:abstractNumId w:val="54"/>
  </w:num>
  <w:num w:numId="76">
    <w:abstractNumId w:val="31"/>
  </w:num>
  <w:num w:numId="77">
    <w:abstractNumId w:val="72"/>
  </w:num>
  <w:num w:numId="78">
    <w:abstractNumId w:val="80"/>
  </w:num>
  <w:num w:numId="79">
    <w:abstractNumId w:val="3"/>
  </w:num>
  <w:num w:numId="80">
    <w:abstractNumId w:val="91"/>
  </w:num>
  <w:num w:numId="81">
    <w:abstractNumId w:val="37"/>
  </w:num>
  <w:num w:numId="82">
    <w:abstractNumId w:val="70"/>
  </w:num>
  <w:num w:numId="83">
    <w:abstractNumId w:val="24"/>
  </w:num>
  <w:num w:numId="84">
    <w:abstractNumId w:val="74"/>
  </w:num>
  <w:num w:numId="85">
    <w:abstractNumId w:val="1"/>
  </w:num>
  <w:num w:numId="86">
    <w:abstractNumId w:val="25"/>
  </w:num>
  <w:num w:numId="87">
    <w:abstractNumId w:val="95"/>
  </w:num>
  <w:num w:numId="88">
    <w:abstractNumId w:val="6"/>
  </w:num>
  <w:num w:numId="89">
    <w:abstractNumId w:val="89"/>
  </w:num>
  <w:num w:numId="90">
    <w:abstractNumId w:val="69"/>
  </w:num>
  <w:num w:numId="91">
    <w:abstractNumId w:val="61"/>
  </w:num>
  <w:num w:numId="92">
    <w:abstractNumId w:val="22"/>
  </w:num>
  <w:num w:numId="93">
    <w:abstractNumId w:val="46"/>
  </w:num>
  <w:num w:numId="94">
    <w:abstractNumId w:val="98"/>
  </w:num>
  <w:num w:numId="95">
    <w:abstractNumId w:val="39"/>
  </w:num>
  <w:num w:numId="96">
    <w:abstractNumId w:val="82"/>
  </w:num>
  <w:num w:numId="97">
    <w:abstractNumId w:val="14"/>
  </w:num>
  <w:num w:numId="98">
    <w:abstractNumId w:val="84"/>
  </w:num>
  <w:num w:numId="99">
    <w:abstractNumId w:val="94"/>
  </w:num>
  <w:num w:numId="100">
    <w:abstractNumId w:val="88"/>
  </w:num>
  <w:num w:numId="101">
    <w:abstractNumId w:val="18"/>
  </w:num>
  <w:numIdMacAtCleanup w:val="1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rs W">
    <w15:presenceInfo w15:providerId="WPS Office" w15:userId="399921319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500"/>
  <w:noPunctuationKerning/>
  <w:characterSpacingControl w:val="doNotCompress"/>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doNotWrapTextWithPunct/>
    <w:doNotUseEastAsianBreakRules/>
    <w:useFELayout/>
    <w:doNotUseIndentAsNumberingTabStop/>
  </w:compat>
  <w:docVars>
    <w:docVar w:name="commondata" w:val="eyJoZGlkIjoiYmY4MDUwMjQ0ODg1MDc4NDkzZDMzOGY3NDkzODA2ODIifQ=="/>
  </w:docVars>
  <w:rsids>
    <w:rsidRoot w:val="00172A27"/>
    <w:rsid w:val="00172A27"/>
    <w:rsid w:val="00285E1E"/>
    <w:rsid w:val="002C1D09"/>
    <w:rsid w:val="00796C1F"/>
    <w:rsid w:val="008E7712"/>
    <w:rsid w:val="00925AC4"/>
    <w:rsid w:val="02BF0121"/>
    <w:rsid w:val="09B72FD5"/>
    <w:rsid w:val="0C923238"/>
    <w:rsid w:val="0D6937EF"/>
    <w:rsid w:val="10164837"/>
    <w:rsid w:val="12D21A23"/>
    <w:rsid w:val="15576593"/>
    <w:rsid w:val="163B1559"/>
    <w:rsid w:val="17075678"/>
    <w:rsid w:val="173134F1"/>
    <w:rsid w:val="1AED5C62"/>
    <w:rsid w:val="1AFF658A"/>
    <w:rsid w:val="1DAA1715"/>
    <w:rsid w:val="1EA00084"/>
    <w:rsid w:val="1F180449"/>
    <w:rsid w:val="1F91782B"/>
    <w:rsid w:val="22987492"/>
    <w:rsid w:val="25080DD9"/>
    <w:rsid w:val="25317C88"/>
    <w:rsid w:val="254D3845"/>
    <w:rsid w:val="27472522"/>
    <w:rsid w:val="2A433485"/>
    <w:rsid w:val="2B217FB5"/>
    <w:rsid w:val="2B3A131B"/>
    <w:rsid w:val="2B72795F"/>
    <w:rsid w:val="2ED40D34"/>
    <w:rsid w:val="30C24B80"/>
    <w:rsid w:val="32FC31A6"/>
    <w:rsid w:val="350E5C2C"/>
    <w:rsid w:val="35B53FBD"/>
    <w:rsid w:val="35EF324B"/>
    <w:rsid w:val="366F0610"/>
    <w:rsid w:val="39015A47"/>
    <w:rsid w:val="3A030AC5"/>
    <w:rsid w:val="3A6C57A2"/>
    <w:rsid w:val="3B347709"/>
    <w:rsid w:val="3C2A2721"/>
    <w:rsid w:val="3C315919"/>
    <w:rsid w:val="3C4154D1"/>
    <w:rsid w:val="3D54716E"/>
    <w:rsid w:val="3DC4439B"/>
    <w:rsid w:val="3F690B6E"/>
    <w:rsid w:val="417B60BB"/>
    <w:rsid w:val="43572B58"/>
    <w:rsid w:val="43DE6D89"/>
    <w:rsid w:val="44E82C85"/>
    <w:rsid w:val="46070B1E"/>
    <w:rsid w:val="473476FC"/>
    <w:rsid w:val="47D66E04"/>
    <w:rsid w:val="4C507976"/>
    <w:rsid w:val="4CF41A67"/>
    <w:rsid w:val="4E0D241E"/>
    <w:rsid w:val="4E483EC2"/>
    <w:rsid w:val="4E550D53"/>
    <w:rsid w:val="4E6B2E89"/>
    <w:rsid w:val="4F932379"/>
    <w:rsid w:val="537E51E2"/>
    <w:rsid w:val="53A771E4"/>
    <w:rsid w:val="53D954F0"/>
    <w:rsid w:val="55772F56"/>
    <w:rsid w:val="5D7F5B23"/>
    <w:rsid w:val="5DDE3E88"/>
    <w:rsid w:val="629122B9"/>
    <w:rsid w:val="662A460E"/>
    <w:rsid w:val="670D3816"/>
    <w:rsid w:val="6A887297"/>
    <w:rsid w:val="6B352C0A"/>
    <w:rsid w:val="6BCC7A20"/>
    <w:rsid w:val="6E242F55"/>
    <w:rsid w:val="717B2293"/>
    <w:rsid w:val="72361A07"/>
    <w:rsid w:val="73785811"/>
    <w:rsid w:val="73F77A3E"/>
    <w:rsid w:val="75132B8B"/>
    <w:rsid w:val="754053B4"/>
    <w:rsid w:val="76F7460D"/>
    <w:rsid w:val="773E5464"/>
    <w:rsid w:val="779134BC"/>
    <w:rsid w:val="7A1B7E60"/>
    <w:rsid w:val="7EAE4751"/>
    <w:rsid w:val="7F916D4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5AC4"/>
    <w:pPr>
      <w:autoSpaceDE w:val="0"/>
      <w:autoSpaceDN w:val="0"/>
      <w:adjustRightInd w:val="0"/>
      <w:snapToGrid w:val="0"/>
      <w:spacing w:line="360" w:lineRule="auto"/>
      <w:ind w:firstLineChars="200" w:firstLine="420"/>
      <w:textAlignment w:val="baseline"/>
    </w:pPr>
    <w:rPr>
      <w:rFonts w:ascii="宋体" w:hAnsi="宋体" w:cs="宋体"/>
      <w:snapToGrid w:val="0"/>
      <w:color w:val="000000"/>
      <w:sz w:val="28"/>
      <w:szCs w:val="21"/>
    </w:rPr>
  </w:style>
  <w:style w:type="paragraph" w:styleId="1">
    <w:name w:val="heading 1"/>
    <w:basedOn w:val="a"/>
    <w:next w:val="a"/>
    <w:qFormat/>
    <w:rsid w:val="00925AC4"/>
    <w:pPr>
      <w:keepNext/>
      <w:keepLines/>
      <w:ind w:firstLineChars="0" w:firstLine="0"/>
      <w:jc w:val="center"/>
      <w:outlineLvl w:val="0"/>
    </w:pPr>
    <w:rPr>
      <w:b/>
      <w:kern w:val="44"/>
      <w:sz w:val="44"/>
    </w:rPr>
  </w:style>
  <w:style w:type="paragraph" w:styleId="2">
    <w:name w:val="heading 2"/>
    <w:basedOn w:val="a"/>
    <w:next w:val="a"/>
    <w:unhideWhenUsed/>
    <w:qFormat/>
    <w:rsid w:val="00925AC4"/>
    <w:pPr>
      <w:keepNext/>
      <w:keepLines/>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925AC4"/>
  </w:style>
  <w:style w:type="paragraph" w:styleId="a4">
    <w:name w:val="Body Text"/>
    <w:basedOn w:val="a"/>
    <w:uiPriority w:val="1"/>
    <w:qFormat/>
    <w:rsid w:val="00925AC4"/>
    <w:rPr>
      <w:rFonts w:ascii="仿宋" w:eastAsia="仿宋" w:hAnsi="仿宋" w:cs="仿宋"/>
      <w:sz w:val="32"/>
      <w:szCs w:val="32"/>
      <w:lang w:val="zh-CN" w:bidi="zh-CN"/>
    </w:rPr>
  </w:style>
  <w:style w:type="paragraph" w:styleId="a5">
    <w:name w:val="footer"/>
    <w:basedOn w:val="a"/>
    <w:qFormat/>
    <w:rsid w:val="00925AC4"/>
    <w:pPr>
      <w:tabs>
        <w:tab w:val="center" w:pos="4153"/>
        <w:tab w:val="right" w:pos="8306"/>
      </w:tabs>
    </w:pPr>
    <w:rPr>
      <w:sz w:val="18"/>
    </w:rPr>
  </w:style>
  <w:style w:type="paragraph" w:styleId="a6">
    <w:name w:val="header"/>
    <w:basedOn w:val="a"/>
    <w:qFormat/>
    <w:rsid w:val="00925AC4"/>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pPr>
    <w:rPr>
      <w:sz w:val="18"/>
    </w:rPr>
  </w:style>
  <w:style w:type="paragraph" w:styleId="10">
    <w:name w:val="toc 1"/>
    <w:basedOn w:val="a"/>
    <w:next w:val="a"/>
    <w:qFormat/>
    <w:rsid w:val="00925AC4"/>
  </w:style>
  <w:style w:type="paragraph" w:styleId="20">
    <w:name w:val="toc 2"/>
    <w:basedOn w:val="a"/>
    <w:next w:val="a"/>
    <w:qFormat/>
    <w:rsid w:val="00925AC4"/>
    <w:pPr>
      <w:ind w:leftChars="200" w:left="420"/>
    </w:pPr>
  </w:style>
  <w:style w:type="paragraph" w:styleId="a7">
    <w:name w:val="Normal (Web)"/>
    <w:basedOn w:val="a"/>
    <w:uiPriority w:val="99"/>
    <w:qFormat/>
    <w:rsid w:val="00925AC4"/>
    <w:pPr>
      <w:spacing w:beforeAutospacing="1" w:afterAutospacing="1"/>
    </w:pPr>
    <w:rPr>
      <w:rFonts w:cs="Times New Roman"/>
      <w:sz w:val="24"/>
    </w:rPr>
  </w:style>
  <w:style w:type="paragraph" w:styleId="a8">
    <w:name w:val="Title"/>
    <w:basedOn w:val="a"/>
    <w:qFormat/>
    <w:rsid w:val="00925AC4"/>
    <w:pPr>
      <w:jc w:val="center"/>
      <w:outlineLvl w:val="0"/>
    </w:pPr>
    <w:rPr>
      <w:rFonts w:ascii="Arial" w:hAnsi="Arial"/>
      <w:b/>
      <w:sz w:val="32"/>
    </w:rPr>
  </w:style>
  <w:style w:type="table" w:styleId="a9">
    <w:name w:val="Table Grid"/>
    <w:basedOn w:val="a1"/>
    <w:rsid w:val="00925AC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925AC4"/>
    <w:rPr>
      <w:b/>
      <w:bCs/>
    </w:rPr>
  </w:style>
  <w:style w:type="paragraph" w:customStyle="1" w:styleId="ab">
    <w:name w:val="表格"/>
    <w:basedOn w:val="a"/>
    <w:qFormat/>
    <w:rsid w:val="00925AC4"/>
    <w:pPr>
      <w:spacing w:line="240" w:lineRule="auto"/>
      <w:ind w:firstLineChars="0" w:firstLine="0"/>
    </w:pPr>
    <w:rPr>
      <w:rFonts w:hint="eastAsia"/>
      <w:sz w:val="24"/>
      <w:szCs w:val="20"/>
    </w:rPr>
  </w:style>
  <w:style w:type="paragraph" w:customStyle="1" w:styleId="ac">
    <w:name w:val="注"/>
    <w:basedOn w:val="a"/>
    <w:qFormat/>
    <w:rsid w:val="00925AC4"/>
    <w:pPr>
      <w:spacing w:line="240" w:lineRule="auto"/>
    </w:pPr>
    <w:rPr>
      <w:color w:val="0000FF"/>
      <w:sz w:val="24"/>
      <w:szCs w:val="20"/>
    </w:rPr>
  </w:style>
  <w:style w:type="table" w:customStyle="1" w:styleId="TableNormal">
    <w:name w:val="Table Normal"/>
    <w:unhideWhenUsed/>
    <w:qFormat/>
    <w:rsid w:val="00925AC4"/>
    <w:tblPr>
      <w:tblCellMar>
        <w:top w:w="0" w:type="dxa"/>
        <w:left w:w="0" w:type="dxa"/>
        <w:bottom w:w="0" w:type="dxa"/>
        <w:right w:w="0" w:type="dxa"/>
      </w:tblCellMar>
    </w:tblPr>
  </w:style>
  <w:style w:type="paragraph" w:customStyle="1" w:styleId="ad">
    <w:name w:val="大标题"/>
    <w:basedOn w:val="a8"/>
    <w:qFormat/>
    <w:rsid w:val="00925AC4"/>
    <w:pPr>
      <w:spacing w:before="140" w:line="895" w:lineRule="exact"/>
      <w:ind w:firstLineChars="0" w:firstLine="0"/>
    </w:pPr>
    <w:rPr>
      <w:rFonts w:ascii="宋体" w:hAnsi="宋体" w:hint="eastAsia"/>
      <w:bCs/>
      <w:color w:val="auto"/>
      <w:spacing w:val="22"/>
      <w:position w:val="35"/>
      <w:sz w:val="43"/>
      <w:szCs w:val="43"/>
    </w:rPr>
  </w:style>
  <w:style w:type="paragraph" w:customStyle="1" w:styleId="WPSOffice1">
    <w:name w:val="WPSOffice手动目录 1"/>
    <w:qFormat/>
    <w:rsid w:val="00925AC4"/>
    <w:rPr>
      <w:rFonts w:ascii="Arial" w:eastAsia="Arial" w:hAnsi="Arial" w:cs="Arial"/>
    </w:rPr>
  </w:style>
  <w:style w:type="paragraph" w:customStyle="1" w:styleId="WPSOffice2">
    <w:name w:val="WPSOffice手动目录 2"/>
    <w:qFormat/>
    <w:rsid w:val="00925AC4"/>
    <w:pPr>
      <w:ind w:leftChars="200" w:left="200"/>
    </w:pPr>
    <w:rPr>
      <w:rFonts w:ascii="Arial" w:eastAsia="Arial" w:hAnsi="Arial" w:cs="Arial"/>
    </w:rPr>
  </w:style>
  <w:style w:type="paragraph" w:customStyle="1" w:styleId="Default">
    <w:name w:val="Default"/>
    <w:uiPriority w:val="99"/>
    <w:unhideWhenUsed/>
    <w:qFormat/>
    <w:rsid w:val="00925AC4"/>
    <w:pPr>
      <w:widowControl w:val="0"/>
      <w:autoSpaceDE w:val="0"/>
      <w:autoSpaceDN w:val="0"/>
      <w:adjustRightInd w:val="0"/>
    </w:pPr>
    <w:rPr>
      <w:rFonts w:ascii="宋体" w:hAnsi="宋体" w:hint="eastAsia"/>
      <w:color w:val="000000"/>
      <w:sz w:val="24"/>
      <w:szCs w:val="24"/>
    </w:rPr>
  </w:style>
  <w:style w:type="character" w:styleId="ae">
    <w:name w:val="annotation reference"/>
    <w:basedOn w:val="a0"/>
    <w:rsid w:val="00925AC4"/>
    <w:rPr>
      <w:sz w:val="21"/>
      <w:szCs w:val="21"/>
    </w:rPr>
  </w:style>
  <w:style w:type="paragraph" w:styleId="af">
    <w:name w:val="Balloon Text"/>
    <w:basedOn w:val="a"/>
    <w:link w:val="Char"/>
    <w:rsid w:val="008E7712"/>
    <w:pPr>
      <w:spacing w:line="240" w:lineRule="auto"/>
    </w:pPr>
    <w:rPr>
      <w:sz w:val="18"/>
      <w:szCs w:val="18"/>
    </w:rPr>
  </w:style>
  <w:style w:type="character" w:customStyle="1" w:styleId="Char">
    <w:name w:val="批注框文本 Char"/>
    <w:basedOn w:val="a0"/>
    <w:link w:val="af"/>
    <w:rsid w:val="008E7712"/>
    <w:rPr>
      <w:rFonts w:ascii="宋体" w:hAnsi="宋体" w:cs="宋体"/>
      <w:snapToGrid w:val="0"/>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comments.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25.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24.png"/><Relationship Id="rId2" Type="http://schemas.openxmlformats.org/officeDocument/2006/relationships/image" Target="media/image2.png"/><Relationship Id="rId16" Type="http://schemas.openxmlformats.org/officeDocument/2006/relationships/image" Target="media/image23.png"/><Relationship Id="rId20" Type="http://schemas.openxmlformats.org/officeDocument/2006/relationships/image" Target="media/image27.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22.png"/><Relationship Id="rId10" Type="http://schemas.openxmlformats.org/officeDocument/2006/relationships/image" Target="media/image10.png"/><Relationship Id="rId19" Type="http://schemas.openxmlformats.org/officeDocument/2006/relationships/image" Target="media/image26.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3.1.2.1" TargetMode="External"/><Relationship Id="rId26" Type="http://schemas.openxmlformats.org/officeDocument/2006/relationships/hyperlink" Target="https://3.1.2.2" TargetMode="External"/><Relationship Id="rId39" Type="http://schemas.openxmlformats.org/officeDocument/2006/relationships/hyperlink" Target="https://3.1.6.1" TargetMode="External"/><Relationship Id="rId21" Type="http://schemas.openxmlformats.org/officeDocument/2006/relationships/hyperlink" Target="https://3.1.2.1" TargetMode="External"/><Relationship Id="rId34" Type="http://schemas.openxmlformats.org/officeDocument/2006/relationships/image" Target="media/image21.png"/><Relationship Id="rId42" Type="http://schemas.openxmlformats.org/officeDocument/2006/relationships/hyperlink" Target="https://3.1.6.2"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3.1.2.3" TargetMode="External"/><Relationship Id="rId20" Type="http://schemas.openxmlformats.org/officeDocument/2006/relationships/image" Target="media/image16.png"/><Relationship Id="rId29" Type="http://schemas.openxmlformats.org/officeDocument/2006/relationships/hyperlink" Target="https://3.1.2.3" TargetMode="External"/><Relationship Id="rId41" Type="http://schemas.openxmlformats.org/officeDocument/2006/relationships/hyperlink" Target="https://3.1.6.2" TargetMode="External"/><Relationship Id="rId54" Type="http://schemas.openxmlformats.org/officeDocument/2006/relationships/image" Target="media/image33.pn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3.1.2.2" TargetMode="External"/><Relationship Id="rId32" Type="http://schemas.openxmlformats.org/officeDocument/2006/relationships/image" Target="media/image20.png"/><Relationship Id="rId37" Type="http://schemas.openxmlformats.org/officeDocument/2006/relationships/hyperlink" Target="https://3.1.2.3" TargetMode="External"/><Relationship Id="rId40" Type="http://schemas.openxmlformats.org/officeDocument/2006/relationships/hyperlink" Target="https://3.1.2.4" TargetMode="External"/><Relationship Id="rId45" Type="http://schemas.openxmlformats.org/officeDocument/2006/relationships/hyperlink" Target="https://3.1.6.3" TargetMode="External"/><Relationship Id="rId53" Type="http://schemas.openxmlformats.org/officeDocument/2006/relationships/image" Target="media/image32.png"/><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3.1.2.1" TargetMode="External"/><Relationship Id="rId23" Type="http://schemas.openxmlformats.org/officeDocument/2006/relationships/image" Target="media/image18.png"/><Relationship Id="rId28" Type="http://schemas.openxmlformats.org/officeDocument/2006/relationships/hyperlink" Target="https://3.1.2.5" TargetMode="External"/><Relationship Id="rId36" Type="http://schemas.openxmlformats.org/officeDocument/2006/relationships/hyperlink" Target="https://3.1.2.1" TargetMode="External"/><Relationship Id="rId49" Type="http://schemas.openxmlformats.org/officeDocument/2006/relationships/hyperlink" Target="https://3.3.5.1" TargetMode="External"/><Relationship Id="rId57" Type="http://schemas.openxmlformats.org/officeDocument/2006/relationships/footer" Target="footer6.xml"/><Relationship Id="rId61"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image" Target="media/image19.png"/><Relationship Id="rId44" Type="http://schemas.openxmlformats.org/officeDocument/2006/relationships/hyperlink" Target="https://3.1.6.3" TargetMode="External"/><Relationship Id="rId52" Type="http://schemas.openxmlformats.org/officeDocument/2006/relationships/footer" Target="footer4.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17.png"/><Relationship Id="rId27" Type="http://schemas.openxmlformats.org/officeDocument/2006/relationships/hyperlink" Target="https://3.1.2.2" TargetMode="External"/><Relationship Id="rId30" Type="http://schemas.openxmlformats.org/officeDocument/2006/relationships/hyperlink" Target="https://3.1.2.3" TargetMode="External"/><Relationship Id="rId35" Type="http://schemas.openxmlformats.org/officeDocument/2006/relationships/hyperlink" Target="https://3.1.2.6" TargetMode="External"/><Relationship Id="rId43" Type="http://schemas.openxmlformats.org/officeDocument/2006/relationships/hyperlink" Target="https://3.1.2.5" TargetMode="External"/><Relationship Id="rId48" Type="http://schemas.openxmlformats.org/officeDocument/2006/relationships/image" Target="media/image30.png"/><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s://3.3.5.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3.1.2.1" TargetMode="External"/><Relationship Id="rId25" Type="http://schemas.openxmlformats.org/officeDocument/2006/relationships/hyperlink" Target="https://3.1.2.4" TargetMode="External"/><Relationship Id="rId33" Type="http://schemas.openxmlformats.org/officeDocument/2006/relationships/hyperlink" Target="https://3.1.2.4" TargetMode="External"/><Relationship Id="rId38" Type="http://schemas.openxmlformats.org/officeDocument/2006/relationships/hyperlink" Target="https://3.1.6.1" TargetMode="External"/><Relationship Id="rId46" Type="http://schemas.openxmlformats.org/officeDocument/2006/relationships/image" Target="media/image28.png"/><Relationship Id="rId5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6808</Words>
  <Characters>38812</Characters>
  <Application>Microsoft Office Word</Application>
  <DocSecurity>0</DocSecurity>
  <Lines>323</Lines>
  <Paragraphs>91</Paragraphs>
  <ScaleCrop>false</ScaleCrop>
  <Company/>
  <LinksUpToDate>false</LinksUpToDate>
  <CharactersWithSpaces>45529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lastModifiedBy>Administrator</cp:lastModifiedBy>
  <cp:revision>4</cp:revision>
  <dcterms:created xsi:type="dcterms:W3CDTF">2023-02-06T15:06:00Z</dcterms:created>
  <dcterms:modified xsi:type="dcterms:W3CDTF">2023-04-20T03:59:00Z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2023-02-06T15:06:13Z</vt:filetime>
  </property>
  <property fmtid="{D5CDD505-2E9C-101B-9397-08002B2CF9AE}" pid="4" name="UsrData">
    <vt:lpwstr>63e0a6ada2d7b00015da3fd8</vt:lpwstr>
  </property>
  <property fmtid="{D5CDD505-2E9C-101B-9397-08002B2CF9AE}" pid="5" name="KSOProductBuildVer">
    <vt:lpwstr>2052-11.1.0.14036</vt:lpwstr>
  </property>
  <property fmtid="{D5CDD505-2E9C-101B-9397-08002B2CF9AE}" pid="6" name="ICV">
    <vt:lpwstr>D2FACF6F63BE4D7A9C4C71C0F3AFBC6C</vt:lpwstr>
  </property>
</Properties>
</file>