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8441"/>
      <w:bookmarkStart w:id="3" w:name="_Toc15377193"/>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598"/>
      <w:bookmarkStart w:id="7" w:name="_Toc15377426"/>
      <w:bookmarkStart w:id="8" w:name="_Toc15378442"/>
      <w:bookmarkStart w:id="9" w:name="_Toc15396476"/>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万源市团委</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lang w:eastAsia="zh-CN"/>
        </w:rPr>
        <w:t>二、</w:t>
      </w:r>
      <w:r>
        <w:rPr>
          <w:rFonts w:hint="eastAsia"/>
          <w:color w:val="auto"/>
          <w:sz w:val="24"/>
          <w:highlight w:val="none"/>
          <w:lang w:val="en-US" w:eastAsia="zh-CN"/>
        </w:rPr>
        <w:t>2021年重点</w:t>
      </w:r>
      <w:r>
        <w:rPr>
          <w:rFonts w:hint="eastAsia"/>
          <w:color w:val="auto"/>
          <w:sz w:val="24"/>
          <w:highlight w:val="none"/>
        </w:rPr>
        <w:t>工作</w:t>
      </w:r>
      <w:r>
        <w:rPr>
          <w:rFonts w:hint="eastAsia"/>
          <w:color w:val="auto"/>
          <w:sz w:val="24"/>
          <w:highlight w:val="none"/>
          <w:lang w:eastAsia="zh-CN"/>
        </w:rPr>
        <w:t>完成情况</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w:t>
      </w:r>
      <w:bookmarkStart w:id="67" w:name="_GoBack"/>
      <w:bookmarkEnd w:id="67"/>
      <w:r>
        <w:rPr>
          <w:rFonts w:hint="eastAsia"/>
          <w:color w:val="auto"/>
          <w:sz w:val="24"/>
          <w:highlight w:val="none"/>
        </w:rPr>
        <w:t>基本支出决算表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val="en-US" w:eastAsia="zh-CN"/>
        </w:rPr>
        <w:t>十四、国有资本经营预算财政拨款支出决算表</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36"/>
        </w:tabs>
        <w:bidi w:val="0"/>
        <w:jc w:val="left"/>
        <w:rPr>
          <w:rFonts w:hint="eastAsia" w:ascii="黑体" w:hAnsi="黑体" w:eastAsia="黑体"/>
          <w:b w:val="0"/>
          <w:color w:val="auto"/>
          <w:highlight w:val="none"/>
        </w:rPr>
      </w:pPr>
      <w:bookmarkStart w:id="12" w:name="_Toc15396599"/>
      <w:bookmarkStart w:id="13" w:name="_Toc15377196"/>
    </w:p>
    <w:p>
      <w:pPr>
        <w:pStyle w:val="3"/>
        <w:jc w:val="both"/>
        <w:rPr>
          <w:rFonts w:hint="eastAsia" w:ascii="黑体" w:hAnsi="黑体" w:eastAsia="黑体"/>
          <w:b w:val="0"/>
          <w:color w:val="auto"/>
          <w:highlight w:val="none"/>
        </w:rPr>
      </w:pPr>
    </w:p>
    <w:p>
      <w:pPr>
        <w:rPr>
          <w:rFonts w:hint="eastAsia"/>
        </w:rPr>
      </w:pP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4"/>
        <w:pageBreakBefore w:val="0"/>
        <w:numPr>
          <w:ilvl w:val="0"/>
          <w:numId w:val="1"/>
        </w:numPr>
        <w:kinsoku/>
        <w:wordWrap/>
        <w:overflowPunct/>
        <w:topLinePunct w:val="0"/>
        <w:autoSpaceDE/>
        <w:autoSpaceDN/>
        <w:bidi w:val="0"/>
        <w:adjustRightInd/>
        <w:snapToGrid/>
        <w:spacing w:before="0" w:after="0"/>
        <w:textAlignment w:val="auto"/>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pageBreakBefore w:val="0"/>
        <w:widowControl/>
        <w:kinsoku/>
        <w:wordWrap/>
        <w:overflowPunct/>
        <w:topLinePunct w:val="0"/>
        <w:autoSpaceDE/>
        <w:autoSpaceDN/>
        <w:bidi w:val="0"/>
        <w:adjustRightInd/>
        <w:snapToGrid/>
        <w:spacing w:line="578" w:lineRule="exact"/>
        <w:ind w:firstLine="576"/>
        <w:jc w:val="both"/>
        <w:textAlignment w:val="auto"/>
        <w:rPr>
          <w:rFonts w:hint="eastAsia"/>
        </w:rPr>
      </w:pPr>
      <w:r>
        <w:rPr>
          <w:rFonts w:hint="default" w:ascii="Times New Roman" w:hAnsi="Times New Roman" w:eastAsia="方正仿宋简体" w:cs="Times New Roman"/>
          <w:color w:val="000000"/>
          <w:kern w:val="0"/>
          <w:sz w:val="32"/>
          <w:szCs w:val="32"/>
        </w:rPr>
        <w:t>主要负责全市共青团工作和少先队工作；负责拟定全市青少年发展规划和青少年工作方针、政策，对全市青少年活动阵地、青少年服务机构进行规划和监督管理；参与有关青少年事务的法律、法规的制定和实施，协助市委和市政府处理、协调与青少年相关的事务，维护青少年合法权益；调查青年的思想动态和青年工作状况，研究青少年运动、青少年工作理论和思想教育问题，提出相应对策，开展各种活动；组织和带领青少年参与经济和社会建设，全力维护社会稳定，构建和谐社会，发挥生力军和突击队作用；协助有关部门做好中小学生的教育管理，维护学生稳定和社会安定团结；负责大学生志愿服务西部计划万源市项目办的管理和服务工作；承办市委、市政府交办的其他事项。</w:t>
      </w:r>
    </w:p>
    <w:p>
      <w:pPr>
        <w:pStyle w:val="4"/>
        <w:pageBreakBefore w:val="0"/>
        <w:numPr>
          <w:ilvl w:val="0"/>
          <w:numId w:val="0"/>
        </w:numPr>
        <w:kinsoku/>
        <w:wordWrap/>
        <w:overflowPunct/>
        <w:topLinePunct w:val="0"/>
        <w:autoSpaceDE/>
        <w:autoSpaceDN/>
        <w:bidi w:val="0"/>
        <w:adjustRightInd/>
        <w:snapToGrid/>
        <w:spacing w:before="0" w:after="0"/>
        <w:textAlignment w:val="auto"/>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pStyle w:val="31"/>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lang w:val="en-US" w:eastAsia="zh-CN"/>
        </w:rPr>
        <w:t>坚持强党建、带团建、优队建</w:t>
      </w:r>
    </w:p>
    <w:p>
      <w:pPr>
        <w:keepNext w:val="0"/>
        <w:keepLines w:val="0"/>
        <w:pageBreakBefore w:val="0"/>
        <w:widowControl w:val="0"/>
        <w:kinsoku/>
        <w:wordWrap/>
        <w:overflowPunct/>
        <w:topLinePunct w:val="0"/>
        <w:autoSpaceDE/>
        <w:autoSpaceDN/>
        <w:bidi w:val="0"/>
        <w:spacing w:line="578" w:lineRule="exact"/>
        <w:ind w:firstLine="640"/>
        <w:jc w:val="left"/>
        <w:textAlignment w:val="auto"/>
        <w:outlineLvl w:val="9"/>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党建工作。</w:t>
      </w:r>
      <w:r>
        <w:rPr>
          <w:rFonts w:hint="eastAsia" w:ascii="Times New Roman" w:hAnsi="Times New Roman" w:eastAsia="方正仿宋简体" w:cs="Times New Roman"/>
          <w:color w:val="auto"/>
          <w:sz w:val="32"/>
          <w:szCs w:val="32"/>
          <w:lang w:val="en-US" w:eastAsia="zh-CN"/>
        </w:rPr>
        <w:t>以习近平总书记系列讲话精神为指导，认真贯彻落实十九届六中全会、达州市第五次党代会、万源市第七次党代会等会议精神，严格按照要求开展党建工作。全体党员干部积极参加每月“党员活动日”及所在支部党史学习教育专题组织生活会，撰写剖析材料2篇，检视问题共计10条并按时整改完成；每季度召开一次意识形态分析研判会，一季度一总结，全部党员纳入“学习强国”组织架构，严格按照通报制度开展学习检查。持续开展帮扶走访工作，与帮扶对象深入交流，志愿宣传防汛地灾安全自救常识、森林防灭火、预防电信网络诈骗、未成年人保护等内容，收集帮扶群众生产生活困难问题3条并协调解决。</w:t>
      </w:r>
    </w:p>
    <w:p>
      <w:pPr>
        <w:keepNext w:val="0"/>
        <w:keepLines w:val="0"/>
        <w:pageBreakBefore w:val="0"/>
        <w:widowControl w:val="0"/>
        <w:kinsoku/>
        <w:wordWrap/>
        <w:overflowPunct/>
        <w:topLinePunct w:val="0"/>
        <w:autoSpaceDE/>
        <w:autoSpaceDN/>
        <w:bidi w:val="0"/>
        <w:spacing w:line="578" w:lineRule="exact"/>
        <w:ind w:firstLine="640"/>
        <w:jc w:val="left"/>
        <w:textAlignment w:val="auto"/>
        <w:outlineLvl w:val="9"/>
        <w:rPr>
          <w:rFonts w:hint="eastAsia"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团建工作。</w:t>
      </w:r>
      <w:r>
        <w:rPr>
          <w:rFonts w:hint="eastAsia" w:ascii="Times New Roman" w:hAnsi="Times New Roman" w:eastAsia="方正仿宋简体" w:cs="Times New Roman"/>
          <w:color w:val="auto"/>
          <w:sz w:val="32"/>
          <w:szCs w:val="32"/>
          <w:lang w:val="en-US" w:eastAsia="zh-CN"/>
        </w:rPr>
        <w:t>严格按照团员发展要求，2021年度全市新发展团员1130名并下发团徽、入团志愿书；组织全市298个村级团组织进行换届，并收集换届后各村（社）团组织支部书记相关信息；在青年较集中且适合建团的小区建立团支部10个，建立11个农园区团委，17个下属团支部。根据《共青团万源市委关于做好全市团组织换届工作的通知》（万青发〔2021〕13号）文件要求，完成31个乡镇（街道）、40所学校团组织全面换届；以智慧团建系统团员数量为依据，根据共青团中央组织部《关于全面完成犯罪共青团员团纪处分工作的通知》（团组字〔2021〕5号）要求，联合市公安、市法院对10511名团员进行排查，并对按照要求进行清理；按时开展团费收缴工作，上缴团费6502.5元；10月召开万源市团委书记业务培训会，全市乡镇及中学团委书记共计80余人参训，全面提升了各级团委书记业务水平。</w:t>
      </w:r>
    </w:p>
    <w:p>
      <w:pPr>
        <w:keepNext w:val="0"/>
        <w:keepLines w:val="0"/>
        <w:pageBreakBefore w:val="0"/>
        <w:widowControl w:val="0"/>
        <w:kinsoku/>
        <w:wordWrap/>
        <w:overflowPunct/>
        <w:topLinePunct w:val="0"/>
        <w:autoSpaceDE/>
        <w:autoSpaceDN/>
        <w:bidi w:val="0"/>
        <w:spacing w:line="578" w:lineRule="exact"/>
        <w:ind w:firstLine="64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方正楷体简体" w:hAnsi="方正楷体简体" w:eastAsia="方正楷体简体" w:cs="方正楷体简体"/>
          <w:b/>
          <w:bCs/>
          <w:color w:val="auto"/>
          <w:sz w:val="32"/>
          <w:szCs w:val="32"/>
          <w:lang w:val="en-US" w:eastAsia="zh-CN"/>
        </w:rPr>
        <w:t>队建工作。</w:t>
      </w:r>
      <w:r>
        <w:rPr>
          <w:rFonts w:hint="eastAsia" w:ascii="Times New Roman" w:hAnsi="Times New Roman" w:eastAsia="方正仿宋简体" w:cs="Times New Roman"/>
          <w:color w:val="auto"/>
          <w:sz w:val="32"/>
          <w:szCs w:val="32"/>
          <w:lang w:val="en-US" w:eastAsia="zh-CN"/>
        </w:rPr>
        <w:t>利用六一开展分批入队，2021年少先队新入队963名，配备少先队大队辅导员73名；在全市区域内开展红领巾奖章评定工作，共计评定69名二星章个人奖、15名集体奖；邀请关工委讲师开展以“献礼建党百年·我是星火传承者”为主题的专题讲座活动，提升少先队员的责任认识；联合万源市检察院开展法制进校园专题活动，提升少先队员自我保护意识；推进社会实践活动，利用植树节、“七一”等重要节点，以少先队实践教育基地为依托，让全市各校组织少先队参加爱党爱国的主题思想教育活动、植树活动、扫墓活动，极大的丰富了少先队社会实践教育活动。</w:t>
      </w:r>
    </w:p>
    <w:p>
      <w:pPr>
        <w:pStyle w:val="31"/>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（二）关爱留守儿童，有效保障青年就学就业</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jc w:val="left"/>
        <w:textAlignment w:val="auto"/>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对全市</w:t>
      </w:r>
      <w:r>
        <w:rPr>
          <w:rFonts w:hint="default" w:ascii="Times New Roman" w:hAnsi="Times New Roman" w:eastAsia="仿宋_GB2312" w:cs="Times New Roman"/>
          <w:kern w:val="2"/>
          <w:sz w:val="32"/>
          <w:szCs w:val="32"/>
          <w:lang w:val="en-US" w:eastAsia="zh-CN" w:bidi="ar-SA"/>
        </w:rPr>
        <w:t>31个童伴之家</w:t>
      </w:r>
      <w:r>
        <w:rPr>
          <w:rFonts w:hint="eastAsia" w:ascii="Times New Roman" w:hAnsi="Times New Roman" w:eastAsia="仿宋_GB2312" w:cs="Times New Roman"/>
          <w:kern w:val="2"/>
          <w:sz w:val="32"/>
          <w:szCs w:val="32"/>
          <w:lang w:val="en-US" w:eastAsia="zh-CN" w:bidi="ar-SA"/>
        </w:rPr>
        <w:t>、10个</w:t>
      </w:r>
      <w:r>
        <w:rPr>
          <w:rFonts w:hint="default" w:ascii="Times New Roman" w:hAnsi="Times New Roman" w:eastAsia="仿宋_GB2312" w:cs="Times New Roman"/>
          <w:kern w:val="2"/>
          <w:sz w:val="32"/>
          <w:szCs w:val="32"/>
          <w:lang w:val="en-US" w:eastAsia="zh-CN" w:bidi="ar-SA"/>
        </w:rPr>
        <w:t>童心港湾</w:t>
      </w:r>
      <w:r>
        <w:rPr>
          <w:rFonts w:hint="eastAsia" w:ascii="Times New Roman" w:hAnsi="Times New Roman" w:eastAsia="仿宋_GB2312" w:cs="Times New Roman"/>
          <w:kern w:val="2"/>
          <w:sz w:val="32"/>
          <w:szCs w:val="32"/>
          <w:lang w:val="en-US" w:eastAsia="zh-CN" w:bidi="ar-SA"/>
        </w:rPr>
        <w:t>点位进行完善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对配备的31名童伴妈妈进行清理核查， 对不胜任、不履职的及时进行撤换；</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统筹31个童伴之家点位开展日常活动，其中包括每月开展家访活动，利用节假日开展扫墓、参观战史陈列馆、党史学习教育、唱红歌、庆六一、“七彩假期”、开学季等活动。</w:t>
      </w: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持续开展童伴之家慰问工作，走访慰问固军镇、旧院镇、蜂桶乡、永宁镇、白果镇、青花镇、大竹镇、沙滩镇、竹峪镇9个童伴之家点位，利用慰问活动积极宣传禁毒及未成年人预防犯罪知识，共计慰问服务留守儿童265人次。</w:t>
      </w:r>
      <w:r>
        <w:rPr>
          <w:rFonts w:hint="eastAsia" w:ascii="Times New Roman" w:hAnsi="Times New Roman" w:eastAsia="仿宋_GB2312" w:cs="Times New Roman"/>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积极为各点位及留守儿童争取更多的爱心资助：铁矿留守儿童获达州青企协资助，白沙荆桥铺困难儿童争取到爱心资助、白沙荆桥铺小学争取到古东关商会爱心捐赠，太平镇茶垭学校“童心港湾”获光华基金会10万元点位打造资金。</w:t>
      </w:r>
      <w:r>
        <w:rPr>
          <w:rFonts w:hint="eastAsia" w:ascii="Times New Roman" w:hAnsi="Times New Roman" w:eastAsia="仿宋_GB2312" w:cs="Times New Roman"/>
          <w:b/>
          <w:bCs/>
          <w:kern w:val="2"/>
          <w:sz w:val="32"/>
          <w:szCs w:val="32"/>
          <w:lang w:val="en-US" w:eastAsia="zh-CN" w:bidi="ar-SA"/>
        </w:rPr>
        <w:t>五是</w:t>
      </w:r>
      <w:r>
        <w:rPr>
          <w:rFonts w:hint="eastAsia" w:ascii="Times New Roman" w:hAnsi="Times New Roman" w:eastAsia="仿宋_GB2312" w:cs="Times New Roman"/>
          <w:kern w:val="2"/>
          <w:sz w:val="32"/>
          <w:szCs w:val="32"/>
          <w:lang w:val="en-US" w:eastAsia="zh-CN" w:bidi="ar-SA"/>
        </w:rPr>
        <w:t>在暑假期间联合市委宣传部、市教科局、吾乐公益组织开展“七彩假期”活动，共计有6支高校志愿服务队加入活动，服务人次共计576人，为我市留守儿童带去新的学习实践内容。</w:t>
      </w:r>
      <w:r>
        <w:rPr>
          <w:rFonts w:hint="eastAsia" w:ascii="Times New Roman" w:hAnsi="Times New Roman" w:eastAsia="仿宋_GB2312" w:cs="Times New Roman"/>
          <w:b/>
          <w:bCs/>
          <w:kern w:val="2"/>
          <w:sz w:val="32"/>
          <w:szCs w:val="32"/>
          <w:lang w:val="en-US" w:eastAsia="zh-CN" w:bidi="ar-SA"/>
        </w:rPr>
        <w:t>六是</w:t>
      </w:r>
      <w:r>
        <w:rPr>
          <w:rFonts w:hint="default" w:ascii="Times New Roman" w:hAnsi="Times New Roman" w:eastAsia="仿宋_GB2312" w:cs="Times New Roman"/>
          <w:kern w:val="2"/>
          <w:sz w:val="32"/>
          <w:szCs w:val="32"/>
          <w:lang w:val="en-US" w:eastAsia="zh-CN" w:bidi="ar-SA"/>
        </w:rPr>
        <w:t>全力推进“爱心圆梦，希望永恒”资助贫困大学新生行动，在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、乡两级扩大宣传途径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今年我市共计资助困难学生33人。</w:t>
      </w:r>
      <w:r>
        <w:rPr>
          <w:rFonts w:hint="eastAsia" w:ascii="Times New Roman" w:hAnsi="Times New Roman" w:eastAsia="仿宋_GB2312" w:cs="Times New Roman"/>
          <w:b/>
          <w:bCs/>
          <w:kern w:val="2"/>
          <w:sz w:val="32"/>
          <w:szCs w:val="32"/>
          <w:lang w:val="en-US" w:eastAsia="zh-CN" w:bidi="ar-SA"/>
        </w:rPr>
        <w:t>七是</w:t>
      </w:r>
      <w:r>
        <w:rPr>
          <w:rFonts w:hint="eastAsia" w:ascii="Times New Roman" w:hAnsi="Times New Roman" w:eastAsia="仿宋_GB2312" w:cs="Times New Roman"/>
          <w:kern w:val="2"/>
          <w:sz w:val="32"/>
          <w:szCs w:val="32"/>
          <w:lang w:val="en-US" w:eastAsia="zh-CN" w:bidi="ar-SA"/>
        </w:rPr>
        <w:t>积极选派优秀乡镇青年参与“圆学子就业梦 造乡村振兴才”2021加多宝乡村振兴人才培养项目，我市4人被录取。</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jc w:val="left"/>
        <w:textAlignment w:val="auto"/>
        <w:outlineLvl w:val="9"/>
        <w:rPr>
          <w:rFonts w:hint="default" w:ascii="方正楷体简体" w:hAnsi="方正楷体简体" w:eastAsia="方正楷体简体" w:cs="方正楷体简体"/>
          <w:b/>
          <w:bCs/>
          <w:sz w:val="32"/>
          <w:szCs w:val="32"/>
          <w:lang w:val="en-US" w:eastAsia="zh-CN"/>
        </w:rPr>
      </w:pPr>
      <w:r>
        <w:rPr>
          <w:rFonts w:hint="eastAsia" w:ascii="方正黑体简体" w:hAnsi="方正黑体简体" w:eastAsia="方正黑体简体" w:cs="方正黑体简体"/>
          <w:b w:val="0"/>
          <w:bCs w:val="0"/>
          <w:sz w:val="32"/>
          <w:szCs w:val="32"/>
          <w:lang w:val="en-US" w:eastAsia="zh-CN"/>
        </w:rPr>
        <w:t>（三）做实项目品牌，提质增效强化服务水平</w:t>
      </w:r>
    </w:p>
    <w:p>
      <w:pPr>
        <w:keepNext w:val="0"/>
        <w:keepLines w:val="0"/>
        <w:pageBreakBefore w:val="0"/>
        <w:widowControl w:val="0"/>
        <w:numPr>
          <w:ilvl w:val="0"/>
          <w:numId w:val="0"/>
        </w:numPr>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方正仿宋简体" w:cs="方正仿宋简体"/>
          <w:b/>
          <w:bCs/>
          <w:sz w:val="32"/>
          <w:szCs w:val="32"/>
          <w:lang w:val="en-US" w:eastAsia="zh-CN"/>
        </w:rPr>
        <w:t>常态化开展志愿服务。</w:t>
      </w:r>
      <w:r>
        <w:rPr>
          <w:rFonts w:hint="eastAsia" w:ascii="Times New Roman" w:hAnsi="Times New Roman" w:eastAsia="方正仿宋简体" w:cs="方正仿宋简体"/>
          <w:sz w:val="32"/>
          <w:szCs w:val="32"/>
          <w:lang w:val="en-US" w:eastAsia="zh-CN"/>
        </w:rPr>
        <w:t>组织志愿者每月按期在裕丰社区开展结对联创志愿活动，截止目前已经开展7次结对联创活动，获得了裕丰社区广大居民的一致好评；为达州市及万源市领导干部读书班、万源市“两优一先”表彰大会、</w:t>
      </w:r>
      <w:r>
        <w:rPr>
          <w:rFonts w:hint="default" w:ascii="Times New Roman" w:hAnsi="Times New Roman" w:eastAsia="方正仿宋简体" w:cs="方正仿宋简体"/>
          <w:sz w:val="32"/>
          <w:szCs w:val="32"/>
          <w:lang w:val="en-US" w:eastAsia="zh-CN"/>
        </w:rPr>
        <w:t>四川省第十二届（夏季）乡村文化旅游节</w:t>
      </w:r>
      <w:r>
        <w:rPr>
          <w:rFonts w:hint="eastAsia" w:ascii="Times New Roman" w:hAnsi="Times New Roman"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万达开政协调研</w:t>
      </w:r>
      <w:r>
        <w:rPr>
          <w:rFonts w:hint="eastAsia" w:ascii="Times New Roman" w:hAnsi="Times New Roman" w:eastAsia="方正仿宋简体" w:cs="方正仿宋简体"/>
          <w:sz w:val="32"/>
          <w:szCs w:val="32"/>
          <w:lang w:val="en-US" w:eastAsia="zh-CN"/>
        </w:rPr>
        <w:t>等市委市政府重大活动提供礼仪志愿者服务；持续开展“周末卫生大扫除”靓在乡村、以及“青春志愿，爱在社区、爱在旅途、靓在乡村”等一系列志愿服务活动，</w:t>
      </w:r>
      <w:r>
        <w:rPr>
          <w:rFonts w:hint="eastAsia" w:ascii="Times New Roman" w:hAnsi="Times New Roman" w:eastAsia="仿宋_GB2312" w:cs="Times New Roman"/>
          <w:kern w:val="2"/>
          <w:sz w:val="32"/>
          <w:szCs w:val="32"/>
          <w:lang w:val="en-US" w:eastAsia="zh-CN" w:bidi="ar-SA"/>
        </w:rPr>
        <w:t>开展“献礼建党百年·百项公益等青来系列”志愿服务活动，组织全市志愿者开展氛围营造类、公益慈善类、环境保护类、基层治理、应急救援类等志愿服务共计24场，覆盖群众千余人。</w:t>
      </w:r>
      <w:r>
        <w:rPr>
          <w:rFonts w:hint="eastAsia" w:ascii="Times New Roman" w:hAnsi="Times New Roman" w:eastAsia="方正仿宋简体" w:cs="方正仿宋简体"/>
          <w:b/>
          <w:bCs/>
          <w:sz w:val="32"/>
          <w:szCs w:val="32"/>
          <w:lang w:val="en-US" w:eastAsia="zh-CN"/>
        </w:rPr>
        <w:t>二是强化创业就业项目推广。</w:t>
      </w:r>
      <w:r>
        <w:rPr>
          <w:rFonts w:hint="eastAsia" w:ascii="Times New Roman" w:hAnsi="Times New Roman" w:eastAsia="方正仿宋简体" w:cs="方正仿宋简体"/>
          <w:sz w:val="32"/>
          <w:szCs w:val="32"/>
          <w:lang w:val="en-US" w:eastAsia="zh-CN"/>
        </w:rPr>
        <w:t>深度挖掘优秀创业项目，推荐《蚂蚁探路——乡村自驾旅游开拓者》《一味中药振兴乡村梦》等项目参加第八届“创青春”达州青年创新创业大赛并荣获亚军、季军及优秀组织奖；积极宣传</w:t>
      </w:r>
      <w:r>
        <w:rPr>
          <w:rFonts w:hint="eastAsia" w:ascii="Times New Roman" w:hAnsi="Times New Roman" w:eastAsia="仿宋_GB2312" w:cs="Times New Roman"/>
          <w:kern w:val="2"/>
          <w:sz w:val="32"/>
          <w:szCs w:val="32"/>
          <w:lang w:val="en-US" w:eastAsia="zh-CN" w:bidi="ar-SA"/>
        </w:rPr>
        <w:t>2021“创青春”中国青年创新创业项目支持计划、</w:t>
      </w:r>
      <w:r>
        <w:rPr>
          <w:rFonts w:hint="eastAsia" w:ascii="Times New Roman" w:hAnsi="Times New Roman" w:eastAsia="方正仿宋简体" w:cs="方正仿宋简体"/>
          <w:sz w:val="32"/>
          <w:szCs w:val="32"/>
          <w:lang w:val="en-US" w:eastAsia="zh-CN"/>
        </w:rPr>
        <w:t>“蜀青振兴贷”“蜀青创业贷”及“逐梦计划”大学生社会实践活动，为在万籍大学生提供助实践工作岗位155个；协助推进</w:t>
      </w:r>
      <w:r>
        <w:rPr>
          <w:rFonts w:hint="default" w:ascii="Times New Roman" w:hAnsi="Times New Roman" w:eastAsia="方正仿宋简体" w:cs="方正仿宋简体"/>
          <w:sz w:val="32"/>
          <w:szCs w:val="32"/>
          <w:lang w:val="en-US" w:eastAsia="zh-CN"/>
        </w:rPr>
        <w:t>“全国乡村振兴青年先锋”</w:t>
      </w:r>
      <w:r>
        <w:rPr>
          <w:rFonts w:hint="eastAsia" w:ascii="Times New Roman" w:hAnsi="Times New Roman" w:eastAsia="方正仿宋简体" w:cs="方正仿宋简体"/>
          <w:sz w:val="32"/>
          <w:szCs w:val="32"/>
          <w:lang w:val="en-US" w:eastAsia="zh-CN"/>
        </w:rPr>
        <w:t>及</w:t>
      </w:r>
      <w:r>
        <w:rPr>
          <w:rFonts w:hint="default" w:ascii="Times New Roman" w:hAnsi="Times New Roman" w:eastAsia="方正仿宋简体" w:cs="方正仿宋简体"/>
          <w:sz w:val="32"/>
          <w:szCs w:val="32"/>
          <w:lang w:val="en-US" w:eastAsia="zh-CN"/>
        </w:rPr>
        <w:t>四川省青年职业大赛的选拔</w:t>
      </w:r>
      <w:r>
        <w:rPr>
          <w:rFonts w:hint="eastAsia" w:ascii="Times New Roman" w:hAnsi="Times New Roman" w:eastAsia="方正仿宋简体" w:cs="方正仿宋简体"/>
          <w:sz w:val="32"/>
          <w:szCs w:val="32"/>
          <w:lang w:val="en-US" w:eastAsia="zh-CN"/>
        </w:rPr>
        <w:t>工作，推荐2</w:t>
      </w:r>
      <w:r>
        <w:rPr>
          <w:rFonts w:hint="default" w:ascii="Times New Roman" w:hAnsi="Times New Roman" w:eastAsia="方正仿宋简体" w:cs="方正仿宋简体"/>
          <w:sz w:val="32"/>
          <w:szCs w:val="32"/>
          <w:lang w:val="en-US" w:eastAsia="zh-CN"/>
        </w:rPr>
        <w:t>人参加</w:t>
      </w:r>
      <w:r>
        <w:rPr>
          <w:rFonts w:hint="eastAsia" w:ascii="Times New Roman" w:hAnsi="Times New Roman" w:eastAsia="方正仿宋简体" w:cs="方正仿宋简体"/>
          <w:sz w:val="32"/>
          <w:szCs w:val="32"/>
          <w:lang w:val="en-US" w:eastAsia="zh-CN"/>
        </w:rPr>
        <w:t>达州市比赛</w:t>
      </w:r>
      <w:r>
        <w:rPr>
          <w:rFonts w:hint="default" w:ascii="Times New Roman" w:hAnsi="Times New Roman" w:eastAsia="方正仿宋简体" w:cs="方正仿宋简体"/>
          <w:sz w:val="32"/>
          <w:szCs w:val="32"/>
          <w:lang w:val="en-US" w:eastAsia="zh-CN"/>
        </w:rPr>
        <w:t>。</w:t>
      </w:r>
      <w:r>
        <w:rPr>
          <w:rFonts w:hint="eastAsia" w:ascii="Times New Roman" w:hAnsi="Times New Roman" w:eastAsia="方正仿宋简体" w:cs="方正仿宋简体"/>
          <w:b/>
          <w:bCs/>
          <w:sz w:val="32"/>
          <w:szCs w:val="32"/>
          <w:lang w:val="en-US" w:eastAsia="zh-CN"/>
        </w:rPr>
        <w:t>三是深入打造“青字”招牌项目。</w:t>
      </w:r>
      <w:r>
        <w:rPr>
          <w:rFonts w:hint="eastAsia" w:ascii="Times New Roman" w:hAnsi="Times New Roman" w:eastAsia="仿宋_GB2312" w:cs="Times New Roman"/>
          <w:kern w:val="2"/>
          <w:sz w:val="32"/>
          <w:szCs w:val="32"/>
          <w:lang w:val="en-US" w:eastAsia="zh-CN" w:bidi="ar-SA"/>
        </w:rPr>
        <w:t>积极贯彻落实四川省中长期青年发展规划，召开县级青年工作联谊会议，审议通过万源市贯彻落实《四川省中长期青年发展规划（2017—2025年）》2021年工作要点；推送邮储银行万源支行、税务局、高速公路稽查大队3个组织申报创建省级“青年文明号”。</w:t>
      </w:r>
      <w:r>
        <w:rPr>
          <w:rFonts w:hint="eastAsia" w:ascii="Times New Roman" w:hAnsi="Times New Roman" w:eastAsia="方正仿宋简体" w:cs="方正仿宋简体"/>
          <w:b/>
          <w:bCs/>
          <w:sz w:val="32"/>
          <w:szCs w:val="32"/>
          <w:lang w:val="en-US" w:eastAsia="zh-CN"/>
        </w:rPr>
        <w:t>四是持续做好大学生志愿服务西部计划工作。</w:t>
      </w:r>
      <w:r>
        <w:rPr>
          <w:rFonts w:hint="eastAsia" w:ascii="Times New Roman" w:hAnsi="Times New Roman" w:eastAsia="方正仿宋简体" w:cs="方正仿宋简体"/>
          <w:sz w:val="32"/>
          <w:szCs w:val="32"/>
          <w:lang w:val="en-US" w:eastAsia="zh-CN"/>
        </w:rPr>
        <w:t>在2020至2021年度考核中，万源市项目办获得达州市各区县项目办第一名，获得四川省优秀项目办荣誉称号。2021年7月，西部计划项目办共新招募25名西部计划志愿者，合理分配岗位，分别从事乡村社会治理、服务乡村建设、乡村教育、健康乡村、基层青年工作等五个方面，全力助推乡村振兴建设。</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jc w:val="left"/>
        <w:textAlignment w:val="auto"/>
        <w:outlineLvl w:val="9"/>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（四）扎实开展党史学习，积极推进“三大活动”</w:t>
      </w:r>
    </w:p>
    <w:p>
      <w:pPr>
        <w:keepNext w:val="0"/>
        <w:keepLines w:val="0"/>
        <w:pageBreakBefore w:val="0"/>
        <w:widowControl w:val="0"/>
        <w:numPr>
          <w:ilvl w:val="0"/>
          <w:numId w:val="0"/>
        </w:numPr>
        <w:kinsoku/>
        <w:wordWrap/>
        <w:overflowPunct/>
        <w:topLinePunct w:val="0"/>
        <w:autoSpaceDE/>
        <w:autoSpaceDN/>
        <w:bidi w:val="0"/>
        <w:spacing w:line="578" w:lineRule="exact"/>
        <w:ind w:firstLine="643" w:firstLineChars="200"/>
        <w:jc w:val="left"/>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bCs/>
          <w:color w:val="auto"/>
          <w:sz w:val="32"/>
          <w:szCs w:val="32"/>
          <w:lang w:val="en-US" w:eastAsia="zh-CN"/>
        </w:rPr>
        <w:t>党史学习教育。</w:t>
      </w:r>
      <w:r>
        <w:rPr>
          <w:rFonts w:hint="eastAsia" w:ascii="Times New Roman" w:hAnsi="Times New Roman" w:eastAsia="方正仿宋简体" w:cs="Times New Roman"/>
          <w:color w:val="auto"/>
          <w:sz w:val="32"/>
          <w:szCs w:val="32"/>
          <w:lang w:val="en-US" w:eastAsia="zh-CN"/>
        </w:rPr>
        <w:t>扎实开展党史学习教育活动，开展四个历史时期、习近平总书记“七一”重要讲话精神、“三史”等专题学习10余次，撰写发言材料16篇，上专题党课8次，党员领导干部为群众办实事4件；</w:t>
      </w:r>
      <w:r>
        <w:rPr>
          <w:rFonts w:hint="eastAsia" w:ascii="Times New Roman" w:hAnsi="Times New Roman" w:eastAsia="方正仿宋简体" w:cs="Times New Roman"/>
          <w:b w:val="0"/>
          <w:bCs w:val="0"/>
          <w:sz w:val="32"/>
          <w:szCs w:val="32"/>
          <w:lang w:val="en-US" w:eastAsia="zh-CN"/>
        </w:rPr>
        <w:t>组织西部计划志愿者、青年团干部、青年团员、少先队员以“学党史、强信念、跟党走”为主题开展读书分享会，怀缅革命先烈，前往到红色教育基地打卡，鼓励全市青年运用“萼山云课堂”、“学习强国”、“青年大学习”等平台开展党史学习教育，提升青年思想认知；组织开展五四成人礼、“讲好春天的故事”、征文演讲活动、红色诵读比赛、党史竞赛、“颂歌献给党——庆祝中国共产党成立100周年”歌咏比赛，树立青年责任意识。</w:t>
      </w:r>
    </w:p>
    <w:p>
      <w:pPr>
        <w:keepNext w:val="0"/>
        <w:keepLines w:val="0"/>
        <w:pageBreakBefore w:val="0"/>
        <w:widowControl w:val="0"/>
        <w:numPr>
          <w:ilvl w:val="0"/>
          <w:numId w:val="0"/>
        </w:numPr>
        <w:kinsoku/>
        <w:wordWrap/>
        <w:overflowPunct/>
        <w:topLinePunct w:val="0"/>
        <w:autoSpaceDE/>
        <w:autoSpaceDN/>
        <w:bidi w:val="0"/>
        <w:spacing w:line="578" w:lineRule="exact"/>
        <w:ind w:firstLine="643" w:firstLineChars="200"/>
        <w:jc w:val="left"/>
        <w:textAlignment w:val="auto"/>
        <w:outlineLvl w:val="9"/>
        <w:rPr>
          <w:rFonts w:hint="default" w:ascii="Times New Roman" w:hAnsi="Times New Roman" w:eastAsia="方正仿宋简体" w:cs="Times New Roman"/>
          <w:sz w:val="32"/>
        </w:rPr>
      </w:pPr>
      <w:r>
        <w:rPr>
          <w:rFonts w:hint="eastAsia" w:ascii="方正楷体简体" w:hAnsi="方正楷体简体" w:eastAsia="方正楷体简体" w:cs="方正楷体简体"/>
          <w:b/>
          <w:bCs/>
          <w:color w:val="auto"/>
          <w:sz w:val="32"/>
          <w:szCs w:val="32"/>
          <w:lang w:val="en-US" w:eastAsia="zh-CN"/>
        </w:rPr>
        <w:t>三大活动。</w:t>
      </w:r>
      <w:r>
        <w:rPr>
          <w:rFonts w:hint="eastAsia" w:ascii="Times New Roman" w:hAnsi="Times New Roman" w:eastAsia="方正仿宋简体" w:cs="Times New Roman"/>
          <w:color w:val="auto"/>
          <w:sz w:val="32"/>
          <w:szCs w:val="32"/>
          <w:lang w:val="en-US" w:eastAsia="zh-CN"/>
        </w:rPr>
        <w:t>按时</w:t>
      </w:r>
      <w:r>
        <w:rPr>
          <w:rFonts w:hint="default" w:ascii="Times New Roman" w:hAnsi="Times New Roman" w:eastAsia="方正仿宋简体" w:cs="Times New Roman"/>
          <w:sz w:val="32"/>
          <w:szCs w:val="32"/>
          <w:lang w:val="en-US" w:eastAsia="zh-CN"/>
        </w:rPr>
        <w:t>安排部署三大活动，完善了“奋进新征程·实现新跨越”大学习大讨论大调研活动实施方案。</w:t>
      </w:r>
      <w:r>
        <w:rPr>
          <w:rFonts w:hint="default" w:ascii="Times New Roman" w:hAnsi="Times New Roman" w:eastAsia="方正仿宋简体" w:cs="Times New Roman"/>
          <w:sz w:val="32"/>
          <w:lang w:eastAsia="zh-CN"/>
        </w:rPr>
        <w:t>并</w:t>
      </w:r>
      <w:r>
        <w:rPr>
          <w:rFonts w:hint="default" w:ascii="Times New Roman" w:hAnsi="Times New Roman" w:eastAsia="方正仿宋简体" w:cs="Times New Roman"/>
          <w:sz w:val="32"/>
        </w:rPr>
        <w:t>以深化理论学习为基础</w:t>
      </w:r>
      <w:r>
        <w:rPr>
          <w:rFonts w:hint="default" w:ascii="Times New Roman" w:hAnsi="Times New Roman" w:eastAsia="方正仿宋简体" w:cs="Times New Roman"/>
          <w:sz w:val="32"/>
          <w:lang w:eastAsia="zh-CN"/>
        </w:rPr>
        <w:t>开展大学习</w:t>
      </w:r>
      <w:r>
        <w:rPr>
          <w:rFonts w:hint="eastAsia" w:eastAsia="方正仿宋简体" w:cs="Times New Roman"/>
          <w:sz w:val="32"/>
          <w:lang w:val="en-US" w:eastAsia="zh-CN"/>
        </w:rPr>
        <w:t>20余</w:t>
      </w:r>
      <w:r>
        <w:rPr>
          <w:rFonts w:hint="default" w:ascii="Times New Roman" w:hAnsi="Times New Roman" w:eastAsia="方正仿宋简体" w:cs="Times New Roman"/>
          <w:sz w:val="32"/>
          <w:lang w:val="en-US" w:eastAsia="zh-CN"/>
        </w:rPr>
        <w:t>次</w:t>
      </w:r>
      <w:r>
        <w:rPr>
          <w:rFonts w:hint="default" w:ascii="Times New Roman" w:hAnsi="Times New Roman" w:eastAsia="方正仿宋简体" w:cs="Times New Roman"/>
          <w:sz w:val="32"/>
        </w:rPr>
        <w:t>，以抓实调查研究为载体</w:t>
      </w:r>
      <w:r>
        <w:rPr>
          <w:rFonts w:hint="default" w:ascii="Times New Roman" w:hAnsi="Times New Roman" w:eastAsia="方正仿宋简体" w:cs="Times New Roman"/>
          <w:sz w:val="32"/>
          <w:lang w:eastAsia="zh-CN"/>
        </w:rPr>
        <w:t>开展大调研</w:t>
      </w:r>
      <w:r>
        <w:rPr>
          <w:rFonts w:hint="default" w:ascii="Times New Roman" w:hAnsi="Times New Roman" w:eastAsia="方正仿宋简体" w:cs="Times New Roman"/>
          <w:sz w:val="32"/>
          <w:lang w:val="en-US" w:eastAsia="zh-CN"/>
        </w:rPr>
        <w:t>6次</w:t>
      </w:r>
      <w:r>
        <w:rPr>
          <w:rFonts w:hint="default" w:ascii="Times New Roman" w:hAnsi="Times New Roman" w:eastAsia="方正仿宋简体" w:cs="Times New Roman"/>
          <w:sz w:val="32"/>
        </w:rPr>
        <w:t>，以深入</w:t>
      </w:r>
      <w:r>
        <w:rPr>
          <w:rFonts w:hint="default" w:ascii="Times New Roman" w:hAnsi="Times New Roman" w:eastAsia="方正仿宋简体" w:cs="Times New Roman"/>
          <w:sz w:val="32"/>
          <w:lang w:eastAsia="zh-CN"/>
        </w:rPr>
        <w:t>研讨交流</w:t>
      </w:r>
      <w:r>
        <w:rPr>
          <w:rFonts w:hint="default" w:ascii="Times New Roman" w:hAnsi="Times New Roman" w:eastAsia="方正仿宋简体" w:cs="Times New Roman"/>
          <w:sz w:val="32"/>
        </w:rPr>
        <w:t>为驱动</w:t>
      </w:r>
      <w:r>
        <w:rPr>
          <w:rFonts w:hint="default" w:ascii="Times New Roman" w:hAnsi="Times New Roman" w:eastAsia="方正仿宋简体" w:cs="Times New Roman"/>
          <w:sz w:val="32"/>
          <w:lang w:eastAsia="zh-CN"/>
        </w:rPr>
        <w:t>开展大讨论</w:t>
      </w:r>
      <w:r>
        <w:rPr>
          <w:rFonts w:hint="eastAsia" w:eastAsia="方正仿宋简体" w:cs="Times New Roman"/>
          <w:sz w:val="32"/>
          <w:lang w:val="en-US" w:eastAsia="zh-CN"/>
        </w:rPr>
        <w:t>6</w:t>
      </w:r>
      <w:r>
        <w:rPr>
          <w:rFonts w:hint="default" w:ascii="Times New Roman" w:hAnsi="Times New Roman" w:eastAsia="方正仿宋简体" w:cs="Times New Roman"/>
          <w:sz w:val="32"/>
          <w:lang w:val="en-US" w:eastAsia="zh-CN"/>
        </w:rPr>
        <w:t>次</w:t>
      </w:r>
      <w:r>
        <w:rPr>
          <w:rFonts w:hint="default" w:ascii="Times New Roman" w:hAnsi="Times New Roman" w:eastAsia="方正仿宋简体" w:cs="Times New Roman"/>
          <w:sz w:val="32"/>
        </w:rPr>
        <w:t>，坚持密切联系实际、坚持问题导向，努力把</w:t>
      </w:r>
      <w:r>
        <w:rPr>
          <w:rFonts w:hint="default" w:ascii="Times New Roman" w:hAnsi="Times New Roman" w:eastAsia="方正仿宋简体" w:cs="Times New Roman"/>
          <w:sz w:val="32"/>
          <w:lang w:eastAsia="zh-CN"/>
        </w:rPr>
        <w:t>三大活动与推进党史学习教育</w:t>
      </w:r>
      <w:r>
        <w:rPr>
          <w:rFonts w:hint="default" w:ascii="Times New Roman" w:hAnsi="Times New Roman" w:eastAsia="方正仿宋简体" w:cs="Times New Roman"/>
          <w:sz w:val="32"/>
        </w:rPr>
        <w:t>有机融合、统筹推进。</w:t>
      </w:r>
    </w:p>
    <w:p>
      <w:pPr>
        <w:widowControl/>
        <w:ind w:firstLine="643" w:firstLineChars="200"/>
        <w:jc w:val="left"/>
        <w:rPr>
          <w:rFonts w:ascii="仿宋" w:hAnsi="仿宋" w:eastAsia="仿宋"/>
          <w:color w:val="auto"/>
          <w:kern w:val="0"/>
          <w:sz w:val="32"/>
          <w:szCs w:val="32"/>
          <w:highlight w:val="none"/>
        </w:rPr>
      </w:pPr>
      <w:r>
        <w:rPr>
          <w:rFonts w:hint="eastAsia" w:ascii="方正楷体简体" w:hAnsi="方正楷体简体" w:eastAsia="方正楷体简体" w:cs="方正楷体简体"/>
          <w:b/>
          <w:bCs/>
          <w:sz w:val="32"/>
          <w:szCs w:val="32"/>
          <w:lang w:val="en-US" w:eastAsia="zh-CN"/>
        </w:rPr>
        <w:t>为群众办实事。一是</w:t>
      </w:r>
      <w:r>
        <w:rPr>
          <w:rFonts w:hint="eastAsia" w:ascii="Times New Roman" w:hAnsi="Times New Roman" w:eastAsia="方正仿宋简体" w:cs="方正仿宋简体"/>
          <w:sz w:val="32"/>
          <w:szCs w:val="32"/>
          <w:lang w:val="en-US" w:eastAsia="zh-CN"/>
        </w:rPr>
        <w:t>设立助学金及奖学金，累计捐助4.05万元，援助54名贫困学子；开展“暖冬计划”、“星源计划”，“微心愿”“向阳计划”，充分调动社会各级力量，捐赠爱心物资3515件，净水器8台，为284名孩子完成新年愿望；开设“巴山大学堂”，连线浙江四川两地，讲授《新冠病毒预防及检测》《“看不见”的世界》《3D打印》等5期精品课，覆盖669人次；建设“精弘书角”及书屋，深度拓展山区学生视野，累计建设“精弘书角”及书屋共计16个；</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深入裕丰社区结对联创，</w:t>
      </w:r>
      <w:r>
        <w:rPr>
          <w:rFonts w:hint="default" w:ascii="Times New Roman" w:hAnsi="Times New Roman" w:eastAsia="方正仿宋简体" w:cs="Times New Roman"/>
          <w:sz w:val="32"/>
          <w:szCs w:val="32"/>
          <w:lang w:val="en-US" w:eastAsia="zh-CN"/>
        </w:rPr>
        <w:t>常态化</w:t>
      </w:r>
      <w:r>
        <w:rPr>
          <w:rFonts w:hint="eastAsia" w:ascii="Times New Roman" w:hAnsi="Times New Roman" w:eastAsia="方正仿宋简体" w:cs="Times New Roman"/>
          <w:sz w:val="32"/>
          <w:szCs w:val="32"/>
          <w:lang w:val="en-US" w:eastAsia="zh-CN"/>
        </w:rPr>
        <w:t>开展“七清”活动</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每个季度看望社区困难户，并将党史学习教育活动、</w:t>
      </w:r>
      <w:r>
        <w:rPr>
          <w:rFonts w:hint="default" w:ascii="Times New Roman" w:hAnsi="Times New Roman" w:eastAsia="方正仿宋简体" w:cs="Times New Roman"/>
          <w:sz w:val="32"/>
          <w:szCs w:val="32"/>
          <w:lang w:val="en-US" w:eastAsia="zh-CN"/>
        </w:rPr>
        <w:t>爱国卫生运动纳入</w:t>
      </w:r>
      <w:r>
        <w:rPr>
          <w:rFonts w:hint="eastAsia" w:ascii="Times New Roman" w:hAnsi="Times New Roman" w:eastAsia="方正仿宋简体" w:cs="Times New Roman"/>
          <w:sz w:val="32"/>
          <w:szCs w:val="32"/>
          <w:lang w:val="en-US" w:eastAsia="zh-CN"/>
        </w:rPr>
        <w:t>结对联创</w:t>
      </w:r>
      <w:r>
        <w:rPr>
          <w:rFonts w:hint="default" w:ascii="Times New Roman" w:hAnsi="Times New Roman" w:eastAsia="方正仿宋简体" w:cs="Times New Roman"/>
          <w:sz w:val="32"/>
          <w:szCs w:val="32"/>
          <w:lang w:val="en-US" w:eastAsia="zh-CN"/>
        </w:rPr>
        <w:t>活动中。</w:t>
      </w:r>
      <w:r>
        <w:rPr>
          <w:rFonts w:ascii="仿宋" w:hAnsi="仿宋" w:eastAsia="仿宋"/>
          <w:color w:val="auto"/>
          <w:sz w:val="32"/>
          <w:szCs w:val="32"/>
          <w:highlight w:val="none"/>
        </w:rPr>
        <w:br w:type="page"/>
      </w:r>
    </w:p>
    <w:p>
      <w:pPr>
        <w:pStyle w:val="3"/>
        <w:ind w:right="440"/>
        <w:jc w:val="center"/>
        <w:rPr>
          <w:color w:val="auto"/>
          <w:highlight w:val="none"/>
        </w:rPr>
      </w:pPr>
      <w:bookmarkStart w:id="16" w:name="_Toc15377204"/>
      <w:bookmarkStart w:id="17" w:name="_Toc15396602"/>
      <w:r>
        <w:rPr>
          <w:rFonts w:hint="eastAsia" w:ascii="黑体" w:hAnsi="黑体" w:eastAsia="黑体"/>
          <w:b w:val="0"/>
          <w:bCs/>
          <w:color w:val="auto"/>
          <w:highlight w:val="none"/>
          <w:lang w:val="en-US" w:eastAsia="zh-CN"/>
        </w:rPr>
        <w:t xml:space="preserve">  </w:t>
      </w: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109.33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215.60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大学生志愿服务西部计划人员数量增加，经费增加。</w:t>
      </w:r>
    </w:p>
    <w:p>
      <w:pPr>
        <w:pStyle w:val="2"/>
        <w:jc w:val="center"/>
        <w:rPr>
          <w:rFonts w:ascii="仿宋_GB2312" w:eastAsia="仿宋_GB2312"/>
          <w:color w:val="auto"/>
          <w:sz w:val="32"/>
          <w:szCs w:val="32"/>
          <w:highlight w:val="none"/>
        </w:rPr>
      </w:pPr>
      <w:r>
        <w:rPr>
          <w:rFonts w:hint="eastAsia" w:eastAsia="仿宋"/>
          <w:lang w:eastAsia="zh-CN"/>
        </w:rPr>
        <w:drawing>
          <wp:inline distT="0" distB="0" distL="114300" distR="114300">
            <wp:extent cx="4643120" cy="2581910"/>
            <wp:effectExtent l="4445" t="4445" r="1968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。无其他收入。</w:t>
      </w:r>
    </w:p>
    <w:p>
      <w:pPr>
        <w:pStyle w:val="2"/>
        <w:jc w:val="center"/>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27475" cy="2296160"/>
            <wp:effectExtent l="5080" t="5080" r="1079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万元，其中：</w:t>
      </w:r>
      <w:r>
        <w:rPr>
          <w:rFonts w:hint="eastAsia" w:ascii="仿宋" w:hAnsi="仿宋" w:eastAsia="仿宋"/>
          <w:color w:val="auto"/>
          <w:sz w:val="32"/>
          <w:szCs w:val="32"/>
          <w:highlight w:val="none"/>
          <w:lang w:eastAsia="zh-CN"/>
        </w:rPr>
        <w:t>一般公共服务</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153.21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社会保障和就业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jc w:val="center"/>
        <w:rPr>
          <w:rFonts w:hint="eastAsia" w:ascii="黑体" w:hAnsi="黑体" w:eastAsia="黑体"/>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575810" cy="2125980"/>
            <wp:effectExtent l="4445" t="4445" r="10795" b="222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4" w:name="_Toc15377208"/>
      <w:bookmarkStart w:id="25" w:name="_Toc15396606"/>
    </w:p>
    <w:p>
      <w:pPr>
        <w:spacing w:line="600" w:lineRule="exact"/>
        <w:ind w:firstLine="640" w:firstLineChars="200"/>
        <w:outlineLvl w:val="1"/>
        <w:rPr>
          <w:rStyle w:val="26"/>
          <w:rFonts w:ascii="黑体" w:hAnsi="黑体" w:eastAsia="黑体"/>
          <w:b w:val="0"/>
          <w:color w:val="auto"/>
          <w:highlight w:val="none"/>
        </w:rPr>
      </w:pPr>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109.33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215.60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大学生志愿服务西部计划人员数量增加，经费增加。</w:t>
      </w:r>
    </w:p>
    <w:p>
      <w:pPr>
        <w:pStyle w:val="2"/>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lang w:eastAsia="zh-CN"/>
        </w:rPr>
        <w:drawing>
          <wp:inline distT="0" distB="0" distL="114300" distR="114300">
            <wp:extent cx="4203700" cy="2409190"/>
            <wp:effectExtent l="4445" t="5080" r="20955" b="508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b/>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109.33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215.60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大学生志愿服务西部计划人员数量增加，经费增加。</w:t>
      </w: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134620</wp:posOffset>
            </wp:positionH>
            <wp:positionV relativeFrom="paragraph">
              <wp:posOffset>42545</wp:posOffset>
            </wp:positionV>
            <wp:extent cx="4710430" cy="1931670"/>
            <wp:effectExtent l="4445" t="4445" r="9525" b="698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hint="eastAsia" w:ascii="仿宋" w:hAnsi="仿宋" w:eastAsia="仿宋"/>
          <w:b/>
          <w:color w:val="auto"/>
          <w:sz w:val="32"/>
          <w:szCs w:val="32"/>
          <w:highlight w:val="none"/>
        </w:rPr>
      </w:pPr>
      <w:bookmarkStart w:id="29" w:name="_Toc15377211"/>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pStyle w:val="2"/>
        <w:rPr>
          <w:rFonts w:hint="eastAsia"/>
        </w:rPr>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一般公共服务</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153.21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社会保障和就业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4784090" cy="2525395"/>
            <wp:effectExtent l="4445" t="5080" r="12065" b="222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160.04</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一般公共服务（类）</w:t>
      </w:r>
      <w:r>
        <w:rPr>
          <w:rStyle w:val="15"/>
          <w:rFonts w:hint="eastAsia" w:ascii="仿宋" w:hAnsi="仿宋" w:eastAsia="仿宋"/>
          <w:bCs/>
          <w:color w:val="auto"/>
          <w:sz w:val="32"/>
          <w:szCs w:val="32"/>
          <w:highlight w:val="none"/>
          <w:lang w:eastAsia="zh-CN"/>
        </w:rPr>
        <w:t>群众团体事务</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行政运行</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153.21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lang w:eastAsia="zh-CN"/>
        </w:rPr>
        <w:t>社会保障和就业支出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机关事业单位基本养老保险缴费支出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3.24</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3.</w:t>
      </w:r>
      <w:r>
        <w:rPr>
          <w:rStyle w:val="15"/>
          <w:rFonts w:hint="eastAsia" w:ascii="仿宋" w:hAnsi="仿宋" w:eastAsia="仿宋"/>
          <w:bCs/>
          <w:color w:val="auto"/>
          <w:sz w:val="32"/>
          <w:szCs w:val="32"/>
          <w:highlight w:val="none"/>
          <w:lang w:eastAsia="zh-CN"/>
        </w:rPr>
        <w:t>卫生健康支出</w:t>
      </w:r>
      <w:r>
        <w:rPr>
          <w:rStyle w:val="15"/>
          <w:rFonts w:hint="eastAsia" w:ascii="仿宋" w:hAnsi="仿宋" w:eastAsia="仿宋" w:cstheme="minorBidi"/>
          <w:bCs/>
          <w:color w:val="auto"/>
          <w:sz w:val="32"/>
          <w:szCs w:val="32"/>
          <w:highlight w:val="none"/>
          <w:lang w:eastAsia="zh-CN"/>
        </w:rPr>
        <w:t>（</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行政单位医疗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1.26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4.</w:t>
      </w:r>
      <w:r>
        <w:rPr>
          <w:rStyle w:val="15"/>
          <w:rFonts w:hint="eastAsia" w:ascii="仿宋" w:hAnsi="仿宋" w:eastAsia="仿宋"/>
          <w:bCs/>
          <w:color w:val="auto"/>
          <w:sz w:val="32"/>
          <w:szCs w:val="32"/>
          <w:highlight w:val="none"/>
          <w:lang w:eastAsia="zh-CN"/>
        </w:rPr>
        <w:t>住房保障支出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住房改革支出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住房公积金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2.33</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148.34</w:t>
      </w:r>
      <w:r>
        <w:rPr>
          <w:rFonts w:hint="eastAsia" w:ascii="仿宋" w:hAnsi="仿宋" w:eastAsia="仿宋"/>
          <w:color w:val="auto"/>
          <w:sz w:val="32"/>
          <w:szCs w:val="32"/>
          <w:highlight w:val="none"/>
        </w:rPr>
        <w:t>万元，主要包括：基本工资、津贴补贴、奖金、机关事业单位基本养老保险缴费、其他社会保障缴费、生活补助、住房公积金。</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11.71</w:t>
      </w:r>
      <w:r>
        <w:rPr>
          <w:rFonts w:hint="eastAsia" w:ascii="仿宋" w:hAnsi="仿宋" w:eastAsia="仿宋"/>
          <w:color w:val="auto"/>
          <w:sz w:val="32"/>
          <w:szCs w:val="32"/>
          <w:highlight w:val="none"/>
        </w:rPr>
        <w:t>万元，主要包括：办公费、印刷费水费、电费、差旅费、会议费、培训费、公务接待费、工会经费、其他交通费。</w:t>
      </w: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0.25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rPr>
          <w:rFonts w:hint="eastAsia" w:eastAsia="仿宋"/>
          <w:lang w:eastAsia="zh-CN"/>
        </w:rPr>
      </w:pPr>
      <w:r>
        <w:rPr>
          <w:rFonts w:hint="eastAsia" w:eastAsia="仿宋"/>
          <w:lang w:eastAsia="zh-CN"/>
        </w:rPr>
        <w:drawing>
          <wp:inline distT="0" distB="0" distL="114300" distR="114300">
            <wp:extent cx="3899535" cy="2343150"/>
            <wp:effectExtent l="5080" t="4445" r="19685" b="146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numPr>
          <w:ilvl w:val="0"/>
          <w:numId w:val="0"/>
        </w:numPr>
        <w:spacing w:line="600" w:lineRule="exact"/>
        <w:ind w:firstLine="643" w:firstLineChars="20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7.41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控制支出</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0.25</w:t>
      </w:r>
      <w:r>
        <w:rPr>
          <w:rFonts w:hint="eastAsia" w:ascii="仿宋_GB2312" w:eastAsia="仿宋_GB2312"/>
          <w:color w:val="auto"/>
          <w:sz w:val="32"/>
          <w:szCs w:val="32"/>
          <w:highlight w:val="none"/>
        </w:rPr>
        <w:t>万元，主要用于交通费、住宿费、用餐费</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0.25</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餐费</w:t>
      </w:r>
      <w:r>
        <w:rPr>
          <w:rFonts w:hint="eastAsia" w:ascii="仿宋_GB2312" w:eastAsia="仿宋_GB2312"/>
          <w:color w:val="auto"/>
          <w:sz w:val="32"/>
          <w:szCs w:val="32"/>
          <w:highlight w:val="none"/>
          <w:lang w:val="en-US" w:eastAsia="zh-CN"/>
        </w:rPr>
        <w:t>0.25万元</w:t>
      </w:r>
      <w:r>
        <w:rPr>
          <w:rFonts w:hint="eastAsia" w:ascii="仿宋_GB2312" w:eastAsia="仿宋_GB2312"/>
          <w:color w:val="auto"/>
          <w:sz w:val="32"/>
          <w:szCs w:val="32"/>
          <w:highlight w:val="none"/>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团委</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11.71</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2.17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22.75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日常办公费用增加。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团委</w:t>
      </w:r>
      <w:r>
        <w:rPr>
          <w:rFonts w:hint="eastAsia" w:ascii="仿宋_GB2312" w:eastAsia="仿宋_GB2312"/>
          <w:color w:val="auto"/>
          <w:sz w:val="32"/>
          <w:szCs w:val="32"/>
          <w:highlight w:val="none"/>
        </w:rPr>
        <w:t>采购支出总额</w:t>
      </w:r>
      <w:r>
        <w:rPr>
          <w:rFonts w:hint="eastAsia" w:ascii="仿宋_GB2312" w:eastAsia="仿宋_GB2312"/>
          <w:color w:val="auto"/>
          <w:sz w:val="32"/>
          <w:szCs w:val="32"/>
          <w:highlight w:val="none"/>
          <w:lang w:val="en-US" w:eastAsia="zh-CN"/>
        </w:rPr>
        <w:t>0.34</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0.31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办公室台式电脑购置</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 w:hAnsi="仿宋" w:eastAsia="仿宋_GB2312"/>
          <w:b/>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团委</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青少年工作专项经费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eastAsia="zh-CN"/>
        </w:rPr>
        <w:t>青少年工作专项经费</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eastAsia="zh-CN"/>
        </w:rPr>
        <w:t>青少年工作专项经费</w:t>
      </w:r>
      <w:r>
        <w:rPr>
          <w:rFonts w:hint="eastAsia" w:ascii="仿宋_GB2312" w:hAnsi="仿宋_GB2312" w:eastAsia="仿宋_GB2312" w:cs="仿宋_GB2312"/>
          <w:color w:val="auto"/>
          <w:sz w:val="32"/>
          <w:szCs w:val="32"/>
          <w:highlight w:val="none"/>
        </w:rPr>
        <w:t>项目开展绩效监控，年终执行完毕后，对</w:t>
      </w:r>
      <w:r>
        <w:rPr>
          <w:rFonts w:hint="eastAsia" w:ascii="仿宋_GB2312" w:hAnsi="仿宋_GB2312" w:eastAsia="仿宋_GB2312" w:cs="仿宋_GB2312"/>
          <w:color w:val="auto"/>
          <w:sz w:val="32"/>
          <w:szCs w:val="32"/>
          <w:highlight w:val="none"/>
          <w:lang w:eastAsia="zh-CN"/>
        </w:rPr>
        <w:t>青少年工作专项经费</w:t>
      </w:r>
      <w:r>
        <w:rPr>
          <w:rFonts w:hint="eastAsia" w:ascii="仿宋_GB2312" w:hAnsi="仿宋_GB2312" w:eastAsia="仿宋_GB2312" w:cs="仿宋_GB2312"/>
          <w:color w:val="auto"/>
          <w:sz w:val="32"/>
          <w:szCs w:val="32"/>
          <w:highlight w:val="none"/>
        </w:rPr>
        <w:t>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ascii="仿宋_GB2312" w:hAnsi="宋体" w:eastAsia="仿宋_GB2312" w:cs="仿宋_GB2312"/>
          <w:color w:val="000000"/>
          <w:kern w:val="0"/>
          <w:sz w:val="31"/>
          <w:szCs w:val="31"/>
          <w:lang w:val="en-US" w:eastAsia="zh-CN" w:bidi="ar"/>
        </w:rPr>
        <w:t>一般公共服务</w:t>
      </w:r>
      <w:r>
        <w:rPr>
          <w:rFonts w:hint="eastAsia" w:ascii="仿宋_GB2312" w:eastAsia="仿宋_GB2312"/>
          <w:color w:val="auto"/>
          <w:sz w:val="32"/>
          <w:szCs w:val="32"/>
          <w:highlight w:val="none"/>
        </w:rPr>
        <w:t>(类)</w:t>
      </w:r>
      <w:r>
        <w:rPr>
          <w:rFonts w:hint="eastAsia" w:ascii="仿宋_GB2312" w:hAnsi="宋体" w:eastAsia="仿宋_GB2312" w:cs="仿宋_GB2312"/>
          <w:color w:val="000000"/>
          <w:kern w:val="0"/>
          <w:sz w:val="31"/>
          <w:szCs w:val="31"/>
          <w:lang w:val="en-US" w:eastAsia="zh-CN" w:bidi="ar"/>
        </w:rPr>
        <w:t>群众团体事务</w:t>
      </w:r>
      <w:r>
        <w:rPr>
          <w:rFonts w:hint="eastAsia" w:ascii="仿宋_GB2312" w:eastAsia="仿宋_GB2312"/>
          <w:color w:val="auto"/>
          <w:sz w:val="32"/>
          <w:szCs w:val="32"/>
          <w:highlight w:val="none"/>
        </w:rPr>
        <w:t>(款)</w:t>
      </w:r>
      <w:r>
        <w:rPr>
          <w:rFonts w:hint="eastAsia" w:ascii="仿宋_GB2312" w:hAnsi="宋体" w:eastAsia="仿宋_GB2312" w:cs="仿宋_GB2312"/>
          <w:color w:val="000000"/>
          <w:kern w:val="0"/>
          <w:sz w:val="31"/>
          <w:szCs w:val="31"/>
          <w:lang w:val="en-US" w:eastAsia="zh-CN" w:bidi="ar"/>
        </w:rPr>
        <w:t>行政运行</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hAnsi="宋体" w:eastAsia="仿宋_GB2312" w:cs="仿宋_GB2312"/>
          <w:color w:val="000000"/>
          <w:kern w:val="0"/>
          <w:sz w:val="31"/>
          <w:szCs w:val="31"/>
          <w:lang w:val="en-US" w:eastAsia="zh-CN" w:bidi="ar"/>
        </w:rPr>
        <w:t>：指单位用于人员工资、日常运转以及为完成特定的群众团体事务而安排的年度项目支出</w:t>
      </w:r>
      <w:r>
        <w:rPr>
          <w:rFonts w:hint="eastAsia" w:ascii="仿宋_GB2312" w:eastAsia="仿宋_GB2312"/>
          <w:color w:val="auto"/>
          <w:sz w:val="32"/>
          <w:szCs w:val="32"/>
          <w:highlight w:val="none"/>
        </w:rPr>
        <w:t>。</w:t>
      </w:r>
    </w:p>
    <w:p>
      <w:pPr>
        <w:keepNext w:val="0"/>
        <w:keepLines w:val="0"/>
        <w:pageBreakBefore w:val="0"/>
        <w:kinsoku/>
        <w:wordWrap/>
        <w:overflowPunct/>
        <w:topLinePunct w:val="0"/>
        <w:bidi w:val="0"/>
        <w:snapToGrid/>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社会保障和就业支出(类)行政事业单位养老支出(款)机关事业单位基本养老保险费支出(项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hAnsi="宋体" w:eastAsia="仿宋_GB2312" w:cs="仿宋_GB2312"/>
          <w:color w:val="000000"/>
          <w:kern w:val="0"/>
          <w:sz w:val="31"/>
          <w:szCs w:val="31"/>
          <w:lang w:val="en-US" w:eastAsia="zh-CN" w:bidi="ar"/>
        </w:rPr>
        <w:t>指单位按照规定标准为职工缴纳的基本养老保险补助支出。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ascii="仿宋_GB2312" w:hAnsi="宋体" w:eastAsia="仿宋_GB2312" w:cs="仿宋_GB2312"/>
          <w:color w:val="000000"/>
          <w:kern w:val="0"/>
          <w:sz w:val="31"/>
          <w:szCs w:val="31"/>
          <w:lang w:val="en-US" w:eastAsia="zh-CN" w:bidi="ar"/>
        </w:rPr>
        <w:t>医疗卫生与计划生育</w:t>
      </w:r>
      <w:r>
        <w:rPr>
          <w:rFonts w:hint="eastAsia" w:ascii="仿宋_GB2312" w:eastAsia="仿宋_GB2312"/>
          <w:color w:val="auto"/>
          <w:sz w:val="32"/>
          <w:szCs w:val="32"/>
          <w:highlight w:val="none"/>
        </w:rPr>
        <w:t>(类)</w:t>
      </w:r>
      <w:r>
        <w:rPr>
          <w:rFonts w:hint="eastAsia" w:ascii="仿宋_GB2312" w:hAnsi="宋体" w:eastAsia="仿宋_GB2312" w:cs="仿宋_GB2312"/>
          <w:color w:val="000000"/>
          <w:kern w:val="0"/>
          <w:sz w:val="31"/>
          <w:szCs w:val="31"/>
          <w:lang w:val="en-US" w:eastAsia="zh-CN" w:bidi="ar"/>
        </w:rPr>
        <w:t>医疗保障</w:t>
      </w:r>
      <w:r>
        <w:rPr>
          <w:rFonts w:hint="eastAsia" w:ascii="仿宋_GB2312" w:eastAsia="仿宋_GB2312"/>
          <w:color w:val="auto"/>
          <w:sz w:val="32"/>
          <w:szCs w:val="32"/>
          <w:highlight w:val="none"/>
        </w:rPr>
        <w:t>(款)</w:t>
      </w:r>
      <w:r>
        <w:rPr>
          <w:rFonts w:hint="eastAsia" w:ascii="仿宋_GB2312" w:hAnsi="宋体" w:eastAsia="仿宋_GB2312" w:cs="仿宋_GB2312"/>
          <w:color w:val="000000"/>
          <w:kern w:val="0"/>
          <w:sz w:val="31"/>
          <w:szCs w:val="31"/>
          <w:lang w:val="en-US" w:eastAsia="zh-CN" w:bidi="ar"/>
        </w:rPr>
        <w:t>行政单位医疗</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hAnsi="宋体" w:eastAsia="仿宋_GB2312" w:cs="仿宋_GB2312"/>
          <w:color w:val="000000"/>
          <w:kern w:val="0"/>
          <w:sz w:val="31"/>
          <w:szCs w:val="31"/>
          <w:lang w:val="en-US" w:eastAsia="zh-CN" w:bidi="ar"/>
        </w:rPr>
        <w:t>：指单位按照规定标准为职工缴纳的基本医疗保险及公务员医疗补助支出</w:t>
      </w:r>
      <w:r>
        <w:rPr>
          <w:rFonts w:hint="eastAsia" w:ascii="仿宋_GB2312" w:eastAsia="仿宋_GB2312"/>
          <w:color w:val="auto"/>
          <w:sz w:val="32"/>
          <w:szCs w:val="32"/>
          <w:highlight w:val="none"/>
        </w:rPr>
        <w:t>。</w:t>
      </w:r>
    </w:p>
    <w:p>
      <w:pPr>
        <w:keepNext w:val="0"/>
        <w:keepLines w:val="0"/>
        <w:pageBreakBefore w:val="0"/>
        <w:widowControl/>
        <w:suppressLineNumbers w:val="0"/>
        <w:kinsoku/>
        <w:wordWrap/>
        <w:overflowPunct/>
        <w:topLinePunct w:val="0"/>
        <w:bidi w:val="0"/>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6.</w:t>
      </w:r>
      <w:r>
        <w:rPr>
          <w:rFonts w:ascii="仿宋_GB2312" w:hAnsi="宋体" w:eastAsia="仿宋_GB2312" w:cs="仿宋_GB2312"/>
          <w:color w:val="000000"/>
          <w:kern w:val="0"/>
          <w:sz w:val="31"/>
          <w:szCs w:val="31"/>
          <w:lang w:val="en-US" w:eastAsia="zh-CN" w:bidi="ar"/>
        </w:rPr>
        <w:t>住房保障支出</w:t>
      </w:r>
      <w:r>
        <w:rPr>
          <w:rFonts w:hint="eastAsia" w:ascii="仿宋_GB2312" w:eastAsia="仿宋_GB2312"/>
          <w:color w:val="auto"/>
          <w:sz w:val="32"/>
          <w:szCs w:val="32"/>
          <w:highlight w:val="none"/>
        </w:rPr>
        <w:t>(类)</w:t>
      </w:r>
      <w:r>
        <w:rPr>
          <w:rFonts w:hint="eastAsia" w:ascii="仿宋_GB2312" w:hAnsi="宋体" w:eastAsia="仿宋_GB2312" w:cs="仿宋_GB2312"/>
          <w:color w:val="000000"/>
          <w:kern w:val="0"/>
          <w:sz w:val="31"/>
          <w:szCs w:val="31"/>
          <w:lang w:val="en-US" w:eastAsia="zh-CN" w:bidi="ar"/>
        </w:rPr>
        <w:t>住房改革支出</w:t>
      </w:r>
      <w:r>
        <w:rPr>
          <w:rFonts w:hint="eastAsia" w:ascii="仿宋_GB2312" w:eastAsia="仿宋_GB2312"/>
          <w:color w:val="auto"/>
          <w:sz w:val="32"/>
          <w:szCs w:val="32"/>
          <w:highlight w:val="none"/>
        </w:rPr>
        <w:t>(款)</w:t>
      </w:r>
      <w:r>
        <w:rPr>
          <w:rFonts w:hint="eastAsia" w:ascii="仿宋_GB2312" w:hAnsi="宋体" w:eastAsia="仿宋_GB2312" w:cs="仿宋_GB2312"/>
          <w:color w:val="000000"/>
          <w:kern w:val="0"/>
          <w:sz w:val="31"/>
          <w:szCs w:val="31"/>
          <w:lang w:val="en-US" w:eastAsia="zh-CN" w:bidi="ar"/>
        </w:rPr>
        <w:t>住房公积金</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hAnsi="宋体" w:eastAsia="仿宋_GB2312" w:cs="仿宋_GB2312"/>
          <w:color w:val="000000"/>
          <w:kern w:val="0"/>
          <w:sz w:val="31"/>
          <w:szCs w:val="31"/>
          <w:lang w:val="en-US" w:eastAsia="zh-CN" w:bidi="ar"/>
        </w:rPr>
        <w:t xml:space="preserve">：指单位按照规定标准为职工缴纳住房公积金等支出。 </w:t>
      </w:r>
    </w:p>
    <w:p>
      <w:pPr>
        <w:keepNext w:val="0"/>
        <w:keepLines w:val="0"/>
        <w:pageBreakBefore w:val="0"/>
        <w:widowControl/>
        <w:suppressLineNumbers w:val="0"/>
        <w:kinsoku/>
        <w:wordWrap/>
        <w:overflowPunct/>
        <w:topLinePunct w:val="0"/>
        <w:bidi w:val="0"/>
        <w:snapToGrid/>
        <w:ind w:firstLine="620" w:firstLineChars="200"/>
        <w:jc w:val="left"/>
        <w:textAlignment w:val="auto"/>
      </w:pPr>
      <w:r>
        <w:rPr>
          <w:rFonts w:hint="eastAsia" w:ascii="Times New Roman" w:hAnsi="Times New Roman" w:eastAsia="宋体" w:cs="Times New Roman"/>
          <w:color w:val="000000"/>
          <w:kern w:val="0"/>
          <w:sz w:val="31"/>
          <w:szCs w:val="31"/>
          <w:lang w:val="en-US" w:eastAsia="zh-CN" w:bidi="ar"/>
        </w:rPr>
        <w:t>7</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基本支出：指为保障机构正常运转、完成日常工作任务而发生的人员支出和公用支出。 </w:t>
      </w:r>
    </w:p>
    <w:p>
      <w:pPr>
        <w:keepNext w:val="0"/>
        <w:keepLines w:val="0"/>
        <w:pageBreakBefore w:val="0"/>
        <w:widowControl/>
        <w:suppressLineNumbers w:val="0"/>
        <w:kinsoku/>
        <w:wordWrap/>
        <w:overflowPunct/>
        <w:topLinePunct w:val="0"/>
        <w:bidi w:val="0"/>
        <w:snapToGrid/>
        <w:ind w:firstLine="620" w:firstLineChars="200"/>
        <w:jc w:val="left"/>
        <w:textAlignment w:val="auto"/>
      </w:pPr>
      <w:r>
        <w:rPr>
          <w:rFonts w:hint="eastAsia" w:ascii="Times New Roman" w:hAnsi="Times New Roman" w:eastAsia="宋体" w:cs="Times New Roman"/>
          <w:color w:val="000000"/>
          <w:kern w:val="0"/>
          <w:sz w:val="31"/>
          <w:szCs w:val="31"/>
          <w:lang w:val="en-US" w:eastAsia="zh-CN" w:bidi="ar"/>
        </w:rPr>
        <w:t>8</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项目支出：指在基本支出之外为完成特定行政任务和事业发展目标所发生的支出</w:t>
      </w:r>
    </w:p>
    <w:p>
      <w:pPr>
        <w:pStyle w:val="23"/>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kinsoku/>
        <w:wordWrap/>
        <w:overflowPunct/>
        <w:topLinePunct w:val="0"/>
        <w:bidi w:val="0"/>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line="600" w:lineRule="exact"/>
        <w:ind w:firstLine="880" w:firstLineChars="200"/>
        <w:jc w:val="center"/>
        <w:textAlignment w:val="auto"/>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spacing w:line="60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 xml:space="preserve">1 </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万源市团委</w:t>
      </w: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1</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en-US" w:eastAsia="zh-CN"/>
        </w:rPr>
        <w:t>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keepNext w:val="0"/>
        <w:keepLines w:val="0"/>
        <w:widowControl/>
        <w:suppressLineNumbers w:val="0"/>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ascii="仿宋" w:hAnsi="仿宋" w:eastAsia="仿宋" w:cs="仿宋"/>
          <w:color w:val="000000"/>
          <w:kern w:val="0"/>
          <w:sz w:val="31"/>
          <w:szCs w:val="31"/>
          <w:lang w:val="en-US" w:eastAsia="zh-CN" w:bidi="ar"/>
        </w:rPr>
        <w:t>团委为县级一级预算单位，内设办公</w:t>
      </w:r>
      <w:r>
        <w:rPr>
          <w:rFonts w:hint="eastAsia" w:ascii="仿宋" w:hAnsi="仿宋" w:eastAsia="仿宋" w:cs="仿宋"/>
          <w:color w:val="000000"/>
          <w:kern w:val="0"/>
          <w:sz w:val="31"/>
          <w:szCs w:val="31"/>
          <w:lang w:val="en-US" w:eastAsia="zh-CN" w:bidi="ar"/>
        </w:rPr>
        <w:t>室、青发部、西部计划项目办、学少部、组宣部、财务室等股室</w:t>
      </w:r>
    </w:p>
    <w:p>
      <w:pPr>
        <w:keepNext w:val="0"/>
        <w:keepLines w:val="0"/>
        <w:widowControl/>
        <w:suppressLineNumbers w:val="0"/>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ascii="方正仿宋简体" w:hAnsi="方正仿宋简体" w:eastAsia="方正仿宋简体" w:cs="方正仿宋简体"/>
          <w:color w:val="000000"/>
          <w:kern w:val="0"/>
          <w:sz w:val="31"/>
          <w:szCs w:val="31"/>
          <w:lang w:val="en-US" w:eastAsia="zh-CN" w:bidi="ar"/>
        </w:rPr>
        <w:t>主要负责全市共青团工作和少先队工</w:t>
      </w:r>
      <w:r>
        <w:rPr>
          <w:rFonts w:hint="eastAsia" w:ascii="方正仿宋简体" w:hAnsi="方正仿宋简体" w:eastAsia="方正仿宋简体" w:cs="方正仿宋简体"/>
          <w:color w:val="000000"/>
          <w:kern w:val="0"/>
          <w:sz w:val="31"/>
          <w:szCs w:val="31"/>
          <w:lang w:val="en-US" w:eastAsia="zh-CN" w:bidi="ar"/>
        </w:rPr>
        <w:t>作；负责拟定全市青少年发展规划和工作方针政策，对全市青少年活动阵地、青少年服务机构进行规划和监督管理；参与有关青少年事务的法律、法规的制定和实施，协助市委和市政府处理、协调与青少年相关的事务，维护青少年合法权益；组织和带领青少年参与经济和社会建设，全力维护社会稳定，构建和谐社会，发挥生力军和突击队作用；负责大学生志愿服务西部计划万源市项目办的管理和服务工作；承办市委、市政府交办的其他事项。</w:t>
      </w:r>
    </w:p>
    <w:p>
      <w:pPr>
        <w:keepNext w:val="0"/>
        <w:keepLines w:val="0"/>
        <w:widowControl/>
        <w:suppressLineNumbers w:val="0"/>
        <w:ind w:firstLine="64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ascii="仿宋" w:hAnsi="仿宋" w:eastAsia="仿宋" w:cs="仿宋"/>
          <w:color w:val="000000"/>
          <w:kern w:val="0"/>
          <w:sz w:val="31"/>
          <w:szCs w:val="31"/>
          <w:lang w:val="en-US" w:eastAsia="zh-CN" w:bidi="ar"/>
        </w:rPr>
        <w:t xml:space="preserve">团委共有行政编制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 w:hAnsi="仿宋" w:eastAsia="仿宋" w:cs="仿宋"/>
          <w:color w:val="000000"/>
          <w:kern w:val="0"/>
          <w:sz w:val="31"/>
          <w:szCs w:val="31"/>
          <w:lang w:val="en-US" w:eastAsia="zh-CN" w:bidi="ar"/>
        </w:rPr>
        <w:t xml:space="preserve">人，在岗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ascii="仿宋" w:hAnsi="仿宋" w:eastAsia="仿宋" w:cs="仿宋"/>
          <w:color w:val="000000"/>
          <w:kern w:val="0"/>
          <w:sz w:val="31"/>
          <w:szCs w:val="31"/>
          <w:lang w:val="en-US" w:eastAsia="zh-CN" w:bidi="ar"/>
        </w:rPr>
        <w:t>团委财政资金来源于</w:t>
      </w:r>
      <w:r>
        <w:rPr>
          <w:rFonts w:hint="eastAsia" w:ascii="仿宋" w:hAnsi="仿宋" w:eastAsia="仿宋" w:cs="仿宋"/>
          <w:color w:val="000000"/>
          <w:kern w:val="0"/>
          <w:sz w:val="31"/>
          <w:szCs w:val="31"/>
          <w:lang w:val="en-US" w:eastAsia="zh-CN" w:bidi="ar"/>
        </w:rPr>
        <w:t>一般财政拨款收入。</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1</w:t>
      </w:r>
      <w:r>
        <w:rPr>
          <w:rFonts w:hint="default" w:ascii="Times New Roman" w:hAnsi="Times New Roman" w:eastAsia="宋体" w:cs="Times New Roman"/>
          <w:color w:val="000000"/>
          <w:kern w:val="0"/>
          <w:sz w:val="31"/>
          <w:szCs w:val="31"/>
          <w:lang w:val="en-US" w:eastAsia="zh-CN" w:bidi="ar"/>
        </w:rPr>
        <w:t xml:space="preserve"> </w:t>
      </w:r>
      <w:r>
        <w:rPr>
          <w:rFonts w:hint="eastAsia" w:ascii="仿宋" w:hAnsi="仿宋" w:eastAsia="仿宋" w:cs="仿宋"/>
          <w:color w:val="000000"/>
          <w:kern w:val="0"/>
          <w:sz w:val="31"/>
          <w:szCs w:val="31"/>
          <w:lang w:val="en-US" w:eastAsia="zh-CN" w:bidi="ar"/>
        </w:rPr>
        <w:t xml:space="preserve">年一般财政拨款收入合计 </w:t>
      </w:r>
      <w:r>
        <w:rPr>
          <w:rFonts w:hint="eastAsia" w:ascii="Times New Roman" w:hAnsi="Times New Roman" w:eastAsia="宋体" w:cs="Times New Roman"/>
          <w:color w:val="000000"/>
          <w:kern w:val="0"/>
          <w:sz w:val="31"/>
          <w:szCs w:val="31"/>
          <w:lang w:val="en-US" w:eastAsia="zh-CN" w:bidi="ar"/>
        </w:rPr>
        <w:t>160.04</w:t>
      </w:r>
      <w:r>
        <w:rPr>
          <w:rFonts w:hint="eastAsia" w:ascii="仿宋" w:hAnsi="仿宋" w:eastAsia="仿宋" w:cs="仿宋"/>
          <w:color w:val="000000"/>
          <w:kern w:val="0"/>
          <w:sz w:val="31"/>
          <w:szCs w:val="31"/>
          <w:lang w:val="en-US" w:eastAsia="zh-CN" w:bidi="ar"/>
        </w:rPr>
        <w:t xml:space="preserve">万元，其中：一般公共预算财政拨款收入 </w:t>
      </w:r>
      <w:r>
        <w:rPr>
          <w:rFonts w:hint="eastAsia" w:ascii="Times New Roman" w:hAnsi="Times New Roman" w:eastAsia="宋体" w:cs="Times New Roman"/>
          <w:color w:val="000000"/>
          <w:kern w:val="0"/>
          <w:sz w:val="31"/>
          <w:szCs w:val="31"/>
          <w:lang w:val="en-US" w:eastAsia="zh-CN" w:bidi="ar"/>
        </w:rPr>
        <w:t>160.04</w:t>
      </w:r>
      <w:r>
        <w:rPr>
          <w:rFonts w:hint="eastAsia" w:ascii="仿宋" w:hAnsi="仿宋" w:eastAsia="仿宋" w:cs="仿宋"/>
          <w:color w:val="000000"/>
          <w:kern w:val="0"/>
          <w:sz w:val="31"/>
          <w:szCs w:val="31"/>
          <w:lang w:val="en-US" w:eastAsia="zh-CN" w:bidi="ar"/>
        </w:rPr>
        <w:t xml:space="preserve">万元，占 </w:t>
      </w:r>
      <w:r>
        <w:rPr>
          <w:rFonts w:hint="default" w:ascii="Times New Roman" w:hAnsi="Times New Roman" w:eastAsia="宋体" w:cs="Times New Roman"/>
          <w:color w:val="000000"/>
          <w:kern w:val="0"/>
          <w:sz w:val="31"/>
          <w:szCs w:val="31"/>
          <w:lang w:val="en-US" w:eastAsia="zh-CN" w:bidi="ar"/>
        </w:rPr>
        <w:t>100%</w:t>
      </w:r>
      <w:r>
        <w:rPr>
          <w:rFonts w:hint="eastAsia"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无其他收入。</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160.04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一般公共服务</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153.21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社会保障和就业</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卫生健康</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b/>
          <w:bCs/>
          <w:color w:val="000000"/>
          <w:sz w:val="32"/>
          <w:szCs w:val="32"/>
        </w:rPr>
        <w:t>全面实施预算项目绩效目标管理</w:t>
      </w:r>
      <w:r>
        <w:rPr>
          <w:rFonts w:hint="eastAsia" w:ascii="Times New Roman" w:hAnsi="Times New Roman" w:eastAsia="方正楷体简体" w:cs="Times New Roman"/>
          <w:b/>
          <w:bCs/>
          <w:color w:val="000000"/>
          <w:sz w:val="32"/>
          <w:szCs w:val="32"/>
          <w:lang w:eastAsia="zh-CN"/>
        </w:rPr>
        <w:t>。</w:t>
      </w:r>
      <w:r>
        <w:rPr>
          <w:rFonts w:hint="eastAsia" w:ascii="Times New Roman" w:hAnsi="Times New Roman" w:eastAsia="方正仿宋简体" w:cs="Times New Roman"/>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另一方面，推进项目支出标准体系建设。对可量化支出的项目，核定统一支出标准，推进预算编制的精细化，突出其基础支撑作用，明确单位是预算执行主体，负责实现项目绩效目标。</w:t>
      </w:r>
      <w:r>
        <w:rPr>
          <w:rFonts w:hint="eastAsia" w:ascii="Times New Roman" w:hAnsi="Times New Roman" w:eastAsia="方正仿宋简体" w:cs="Times New Roman"/>
          <w:kern w:val="2"/>
          <w:sz w:val="32"/>
          <w:szCs w:val="32"/>
          <w:lang w:val="en-US" w:eastAsia="zh-CN" w:bidi="ar-SA"/>
        </w:rPr>
        <w:t>二是</w:t>
      </w:r>
      <w:r>
        <w:rPr>
          <w:rFonts w:hint="default" w:ascii="Times New Roman" w:hAnsi="Times New Roman" w:eastAsia="方正仿宋简体" w:cs="Times New Roman"/>
          <w:kern w:val="2"/>
          <w:sz w:val="32"/>
          <w:szCs w:val="32"/>
          <w:lang w:val="en-US" w:eastAsia="zh-CN" w:bidi="ar-SA"/>
        </w:rPr>
        <w:t>完善项目绩效管理责任。财政复下达年度预算时，通过规范格式同步下达绩效目标，明确预算执行负责人。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3"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b/>
          <w:bCs/>
          <w:color w:val="000000"/>
          <w:sz w:val="32"/>
          <w:szCs w:val="32"/>
        </w:rPr>
        <w:t>积极推进项目绩效评价</w:t>
      </w:r>
      <w:r>
        <w:rPr>
          <w:rFonts w:hint="eastAsia" w:ascii="Times New Roman" w:hAnsi="Times New Roman" w:eastAsia="方正楷体简体" w:cs="Times New Roman"/>
          <w:b/>
          <w:bCs/>
          <w:color w:val="000000"/>
          <w:sz w:val="32"/>
          <w:szCs w:val="32"/>
          <w:lang w:eastAsia="zh-CN"/>
        </w:rPr>
        <w:t>。</w:t>
      </w:r>
      <w:r>
        <w:rPr>
          <w:rFonts w:hint="default" w:ascii="Times New Roman" w:hAnsi="Times New Roman" w:eastAsia="方正仿宋简体" w:cs="Times New Roman"/>
          <w:kern w:val="2"/>
          <w:sz w:val="32"/>
          <w:szCs w:val="32"/>
          <w:lang w:val="en-US" w:eastAsia="zh-CN" w:bidi="ar-SA"/>
        </w:rPr>
        <w:t>在加强预算编制环节的基础上，加强预算执行监管和执行结果评价，将财政监督渗透到预算管理的事前、事中、事后各个环节。一方面，对预算执行结果开展监督审查。结合单位决算工作，集中时间开展一次预算执行情况监督检查活动。主要内容是对照年初预算确定的项目绩效信息，重点检查资金是否符合规定支出范围；预算执行进度是否及时、合理；是否完成年初确定的预算绩效目标等。另一方面，加强财政支出绩效评价。在自我评价基础上，选择一些社会关注度高、涉及面广的项目开展再评价，并逐步扩大再评价范围和数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keepNext w:val="0"/>
        <w:keepLines w:val="0"/>
        <w:widowControl/>
        <w:suppressLineNumbers w:val="0"/>
        <w:ind w:firstLine="620" w:firstLineChars="200"/>
        <w:jc w:val="both"/>
      </w:pPr>
      <w:r>
        <w:rPr>
          <w:rFonts w:ascii="仿宋" w:hAnsi="仿宋" w:eastAsia="仿宋" w:cs="仿宋"/>
          <w:color w:val="000000"/>
          <w:kern w:val="0"/>
          <w:sz w:val="31"/>
          <w:szCs w:val="31"/>
          <w:lang w:val="en-US" w:eastAsia="zh-CN" w:bidi="ar"/>
        </w:rPr>
        <w:t xml:space="preserve">通过认真梳理团委 </w:t>
      </w:r>
      <w:r>
        <w:rPr>
          <w:rFonts w:hint="eastAsia" w:ascii="Times New Roman" w:hAnsi="Times New Roman" w:eastAsia="宋体" w:cs="Times New Roman"/>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年重点工作及项目经费需求，提供相关依据和经费预算明细，完善相关资金申报手续。待</w:t>
      </w:r>
      <w:r>
        <w:rPr>
          <w:rFonts w:hint="eastAsia" w:ascii="Times New Roman" w:hAnsi="Times New Roman" w:eastAsia="宋体" w:cs="Times New Roman"/>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年预算控制数下达后，我们对预算责任、指标、费用、定额等进行细化分解，明确绩效目标。同时按照经费管理制度，加强对我委各部门预算执行管理，及时跟进各项目资金使用情况，每季度向项目承办部门通报资金执行进度。对于执行进度缓慢或无法执行的项目预算按规定程序及时进行调整。完善项目资金使用审批手续，坚持先审批，后使用，确保专项资金专款专用。</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keepNext w:val="0"/>
        <w:keepLines w:val="0"/>
        <w:widowControl/>
        <w:suppressLineNumbers w:val="0"/>
        <w:ind w:firstLine="620" w:firstLineChars="200"/>
        <w:jc w:val="both"/>
        <w:rPr>
          <w:lang w:val="zh-CN"/>
        </w:rPr>
      </w:pPr>
      <w:r>
        <w:rPr>
          <w:rFonts w:ascii="仿宋" w:hAnsi="仿宋" w:eastAsia="仿宋" w:cs="仿宋"/>
          <w:color w:val="000000"/>
          <w:kern w:val="0"/>
          <w:sz w:val="31"/>
          <w:szCs w:val="31"/>
          <w:lang w:val="en-US" w:eastAsia="zh-CN" w:bidi="ar"/>
        </w:rPr>
        <w:t>通过绩效评价，我们认为，</w:t>
      </w:r>
      <w:r>
        <w:rPr>
          <w:rFonts w:hint="eastAsia" w:ascii="Times New Roman" w:hAnsi="Times New Roman" w:eastAsia="宋体" w:cs="Times New Roman"/>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年度部门预算具有明确的用途和目标，制定了详细的执行计划，资金到位及时并严格按照财政有关规定使用。预算决策、管理、执行等日益规范，能较好地满足工作需要，取得了良好时效效益和社会效益。</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left"/>
        <w:textAlignment w:val="auto"/>
        <w:rPr>
          <w:lang w:val="zh-CN"/>
        </w:rPr>
      </w:pPr>
      <w:r>
        <w:rPr>
          <w:rFonts w:hint="default" w:ascii="Times New Roman" w:hAnsi="Times New Roman" w:eastAsia="方正楷体简体" w:cs="Times New Roman"/>
          <w:b/>
          <w:bCs/>
          <w:sz w:val="32"/>
          <w:szCs w:val="32"/>
          <w:lang w:val="en-US" w:eastAsia="zh-CN"/>
        </w:rPr>
        <w:t>一是</w:t>
      </w:r>
      <w:r>
        <w:rPr>
          <w:rFonts w:hint="default" w:ascii="Times New Roman" w:hAnsi="Times New Roman" w:eastAsia="方正仿宋简体" w:cs="Times New Roman"/>
          <w:kern w:val="2"/>
          <w:sz w:val="32"/>
          <w:szCs w:val="32"/>
          <w:lang w:val="en-US" w:eastAsia="zh-CN" w:bidi="ar-SA"/>
        </w:rPr>
        <w:t>预算绩效管理的范围有待进一步扩大</w:t>
      </w:r>
      <w:r>
        <w:rPr>
          <w:rFonts w:hint="eastAsia" w:eastAsia="方正仿宋简体" w:cs="Times New Roman"/>
          <w:kern w:val="2"/>
          <w:sz w:val="32"/>
          <w:szCs w:val="32"/>
          <w:lang w:val="en-US" w:eastAsia="zh-CN" w:bidi="ar-SA"/>
        </w:rPr>
        <w:t>；</w:t>
      </w:r>
      <w:r>
        <w:rPr>
          <w:rFonts w:hint="default" w:ascii="Times New Roman" w:hAnsi="Times New Roman" w:eastAsia="方正楷体简体" w:cs="Times New Roman"/>
          <w:b/>
          <w:bCs/>
          <w:sz w:val="32"/>
          <w:szCs w:val="32"/>
          <w:lang w:val="en-US" w:eastAsia="zh-CN"/>
        </w:rPr>
        <w:t>二是</w:t>
      </w:r>
      <w:r>
        <w:rPr>
          <w:rFonts w:hint="default" w:ascii="Times New Roman" w:hAnsi="Times New Roman" w:eastAsia="方正仿宋简体" w:cs="Times New Roman"/>
          <w:kern w:val="2"/>
          <w:sz w:val="32"/>
          <w:szCs w:val="32"/>
          <w:lang w:val="en-US" w:eastAsia="zh-CN" w:bidi="ar-SA"/>
        </w:rPr>
        <w:t>评价指标体系需要进一步完善</w:t>
      </w:r>
      <w:r>
        <w:rPr>
          <w:rFonts w:hint="eastAsia" w:eastAsia="方正仿宋简体" w:cs="Times New Roman"/>
          <w:kern w:val="2"/>
          <w:sz w:val="32"/>
          <w:szCs w:val="32"/>
          <w:lang w:val="en-US" w:eastAsia="zh-CN" w:bidi="ar-SA"/>
        </w:rPr>
        <w:t>；</w:t>
      </w:r>
      <w:r>
        <w:rPr>
          <w:rFonts w:hint="default" w:ascii="Times New Roman" w:hAnsi="Times New Roman" w:eastAsia="方正楷体简体" w:cs="Times New Roman"/>
          <w:b/>
          <w:bCs/>
          <w:sz w:val="32"/>
          <w:szCs w:val="32"/>
          <w:lang w:val="en-US" w:eastAsia="zh-CN"/>
        </w:rPr>
        <w:t>三是</w:t>
      </w:r>
      <w:r>
        <w:rPr>
          <w:rFonts w:hint="default" w:ascii="Times New Roman" w:hAnsi="Times New Roman" w:eastAsia="方正仿宋简体" w:cs="Times New Roman"/>
          <w:kern w:val="2"/>
          <w:sz w:val="32"/>
          <w:szCs w:val="32"/>
          <w:lang w:val="en-US" w:eastAsia="zh-CN" w:bidi="ar-SA"/>
        </w:rPr>
        <w:t>工作人员业务素质有待进一步提高。</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改进建议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lang w:val="en-US" w:eastAsia="zh-CN"/>
        </w:rPr>
        <w:t>加强业务学习和廉政</w:t>
      </w:r>
      <w:r>
        <w:rPr>
          <w:rFonts w:hint="default" w:ascii="Times New Roman" w:hAnsi="Times New Roman" w:eastAsia="方正楷体简体" w:cs="Times New Roman"/>
          <w:b/>
          <w:bCs/>
          <w:sz w:val="32"/>
          <w:szCs w:val="32"/>
        </w:rPr>
        <w:t>建设</w:t>
      </w:r>
      <w:r>
        <w:rPr>
          <w:rFonts w:hint="default" w:ascii="Times New Roman" w:hAnsi="Times New Roman" w:eastAsia="方正楷体简体" w:cs="Times New Roman"/>
          <w:b/>
          <w:bCs/>
          <w:sz w:val="32"/>
          <w:szCs w:val="32"/>
          <w:lang w:eastAsia="zh-CN"/>
        </w:rPr>
        <w:t>。</w:t>
      </w:r>
      <w:r>
        <w:rPr>
          <w:rFonts w:hint="default" w:ascii="Times New Roman" w:hAnsi="Times New Roman" w:eastAsia="方正仿宋简体" w:cs="Times New Roman"/>
          <w:sz w:val="32"/>
          <w:szCs w:val="32"/>
          <w:lang w:val="en-US" w:eastAsia="zh-CN"/>
        </w:rPr>
        <w:t>拓宽知识面确保业务技能熟练,按制度和要求履行职责</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规范处理业务。加强思想政治学全面查找廉政风险</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建立健全廉政风险防控机制加强内部管的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进一步加强内部管里</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严格工作纪律</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合理分工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明确职责,建立好AB角岗位机制</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廉洁自律,全面接受监督</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不断提升人员综合素质</w:t>
      </w:r>
      <w:r>
        <w:rPr>
          <w:rFonts w:hint="eastAsia"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rPr>
        <w:t>加强预算管理。</w:t>
      </w:r>
      <w:r>
        <w:rPr>
          <w:rFonts w:hint="default" w:ascii="Times New Roman" w:hAnsi="Times New Roman" w:eastAsia="方正仿宋简体" w:cs="Times New Roman"/>
          <w:sz w:val="32"/>
          <w:szCs w:val="32"/>
          <w:lang w:val="en-US" w:eastAsia="zh-CN"/>
        </w:rPr>
        <w:t>严格执行《预算法》，注重提高预算编制及项目核算的精细化程度，同时健全项目管理制度，和长效管理机制，提高制度执行的有效性。</w:t>
      </w:r>
    </w:p>
    <w:p>
      <w:pPr>
        <w:pStyle w:val="2"/>
        <w:numPr>
          <w:ilvl w:val="0"/>
          <w:numId w:val="0"/>
        </w:numPr>
        <w:ind w:leftChars="200"/>
        <w:rPr>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青少年工作专项经费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w:t>
      </w:r>
      <w:r>
        <w:rPr>
          <w:rFonts w:hint="eastAsia" w:ascii="方正小标宋简体" w:hAnsi="宋体" w:eastAsia="方正小标宋简体"/>
          <w:color w:val="000000"/>
          <w:kern w:val="0"/>
          <w:sz w:val="44"/>
          <w:szCs w:val="44"/>
          <w:lang w:val="en-US" w:eastAsia="zh-CN"/>
        </w:rPr>
        <w:t>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keepNext w:val="0"/>
        <w:keepLines w:val="0"/>
        <w:widowControl/>
        <w:suppressLineNumbers w:val="0"/>
        <w:ind w:firstLine="620" w:firstLineChars="200"/>
        <w:jc w:val="left"/>
      </w:pPr>
      <w:r>
        <w:rPr>
          <w:rFonts w:ascii="方正仿宋简体" w:hAnsi="方正仿宋简体" w:eastAsia="方正仿宋简体" w:cs="方正仿宋简体"/>
          <w:color w:val="000000"/>
          <w:kern w:val="0"/>
          <w:sz w:val="31"/>
          <w:szCs w:val="31"/>
          <w:lang w:val="en-US" w:eastAsia="zh-CN" w:bidi="ar"/>
        </w:rPr>
        <w:t xml:space="preserve">青少年专项工作经费 </w:t>
      </w:r>
      <w:r>
        <w:rPr>
          <w:rFonts w:hint="default" w:ascii="Times New Roman" w:hAnsi="Times New Roman" w:eastAsia="宋体" w:cs="Times New Roman"/>
          <w:color w:val="000000"/>
          <w:kern w:val="0"/>
          <w:sz w:val="31"/>
          <w:szCs w:val="31"/>
          <w:lang w:val="en-US" w:eastAsia="zh-CN" w:bidi="ar"/>
        </w:rPr>
        <w:t>5.</w:t>
      </w:r>
      <w:r>
        <w:rPr>
          <w:rFonts w:hint="eastAsia" w:ascii="Times New Roman" w:hAnsi="Times New Roman" w:eastAsia="宋体" w:cs="Times New Roman"/>
          <w:color w:val="000000"/>
          <w:kern w:val="0"/>
          <w:sz w:val="31"/>
          <w:szCs w:val="31"/>
          <w:lang w:val="en-US" w:eastAsia="zh-CN" w:bidi="ar"/>
        </w:rPr>
        <w:t>00</w:t>
      </w:r>
      <w:r>
        <w:rPr>
          <w:rFonts w:hint="default" w:ascii="Times New Roman" w:hAnsi="Times New Roman" w:eastAsia="宋体" w:cs="Times New Roman"/>
          <w:color w:val="000000"/>
          <w:kern w:val="0"/>
          <w:sz w:val="31"/>
          <w:szCs w:val="31"/>
          <w:lang w:val="en-US" w:eastAsia="zh-CN" w:bidi="ar"/>
        </w:rPr>
        <w:t xml:space="preserve"> </w:t>
      </w:r>
      <w:r>
        <w:rPr>
          <w:rFonts w:hint="eastAsia" w:ascii="方正仿宋简体" w:hAnsi="方正仿宋简体" w:eastAsia="方正仿宋简体" w:cs="方正仿宋简体"/>
          <w:color w:val="000000"/>
          <w:kern w:val="0"/>
          <w:sz w:val="31"/>
          <w:szCs w:val="31"/>
          <w:lang w:val="en-US" w:eastAsia="zh-CN" w:bidi="ar"/>
        </w:rPr>
        <w:t>万元。工作经费主要用于青少年活动开展，建设童伴之家阵地及留守儿童慰问等方面。这</w:t>
      </w:r>
      <w:r>
        <w:rPr>
          <w:rFonts w:hint="default" w:ascii="Times New Roman" w:hAnsi="Times New Roman" w:eastAsia="宋体" w:cs="Times New Roman"/>
          <w:color w:val="000000"/>
          <w:kern w:val="0"/>
          <w:sz w:val="31"/>
          <w:szCs w:val="31"/>
          <w:lang w:val="en-US" w:eastAsia="zh-CN" w:bidi="ar"/>
        </w:rPr>
        <w:t>1</w:t>
      </w:r>
      <w:r>
        <w:rPr>
          <w:rFonts w:hint="eastAsia" w:ascii="方正仿宋简体" w:hAnsi="方正仿宋简体" w:eastAsia="方正仿宋简体" w:cs="方正仿宋简体"/>
          <w:color w:val="000000"/>
          <w:kern w:val="0"/>
          <w:sz w:val="31"/>
          <w:szCs w:val="31"/>
          <w:lang w:val="en-US" w:eastAsia="zh-CN" w:bidi="ar"/>
        </w:rPr>
        <w:t>个项目经费由万源市国库统一支付管理，按照项目计划安排和实际工作情况开支，做到专人负责，专款专用，经费均按万源市财政局印发的有关文件、通知精神执行。</w:t>
      </w:r>
    </w:p>
    <w:p>
      <w:pPr>
        <w:adjustRightInd w:val="0"/>
        <w:snapToGrid w:val="0"/>
        <w:spacing w:line="600" w:lineRule="exact"/>
        <w:ind w:firstLine="720"/>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本部门按要求对2021年部门整体支出开展绩效自评，从评价情况来看初步建立了较为完整的绩效评价指标体系。组织机构方面，建立了由财务室牵头，其他业务股室积极配合的工作机制，明确了各责任单位工作重点及承担的具体工作职责；规范了工作程序，明确了分阶段工作任务，强化了预算绩效在预算编制、执行中的全过程管理。</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根据预算绩效管理要求，本单位在年初预算编制阶段，组织对少年工作专项经费1个项目开展了预算事前绩效评估，对青少年工作专项经费项目编制了绩效目标，预算执行过程中，选取青少年工作专项经费项目开展绩效监控，年终执行完毕后，对青少年工作专项经费项目开展了绩效目标完成情况自评。</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lang w:val="zh-CN"/>
        </w:rPr>
      </w:pPr>
      <w:r>
        <w:rPr>
          <w:rFonts w:hint="default" w:ascii="Times New Roman" w:hAnsi="Times New Roman" w:eastAsia="方正仿宋简体" w:cs="Times New Roman"/>
          <w:color w:val="000000"/>
          <w:sz w:val="32"/>
          <w:szCs w:val="32"/>
          <w:lang w:val="en-US" w:eastAsia="zh-CN"/>
        </w:rPr>
        <w:t>青少年工作专项经费项目全年预算数5</w:t>
      </w:r>
      <w:r>
        <w:rPr>
          <w:rFonts w:hint="eastAsia" w:ascii="Times New Roman" w:hAnsi="Times New Roman" w:eastAsia="方正仿宋简体" w:cs="Times New Roman"/>
          <w:color w:val="000000"/>
          <w:sz w:val="32"/>
          <w:szCs w:val="32"/>
          <w:lang w:val="en-US" w:eastAsia="zh-CN"/>
        </w:rPr>
        <w:t>.00</w:t>
      </w:r>
      <w:r>
        <w:rPr>
          <w:rFonts w:hint="default" w:ascii="Times New Roman" w:hAnsi="Times New Roman" w:eastAsia="方正仿宋简体" w:cs="Times New Roman"/>
          <w:color w:val="000000"/>
          <w:sz w:val="32"/>
          <w:szCs w:val="32"/>
          <w:lang w:val="en-US" w:eastAsia="zh-CN"/>
        </w:rPr>
        <w:t>万元，执行数为</w:t>
      </w:r>
      <w:r>
        <w:rPr>
          <w:rFonts w:hint="eastAsia" w:ascii="Times New Roman" w:hAnsi="Times New Roman" w:eastAsia="方正仿宋简体" w:cs="Times New Roman"/>
          <w:color w:val="000000"/>
          <w:sz w:val="32"/>
          <w:szCs w:val="32"/>
          <w:lang w:val="en-US" w:eastAsia="zh-CN"/>
        </w:rPr>
        <w:t>5.00</w:t>
      </w:r>
      <w:r>
        <w:rPr>
          <w:rFonts w:hint="default" w:ascii="Times New Roman" w:hAnsi="Times New Roman" w:eastAsia="方正仿宋简体" w:cs="Times New Roman"/>
          <w:color w:val="000000"/>
          <w:sz w:val="32"/>
          <w:szCs w:val="32"/>
          <w:lang w:val="en-US" w:eastAsia="zh-CN"/>
        </w:rPr>
        <w:t>万元，完成预算的</w:t>
      </w:r>
      <w:r>
        <w:rPr>
          <w:rFonts w:hint="eastAsia" w:ascii="Times New Roman" w:hAnsi="Times New Roman" w:eastAsia="方正仿宋简体" w:cs="Times New Roman"/>
          <w:color w:val="000000"/>
          <w:sz w:val="32"/>
          <w:szCs w:val="32"/>
          <w:lang w:val="en-US" w:eastAsia="zh-CN"/>
        </w:rPr>
        <w:t>10</w:t>
      </w:r>
      <w:r>
        <w:rPr>
          <w:rFonts w:hint="default" w:ascii="Times New Roman" w:hAnsi="Times New Roman" w:eastAsia="方正仿宋简体" w:cs="Times New Roman"/>
          <w:color w:val="000000"/>
          <w:sz w:val="32"/>
          <w:szCs w:val="32"/>
          <w:lang w:val="en-US" w:eastAsia="zh-CN"/>
        </w:rPr>
        <w:t>0%。通过项目实施，保障了服务青少年的活动的开展，依托童伴之家、童心港湾、青年之家的平台开展相关活动，促进青少年的健康成长。</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2"/>
        <w:numPr>
          <w:ilvl w:val="0"/>
          <w:numId w:val="0"/>
        </w:numPr>
        <w:ind w:firstLine="600" w:firstLineChars="200"/>
        <w:rPr>
          <w:rFonts w:hint="default"/>
          <w:lang w:val="en-US"/>
        </w:rPr>
      </w:pPr>
      <w:r>
        <w:rPr>
          <w:rFonts w:hint="eastAsia"/>
          <w:lang w:val="zh-CN"/>
        </w:rPr>
        <w:t>一是成立青年之家服务阵地，组织开展青少年志愿服务活动。</w:t>
      </w:r>
      <w:r>
        <w:rPr>
          <w:rFonts w:hint="eastAsia" w:ascii="Times New Roman" w:hAnsi="Times New Roman" w:eastAsia="仿宋_GB2312" w:cs="Times New Roman"/>
          <w:kern w:val="2"/>
          <w:sz w:val="32"/>
          <w:szCs w:val="32"/>
          <w:lang w:val="en-US" w:eastAsia="zh-CN" w:bidi="ar-SA"/>
        </w:rPr>
        <w:t>联合市委宣传部、市教科局、吾乐公益组织开展“七彩假期”活动，共计有6支高校志愿服务队加入活动，服务人次共计576人，为我市留守儿童带去新的学习实践内容</w:t>
      </w:r>
      <w:r>
        <w:rPr>
          <w:rFonts w:hint="eastAsia" w:ascii="Times New Roman" w:cs="Times New Roman"/>
          <w:kern w:val="2"/>
          <w:sz w:val="32"/>
          <w:szCs w:val="32"/>
          <w:lang w:val="en-US" w:eastAsia="zh-CN" w:bidi="ar-SA"/>
        </w:rPr>
        <w:t>。二是专注青少年健康成长，切实加强青少年维权工作稳定性开展。</w:t>
      </w:r>
      <w:r>
        <w:rPr>
          <w:rFonts w:hint="eastAsia" w:ascii="Times New Roman" w:hAnsi="Times New Roman" w:eastAsia="仿宋_GB2312" w:cs="Times New Roman"/>
          <w:kern w:val="2"/>
          <w:sz w:val="32"/>
          <w:szCs w:val="32"/>
          <w:lang w:val="en-US" w:eastAsia="zh-CN" w:bidi="ar-SA"/>
        </w:rPr>
        <w:t>走访慰问固军镇、旧院镇、蜂桶乡、永宁镇、白果镇、青花镇、大竹镇、沙滩镇、竹峪镇9个童伴之家点位，利用慰问活动积极宣传禁毒及未成年人预防犯罪知识，</w:t>
      </w:r>
      <w:r>
        <w:rPr>
          <w:rFonts w:hint="eastAsia" w:ascii="Times New Roman" w:cs="Times New Roman"/>
          <w:kern w:val="2"/>
          <w:sz w:val="32"/>
          <w:szCs w:val="32"/>
          <w:lang w:val="en-US" w:eastAsia="zh-CN" w:bidi="ar-SA"/>
        </w:rPr>
        <w:t>开展知法懂法宣传会、座谈会25场，</w:t>
      </w:r>
      <w:r>
        <w:rPr>
          <w:rFonts w:hint="eastAsia" w:ascii="Times New Roman" w:hAnsi="Times New Roman" w:eastAsia="仿宋_GB2312" w:cs="Times New Roman"/>
          <w:kern w:val="2"/>
          <w:sz w:val="32"/>
          <w:szCs w:val="32"/>
          <w:lang w:val="en-US" w:eastAsia="zh-CN" w:bidi="ar-SA"/>
        </w:rPr>
        <w:t>共计慰问服务留守儿童265人次。</w:t>
      </w:r>
      <w:r>
        <w:rPr>
          <w:rFonts w:hint="eastAsia" w:ascii="Times New Roman" w:cs="Times New Roman"/>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对全市</w:t>
      </w:r>
      <w:r>
        <w:rPr>
          <w:rFonts w:hint="default" w:ascii="Times New Roman" w:hAnsi="Times New Roman" w:eastAsia="仿宋_GB2312" w:cs="Times New Roman"/>
          <w:kern w:val="2"/>
          <w:sz w:val="32"/>
          <w:szCs w:val="32"/>
          <w:lang w:val="en-US" w:eastAsia="zh-CN" w:bidi="ar-SA"/>
        </w:rPr>
        <w:t>31个童伴之家</w:t>
      </w:r>
      <w:r>
        <w:rPr>
          <w:rFonts w:hint="eastAsia" w:ascii="Times New Roman" w:hAnsi="Times New Roman" w:eastAsia="仿宋_GB2312" w:cs="Times New Roman"/>
          <w:kern w:val="2"/>
          <w:sz w:val="32"/>
          <w:szCs w:val="32"/>
          <w:lang w:val="en-US" w:eastAsia="zh-CN" w:bidi="ar-SA"/>
        </w:rPr>
        <w:t>、10个</w:t>
      </w:r>
      <w:r>
        <w:rPr>
          <w:rFonts w:hint="default" w:ascii="Times New Roman" w:hAnsi="Times New Roman" w:eastAsia="仿宋_GB2312" w:cs="Times New Roman"/>
          <w:kern w:val="2"/>
          <w:sz w:val="32"/>
          <w:szCs w:val="32"/>
          <w:lang w:val="en-US" w:eastAsia="zh-CN" w:bidi="ar-SA"/>
        </w:rPr>
        <w:t>童心港湾</w:t>
      </w:r>
      <w:r>
        <w:rPr>
          <w:rFonts w:hint="eastAsia" w:ascii="Times New Roman" w:hAnsi="Times New Roman" w:eastAsia="仿宋_GB2312" w:cs="Times New Roman"/>
          <w:kern w:val="2"/>
          <w:sz w:val="32"/>
          <w:szCs w:val="32"/>
          <w:lang w:val="en-US" w:eastAsia="zh-CN" w:bidi="ar-SA"/>
        </w:rPr>
        <w:t>点位进行完善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对配备的31名童伴妈妈进行清理核查， 对不胜任、不履职的及时进行撤换</w:t>
      </w:r>
      <w:r>
        <w:rPr>
          <w:rFonts w:hint="eastAsia" w:ascii="Times New Roman" w:cs="Times New Roman"/>
          <w:kern w:val="2"/>
          <w:sz w:val="32"/>
          <w:szCs w:val="32"/>
          <w:lang w:val="en-US" w:eastAsia="zh-CN" w:bidi="ar-SA"/>
        </w:rPr>
        <w:t>。实现社会满意度达98%。</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keepNext w:val="0"/>
        <w:keepLines w:val="0"/>
        <w:widowControl/>
        <w:suppressLineNumbers w:val="0"/>
        <w:jc w:val="left"/>
      </w:pPr>
      <w:r>
        <w:rPr>
          <w:rFonts w:ascii="方正仿宋简体" w:hAnsi="方正仿宋简体" w:eastAsia="方正仿宋简体" w:cs="方正仿宋简体"/>
          <w:color w:val="000000"/>
          <w:kern w:val="0"/>
          <w:sz w:val="31"/>
          <w:szCs w:val="31"/>
          <w:lang w:val="en-US" w:eastAsia="zh-CN" w:bidi="ar"/>
        </w:rPr>
        <w:t xml:space="preserve">截止报告期末，项目共支出经费 </w:t>
      </w:r>
      <w:r>
        <w:rPr>
          <w:rFonts w:hint="default" w:ascii="Times New Roman" w:hAnsi="Times New Roman" w:eastAsia="宋体" w:cs="Times New Roman"/>
          <w:color w:val="000000"/>
          <w:kern w:val="0"/>
          <w:sz w:val="31"/>
          <w:szCs w:val="31"/>
          <w:lang w:val="en-US" w:eastAsia="zh-CN" w:bidi="ar"/>
        </w:rPr>
        <w:t>5.</w:t>
      </w:r>
      <w:r>
        <w:rPr>
          <w:rFonts w:hint="eastAsia" w:ascii="Times New Roman" w:hAnsi="Times New Roman" w:eastAsia="宋体" w:cs="Times New Roman"/>
          <w:color w:val="000000"/>
          <w:kern w:val="0"/>
          <w:sz w:val="31"/>
          <w:szCs w:val="31"/>
          <w:lang w:val="en-US" w:eastAsia="zh-CN" w:bidi="ar"/>
        </w:rPr>
        <w:t>00</w:t>
      </w:r>
      <w:r>
        <w:rPr>
          <w:rFonts w:hint="eastAsia" w:ascii="方正仿宋简体" w:hAnsi="方正仿宋简体" w:eastAsia="方正仿宋简体" w:cs="方正仿宋简体"/>
          <w:color w:val="000000"/>
          <w:kern w:val="0"/>
          <w:sz w:val="31"/>
          <w:szCs w:val="31"/>
          <w:lang w:val="en-US" w:eastAsia="zh-CN" w:bidi="ar"/>
        </w:rPr>
        <w:t>万元，主要用于保障青少年开展活动，建设童伴之家（童心港湾）阵地及留守儿童慰问等方面。该项目经费由万源市国库统一支付管理，按照项目计划安排和实际工作情况开支，做到专人负责，专款专用，经费均按万源市财政局印发的有关文件、通知精神执行。我委按照项目完成情况和社会满意度进行项目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widowControl/>
        <w:suppressLineNumbers w:val="0"/>
        <w:ind w:firstLine="620" w:firstLineChars="200"/>
        <w:jc w:val="left"/>
        <w:rPr>
          <w:rFonts w:ascii="仿宋_GB2312" w:hAnsi="宋体" w:eastAsia="仿宋_GB2312"/>
          <w:sz w:val="32"/>
          <w:szCs w:val="32"/>
          <w:lang w:val="zh-CN"/>
        </w:rPr>
      </w:pPr>
      <w:r>
        <w:rPr>
          <w:rFonts w:ascii="仿宋" w:hAnsi="仿宋" w:eastAsia="仿宋" w:cs="仿宋"/>
          <w:color w:val="000000"/>
          <w:kern w:val="0"/>
          <w:sz w:val="31"/>
          <w:szCs w:val="31"/>
          <w:lang w:val="en-US" w:eastAsia="zh-CN" w:bidi="ar"/>
        </w:rPr>
        <w:t xml:space="preserve">通过认真梳理团委 </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年重点工作及项目经费需求，提供相关依据和经费预算明细，完善相关资金申报手续。待</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年预算控制数下达后，我们对预算责任、指标、费用、定额等进行细化分解，明确项目绩效目标。同时按照经费管理制度，加强对我委各部门预算执行管理，及时跟进各项目</w:t>
      </w:r>
      <w:r>
        <w:rPr>
          <w:rFonts w:ascii="仿宋" w:hAnsi="仿宋" w:eastAsia="仿宋" w:cs="仿宋"/>
          <w:color w:val="000000"/>
          <w:kern w:val="0"/>
          <w:sz w:val="31"/>
          <w:szCs w:val="31"/>
          <w:lang w:val="en-US" w:eastAsia="zh-CN" w:bidi="ar"/>
        </w:rPr>
        <w:t>资金使用情况，每季度向项目承办部门通报资金执行进度。</w:t>
      </w:r>
      <w:r>
        <w:rPr>
          <w:rFonts w:hint="eastAsia" w:ascii="仿宋" w:hAnsi="仿宋" w:eastAsia="仿宋" w:cs="仿宋"/>
          <w:color w:val="000000"/>
          <w:kern w:val="0"/>
          <w:sz w:val="31"/>
          <w:szCs w:val="31"/>
          <w:lang w:val="en-US" w:eastAsia="zh-CN" w:bidi="ar"/>
        </w:rPr>
        <w:t>对于执行进度缓慢或无法执行的项目预算按规定程序及时进行调整。完善项目资金使用审批手续，坚持先审批，后使用，确保专项资金专款专用。按照项目计划安排和实际工作情况开支，做到专人负责，专款专用，经费均按万源市财政局印发的有关文件、通知精神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待</w:t>
      </w:r>
      <w:r>
        <w:rPr>
          <w:rFonts w:hint="default" w:ascii="Times New Roman" w:hAnsi="Times New Roman" w:eastAsia="宋体" w:cs="Times New Roman"/>
          <w:color w:val="000000"/>
          <w:kern w:val="0"/>
          <w:sz w:val="31"/>
          <w:szCs w:val="31"/>
          <w:lang w:val="en-US" w:eastAsia="zh-CN" w:bidi="ar"/>
        </w:rPr>
        <w:t>202</w:t>
      </w:r>
      <w:r>
        <w:rPr>
          <w:rFonts w:hint="eastAsia" w:cs="Times New Roman"/>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年预算控制数下达后，我们对预算责任、指标、费用、定额等进行细化分解，明确项目绩效目标。同时按照经费管理制度，加强对我委各部门预算执行管理，及时跟进项目资金使用情况，每季度向项目承办部门通报资金执行进度。对于执行进度缓慢或无法执行的项目预算按规定程序及时调整。完善项目资金使用审批手续，坚持先审批，后使用，确保专项资金专款专用。按照项目计划安排和实际工作情况开支，做到专人负责，专款专用，经费均按万源市财政局印发的有关文件、通知精神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我委实施该项目财务管理制度健全，严格执行财务管理</w:t>
      </w:r>
      <w:r>
        <w:rPr>
          <w:rFonts w:hint="eastAsia" w:ascii="仿宋" w:hAnsi="仿宋" w:eastAsia="仿宋" w:cs="仿宋"/>
          <w:color w:val="000000"/>
          <w:kern w:val="0"/>
          <w:sz w:val="31"/>
          <w:szCs w:val="31"/>
          <w:lang w:val="en-US" w:eastAsia="zh-CN" w:bidi="ar"/>
        </w:rPr>
        <w:t>制度，及时账务处理是及时，规范会计核算。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2"/>
        <w:numPr>
          <w:ilvl w:val="0"/>
          <w:numId w:val="0"/>
        </w:numPr>
        <w:ind w:firstLine="620" w:firstLineChars="200"/>
      </w:pPr>
      <w:r>
        <w:rPr>
          <w:rFonts w:ascii="仿宋" w:hAnsi="仿宋" w:eastAsia="仿宋" w:cs="仿宋"/>
          <w:color w:val="000000"/>
          <w:kern w:val="0"/>
          <w:sz w:val="31"/>
          <w:szCs w:val="31"/>
          <w:lang w:val="en-US" w:eastAsia="zh-CN" w:bidi="ar"/>
        </w:rPr>
        <w:t>我委实行项目负责人制度，确定项目负责人，并配有管</w:t>
      </w:r>
      <w:r>
        <w:rPr>
          <w:rFonts w:hint="eastAsia" w:ascii="仿宋" w:hAnsi="仿宋" w:eastAsia="仿宋" w:cs="仿宋"/>
          <w:color w:val="000000"/>
          <w:kern w:val="0"/>
          <w:sz w:val="31"/>
          <w:szCs w:val="31"/>
          <w:lang w:val="en-US" w:eastAsia="zh-CN" w:bidi="ar"/>
        </w:rPr>
        <w:t>理人员，制定项目管理制度。</w:t>
      </w:r>
      <w:r>
        <w:rPr>
          <w:rFonts w:hint="eastAsia"/>
          <w:lang w:val="zh-CN"/>
        </w:rPr>
        <w:t>成立青年之家服务阵地，组织开展青少年志愿服务活动。</w:t>
      </w:r>
      <w:r>
        <w:rPr>
          <w:rFonts w:hint="eastAsia" w:ascii="Times New Roman" w:hAnsi="Times New Roman" w:eastAsia="仿宋_GB2312" w:cs="Times New Roman"/>
          <w:kern w:val="2"/>
          <w:sz w:val="32"/>
          <w:szCs w:val="32"/>
          <w:lang w:val="en-US" w:eastAsia="zh-CN" w:bidi="ar-SA"/>
        </w:rPr>
        <w:t>联合市委宣传部、市教科局、吾乐公益组织开展“七彩假期”活动，共计有6支高校志愿服务队加入活动，服务人次共计576人，为我市留守儿童带去新的学习实践内容</w:t>
      </w:r>
      <w:r>
        <w:rPr>
          <w:rFonts w:hint="eastAsia" w:ascii="Times New Roman" w:cs="Times New Roman"/>
          <w:kern w:val="2"/>
          <w:sz w:val="32"/>
          <w:szCs w:val="32"/>
          <w:lang w:val="en-US" w:eastAsia="zh-CN" w:bidi="ar-SA"/>
        </w:rPr>
        <w:t>。二是专注青少年健康成长，切实加强青少年维权工作稳定性开展。</w:t>
      </w:r>
      <w:r>
        <w:rPr>
          <w:rFonts w:hint="eastAsia" w:ascii="Times New Roman" w:hAnsi="Times New Roman" w:eastAsia="仿宋_GB2312" w:cs="Times New Roman"/>
          <w:kern w:val="2"/>
          <w:sz w:val="32"/>
          <w:szCs w:val="32"/>
          <w:lang w:val="en-US" w:eastAsia="zh-CN" w:bidi="ar-SA"/>
        </w:rPr>
        <w:t>走访慰问固军镇、旧院镇、蜂桶乡、永宁镇、白果镇、青花镇、大竹镇、沙滩镇、竹峪镇9个童伴之家点位，利用慰问活动积极宣传禁毒及未成年人预防犯罪知识，</w:t>
      </w:r>
      <w:r>
        <w:rPr>
          <w:rFonts w:hint="eastAsia" w:ascii="Times New Roman" w:cs="Times New Roman"/>
          <w:kern w:val="2"/>
          <w:sz w:val="32"/>
          <w:szCs w:val="32"/>
          <w:lang w:val="en-US" w:eastAsia="zh-CN" w:bidi="ar-SA"/>
        </w:rPr>
        <w:t>开展知法懂法宣传会、座谈会25场，</w:t>
      </w:r>
      <w:r>
        <w:rPr>
          <w:rFonts w:hint="eastAsia" w:ascii="Times New Roman" w:hAnsi="Times New Roman" w:eastAsia="仿宋_GB2312" w:cs="Times New Roman"/>
          <w:kern w:val="2"/>
          <w:sz w:val="32"/>
          <w:szCs w:val="32"/>
          <w:lang w:val="en-US" w:eastAsia="zh-CN" w:bidi="ar-SA"/>
        </w:rPr>
        <w:t>共计慰问服务留守儿童265人次。</w:t>
      </w:r>
      <w:r>
        <w:rPr>
          <w:rFonts w:hint="eastAsia" w:ascii="Times New Roman" w:cs="Times New Roman"/>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对全市</w:t>
      </w:r>
      <w:r>
        <w:rPr>
          <w:rFonts w:hint="default" w:ascii="Times New Roman" w:hAnsi="Times New Roman" w:eastAsia="仿宋_GB2312" w:cs="Times New Roman"/>
          <w:kern w:val="2"/>
          <w:sz w:val="32"/>
          <w:szCs w:val="32"/>
          <w:lang w:val="en-US" w:eastAsia="zh-CN" w:bidi="ar-SA"/>
        </w:rPr>
        <w:t>31个童伴之家</w:t>
      </w:r>
      <w:r>
        <w:rPr>
          <w:rFonts w:hint="eastAsia" w:ascii="Times New Roman" w:hAnsi="Times New Roman" w:eastAsia="仿宋_GB2312" w:cs="Times New Roman"/>
          <w:kern w:val="2"/>
          <w:sz w:val="32"/>
          <w:szCs w:val="32"/>
          <w:lang w:val="en-US" w:eastAsia="zh-CN" w:bidi="ar-SA"/>
        </w:rPr>
        <w:t>、10个</w:t>
      </w:r>
      <w:r>
        <w:rPr>
          <w:rFonts w:hint="default" w:ascii="Times New Roman" w:hAnsi="Times New Roman" w:eastAsia="仿宋_GB2312" w:cs="Times New Roman"/>
          <w:kern w:val="2"/>
          <w:sz w:val="32"/>
          <w:szCs w:val="32"/>
          <w:lang w:val="en-US" w:eastAsia="zh-CN" w:bidi="ar-SA"/>
        </w:rPr>
        <w:t>童心港湾</w:t>
      </w:r>
      <w:r>
        <w:rPr>
          <w:rFonts w:hint="eastAsia" w:ascii="Times New Roman" w:hAnsi="Times New Roman" w:eastAsia="仿宋_GB2312" w:cs="Times New Roman"/>
          <w:kern w:val="2"/>
          <w:sz w:val="32"/>
          <w:szCs w:val="32"/>
          <w:lang w:val="en-US" w:eastAsia="zh-CN" w:bidi="ar-SA"/>
        </w:rPr>
        <w:t>点位进行完善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对配备的31名童伴妈妈进行清理核查， 对不胜任、不履职的及时进行撤换</w:t>
      </w:r>
      <w:r>
        <w:rPr>
          <w:rFonts w:hint="eastAsia" w:ascii="Times New Roman" w:cs="Times New Roman"/>
          <w:kern w:val="2"/>
          <w:sz w:val="32"/>
          <w:szCs w:val="32"/>
          <w:lang w:val="en-US" w:eastAsia="zh-CN" w:bidi="ar-SA"/>
        </w:rPr>
        <w:t>。实现社会满意度达98%。</w:t>
      </w:r>
    </w:p>
    <w:p>
      <w:pPr>
        <w:keepNext w:val="0"/>
        <w:keepLines w:val="0"/>
        <w:widowControl/>
        <w:suppressLineNumbers w:val="0"/>
        <w:ind w:firstLine="643" w:firstLineChars="200"/>
        <w:jc w:val="left"/>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ascii="仿宋" w:hAnsi="仿宋" w:eastAsia="仿宋" w:cs="仿宋"/>
          <w:color w:val="000000"/>
          <w:kern w:val="0"/>
          <w:sz w:val="31"/>
          <w:szCs w:val="31"/>
          <w:lang w:val="en-US" w:eastAsia="zh-CN" w:bidi="ar"/>
        </w:rPr>
        <w:t>项目管理员制定项目</w:t>
      </w:r>
      <w:r>
        <w:rPr>
          <w:rFonts w:hint="eastAsia" w:ascii="仿宋" w:hAnsi="仿宋" w:eastAsia="仿宋" w:cs="仿宋"/>
          <w:color w:val="000000"/>
          <w:kern w:val="0"/>
          <w:sz w:val="31"/>
          <w:szCs w:val="31"/>
          <w:lang w:val="en-US" w:eastAsia="zh-CN" w:bidi="ar"/>
        </w:rPr>
        <w:t>计划。确定了执行、监控和结束项目的方式和方法，包括项目需要执行的过程、里程碑和段划分等全局性内容。对项目进度管理、项目资源管理、项目费用管理、项目风险管理、项目质量管理等管理思路和方法进行阐述。项目管理计划包括项目质量管理计划、项目风险管理计划、项目集成管理计划、项目进度</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费用</w:t>
      </w:r>
      <w:r>
        <w:rPr>
          <w:rFonts w:hint="default" w:ascii="Times New Roman" w:hAnsi="Times New Roman" w:eastAsia="宋体" w:cs="Times New Roman"/>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资源等监控管理计划、项目变更管理计划等。</w:t>
      </w:r>
    </w:p>
    <w:p>
      <w:pPr>
        <w:keepNext w:val="0"/>
        <w:keepLines w:val="0"/>
        <w:widowControl/>
        <w:suppressLineNumbers w:val="0"/>
        <w:ind w:firstLine="643" w:firstLineChars="200"/>
        <w:jc w:val="left"/>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ascii="仿宋" w:hAnsi="仿宋" w:eastAsia="仿宋" w:cs="仿宋"/>
          <w:color w:val="000000"/>
          <w:kern w:val="0"/>
          <w:sz w:val="31"/>
          <w:szCs w:val="31"/>
          <w:lang w:val="en-US" w:eastAsia="zh-CN" w:bidi="ar"/>
        </w:rPr>
        <w:t>作为青少年工作的组织单位，我</w:t>
      </w:r>
      <w:r>
        <w:rPr>
          <w:rFonts w:hint="eastAsia" w:ascii="仿宋" w:hAnsi="仿宋" w:eastAsia="仿宋" w:cs="仿宋"/>
          <w:color w:val="000000"/>
          <w:kern w:val="0"/>
          <w:sz w:val="31"/>
          <w:szCs w:val="31"/>
          <w:lang w:val="en-US" w:eastAsia="zh-CN" w:bidi="ar"/>
        </w:rPr>
        <w:t>委积极向当地财政争取相应配套资金，是保护和促进青少年的健康成长，勇于开创青少年工作新局面的重要保障。因此，在绩效目标设置方面，通过对预算责任、指标、费用、定额等进行细化分解，明确绩效目标。从时间要求、质量、规模等方面加强目标绩效的管理，从数量、时效、效益等方面细化量化绩效目标完成情况，从满意度指标评价绩效目标得分。</w:t>
      </w:r>
    </w:p>
    <w:p>
      <w:pPr>
        <w:keepNext w:val="0"/>
        <w:keepLines w:val="0"/>
        <w:widowControl/>
        <w:suppressLineNumbers w:val="0"/>
        <w:ind w:firstLine="643" w:firstLineChars="200"/>
        <w:jc w:val="left"/>
        <w:rPr>
          <w:rFonts w:hint="default"/>
          <w:lang w:val="en-US"/>
        </w:rPr>
      </w:pPr>
      <w:r>
        <w:rPr>
          <w:rFonts w:hint="eastAsia" w:ascii="楷体_GB2312" w:hAnsi="宋体" w:eastAsia="楷体_GB2312"/>
          <w:b/>
          <w:sz w:val="32"/>
          <w:szCs w:val="32"/>
          <w:lang w:val="zh-CN"/>
        </w:rPr>
        <w:t>（三）项目监管情况。</w:t>
      </w:r>
      <w:r>
        <w:rPr>
          <w:rFonts w:ascii="仿宋" w:hAnsi="仿宋" w:eastAsia="仿宋" w:cs="仿宋"/>
          <w:color w:val="000000"/>
          <w:kern w:val="0"/>
          <w:sz w:val="31"/>
          <w:szCs w:val="31"/>
          <w:lang w:val="en-US" w:eastAsia="zh-CN" w:bidi="ar"/>
        </w:rPr>
        <w:t>我委实行项目负责人制度，确定</w:t>
      </w:r>
      <w:r>
        <w:rPr>
          <w:rFonts w:hint="eastAsia" w:ascii="仿宋" w:hAnsi="仿宋" w:eastAsia="仿宋" w:cs="仿宋"/>
          <w:color w:val="000000"/>
          <w:kern w:val="0"/>
          <w:sz w:val="31"/>
          <w:szCs w:val="31"/>
          <w:lang w:val="en-US" w:eastAsia="zh-CN" w:bidi="ar"/>
        </w:rPr>
        <w:t>项目负责人，并配有管理人员。制定项目管理制度，严格按照制度执行，保保障项目有效完成。在各乡镇成立青年之家服务阵地，组织开展青少年志愿服务活动。保障青少年维权工作稳定性开展，专注青少年健康成长。开展青年联谊，搭建沟通交流平台。实现社会满意度98%。</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numPr>
          <w:ilvl w:val="0"/>
          <w:numId w:val="0"/>
        </w:numPr>
        <w:ind w:firstLine="600" w:firstLineChars="200"/>
        <w:rPr>
          <w:rFonts w:hint="default"/>
          <w:lang w:val="en-US"/>
        </w:rPr>
      </w:pPr>
      <w:r>
        <w:rPr>
          <w:rFonts w:hint="eastAsia"/>
          <w:lang w:val="zh-CN"/>
        </w:rPr>
        <w:t>一是成立青年之家服务阵地，组织开展青少年志愿服务活动。</w:t>
      </w:r>
      <w:r>
        <w:rPr>
          <w:rFonts w:hint="eastAsia" w:ascii="Times New Roman" w:hAnsi="Times New Roman" w:eastAsia="仿宋_GB2312" w:cs="Times New Roman"/>
          <w:kern w:val="2"/>
          <w:sz w:val="32"/>
          <w:szCs w:val="32"/>
          <w:lang w:val="en-US" w:eastAsia="zh-CN" w:bidi="ar-SA"/>
        </w:rPr>
        <w:t>联合市委宣传部、市教科局、吾乐公益组织开展“七彩假期”活动，共计有6支高校志愿服务队加入活动，服务人次共计576人，为我市留守儿童带去新的学习实践内容</w:t>
      </w:r>
      <w:r>
        <w:rPr>
          <w:rFonts w:hint="eastAsia" w:ascii="Times New Roman" w:cs="Times New Roman"/>
          <w:kern w:val="2"/>
          <w:sz w:val="32"/>
          <w:szCs w:val="32"/>
          <w:lang w:val="en-US" w:eastAsia="zh-CN" w:bidi="ar-SA"/>
        </w:rPr>
        <w:t>。二是专注青少年健康成长，切实加强青少年维权工作稳定性开展。</w:t>
      </w:r>
      <w:r>
        <w:rPr>
          <w:rFonts w:hint="eastAsia" w:ascii="Times New Roman" w:hAnsi="Times New Roman" w:eastAsia="仿宋_GB2312" w:cs="Times New Roman"/>
          <w:kern w:val="2"/>
          <w:sz w:val="32"/>
          <w:szCs w:val="32"/>
          <w:lang w:val="en-US" w:eastAsia="zh-CN" w:bidi="ar-SA"/>
        </w:rPr>
        <w:t>走访慰问固军镇、旧院镇、蜂桶乡、永宁镇、白果镇、青花镇、大竹镇、沙滩镇、竹峪镇9个童伴之家点位，利用慰问活动积极宣传禁毒及未成年人预防犯罪知识，</w:t>
      </w:r>
      <w:r>
        <w:rPr>
          <w:rFonts w:hint="eastAsia" w:ascii="Times New Roman" w:cs="Times New Roman"/>
          <w:kern w:val="2"/>
          <w:sz w:val="32"/>
          <w:szCs w:val="32"/>
          <w:lang w:val="en-US" w:eastAsia="zh-CN" w:bidi="ar-SA"/>
        </w:rPr>
        <w:t>开展知法懂法宣传会、座谈会25场，</w:t>
      </w:r>
      <w:r>
        <w:rPr>
          <w:rFonts w:hint="eastAsia" w:ascii="Times New Roman" w:hAnsi="Times New Roman" w:eastAsia="仿宋_GB2312" w:cs="Times New Roman"/>
          <w:kern w:val="2"/>
          <w:sz w:val="32"/>
          <w:szCs w:val="32"/>
          <w:lang w:val="en-US" w:eastAsia="zh-CN" w:bidi="ar-SA"/>
        </w:rPr>
        <w:t>共计慰问服务留守儿童265人次。</w:t>
      </w:r>
      <w:r>
        <w:rPr>
          <w:rFonts w:hint="eastAsia" w:ascii="Times New Roman" w:cs="Times New Roman"/>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对全市</w:t>
      </w:r>
      <w:r>
        <w:rPr>
          <w:rFonts w:hint="default" w:ascii="Times New Roman" w:hAnsi="Times New Roman" w:eastAsia="仿宋_GB2312" w:cs="Times New Roman"/>
          <w:kern w:val="2"/>
          <w:sz w:val="32"/>
          <w:szCs w:val="32"/>
          <w:lang w:val="en-US" w:eastAsia="zh-CN" w:bidi="ar-SA"/>
        </w:rPr>
        <w:t>31个童伴之家</w:t>
      </w:r>
      <w:r>
        <w:rPr>
          <w:rFonts w:hint="eastAsia" w:ascii="Times New Roman" w:hAnsi="Times New Roman" w:eastAsia="仿宋_GB2312" w:cs="Times New Roman"/>
          <w:kern w:val="2"/>
          <w:sz w:val="32"/>
          <w:szCs w:val="32"/>
          <w:lang w:val="en-US" w:eastAsia="zh-CN" w:bidi="ar-SA"/>
        </w:rPr>
        <w:t>、10个</w:t>
      </w:r>
      <w:r>
        <w:rPr>
          <w:rFonts w:hint="default" w:ascii="Times New Roman" w:hAnsi="Times New Roman" w:eastAsia="仿宋_GB2312" w:cs="Times New Roman"/>
          <w:kern w:val="2"/>
          <w:sz w:val="32"/>
          <w:szCs w:val="32"/>
          <w:lang w:val="en-US" w:eastAsia="zh-CN" w:bidi="ar-SA"/>
        </w:rPr>
        <w:t>童心港湾</w:t>
      </w:r>
      <w:r>
        <w:rPr>
          <w:rFonts w:hint="eastAsia" w:ascii="Times New Roman" w:hAnsi="Times New Roman" w:eastAsia="仿宋_GB2312" w:cs="Times New Roman"/>
          <w:kern w:val="2"/>
          <w:sz w:val="32"/>
          <w:szCs w:val="32"/>
          <w:lang w:val="en-US" w:eastAsia="zh-CN" w:bidi="ar-SA"/>
        </w:rPr>
        <w:t>点位进行完善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对配备的31名童伴妈妈进行清理核查， 对不胜任、不履职的及时进行撤换</w:t>
      </w:r>
      <w:r>
        <w:rPr>
          <w:rFonts w:hint="eastAsia" w:ascii="Times New Roman" w:cs="Times New Roman"/>
          <w:kern w:val="2"/>
          <w:sz w:val="32"/>
          <w:szCs w:val="32"/>
          <w:lang w:val="en-US" w:eastAsia="zh-CN" w:bidi="ar-SA"/>
        </w:rPr>
        <w:t>。实现社会满意度达98%。</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keepNext w:val="0"/>
        <w:keepLines w:val="0"/>
        <w:widowControl/>
        <w:suppressLineNumbers w:val="0"/>
        <w:ind w:firstLine="620" w:firstLineChars="200"/>
        <w:jc w:val="left"/>
      </w:pPr>
      <w:r>
        <w:rPr>
          <w:rFonts w:ascii="方正仿宋简体" w:hAnsi="方正仿宋简体" w:eastAsia="方正仿宋简体" w:cs="方正仿宋简体"/>
          <w:color w:val="000000"/>
          <w:kern w:val="0"/>
          <w:sz w:val="31"/>
          <w:szCs w:val="31"/>
          <w:lang w:val="en-US" w:eastAsia="zh-CN" w:bidi="ar"/>
        </w:rPr>
        <w:t>这一系列的举措在青年群体中获得广泛好评，在对社会</w:t>
      </w:r>
      <w:r>
        <w:rPr>
          <w:rFonts w:hint="eastAsia" w:ascii="方正仿宋简体" w:hAnsi="方正仿宋简体" w:eastAsia="方正仿宋简体" w:cs="方正仿宋简体"/>
          <w:color w:val="000000"/>
          <w:kern w:val="0"/>
          <w:sz w:val="31"/>
          <w:szCs w:val="31"/>
          <w:lang w:val="en-US" w:eastAsia="zh-CN" w:bidi="ar"/>
        </w:rPr>
        <w:t xml:space="preserve">满意度测评时，获得一致认可，满意度达到 </w:t>
      </w:r>
      <w:r>
        <w:rPr>
          <w:rFonts w:hint="default" w:ascii="Times New Roman" w:hAnsi="Times New Roman" w:eastAsia="宋体" w:cs="Times New Roman"/>
          <w:color w:val="000000"/>
          <w:kern w:val="0"/>
          <w:sz w:val="31"/>
          <w:szCs w:val="31"/>
          <w:lang w:val="en-US" w:eastAsia="zh-CN" w:bidi="ar"/>
        </w:rPr>
        <w:t>9</w:t>
      </w:r>
      <w:r>
        <w:rPr>
          <w:rFonts w:hint="eastAsia" w:ascii="Times New Roman" w:hAnsi="Times New Roman" w:eastAsia="宋体" w:cs="Times New Roman"/>
          <w:color w:val="000000"/>
          <w:kern w:val="0"/>
          <w:sz w:val="31"/>
          <w:szCs w:val="31"/>
          <w:lang w:val="en-US" w:eastAsia="zh-CN" w:bidi="ar"/>
        </w:rPr>
        <w:t>8</w:t>
      </w:r>
      <w:r>
        <w:rPr>
          <w:rFonts w:hint="default" w:ascii="Times New Roman" w:hAnsi="Times New Roman" w:eastAsia="宋体" w:cs="Times New Roman"/>
          <w:color w:val="000000"/>
          <w:kern w:val="0"/>
          <w:sz w:val="31"/>
          <w:szCs w:val="31"/>
          <w:lang w:val="en-US" w:eastAsia="zh-CN" w:bidi="ar"/>
        </w:rPr>
        <w:t>%</w:t>
      </w:r>
      <w:r>
        <w:rPr>
          <w:rFonts w:hint="eastAsia" w:ascii="方正仿宋简体" w:hAnsi="方正仿宋简体" w:eastAsia="方正仿宋简体" w:cs="方正仿宋简体"/>
          <w:color w:val="000000"/>
          <w:kern w:val="0"/>
          <w:sz w:val="31"/>
          <w:szCs w:val="31"/>
          <w:lang w:val="en-US" w:eastAsia="zh-CN" w:bidi="ar"/>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keepNext w:val="0"/>
        <w:keepLines w:val="0"/>
        <w:widowControl/>
        <w:suppressLineNumbers w:val="0"/>
        <w:ind w:firstLine="620" w:firstLineChars="200"/>
        <w:jc w:val="left"/>
      </w:pPr>
      <w:r>
        <w:rPr>
          <w:rFonts w:ascii="方正仿宋简体" w:hAnsi="方正仿宋简体" w:eastAsia="方正仿宋简体" w:cs="方正仿宋简体"/>
          <w:color w:val="000000"/>
          <w:kern w:val="0"/>
          <w:sz w:val="31"/>
          <w:szCs w:val="31"/>
          <w:lang w:val="en-US" w:eastAsia="zh-CN" w:bidi="ar"/>
        </w:rPr>
        <w:t>绩效评价小组经独立评价，</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1</w:t>
      </w:r>
      <w:r>
        <w:rPr>
          <w:rFonts w:hint="eastAsia" w:ascii="方正仿宋简体" w:hAnsi="方正仿宋简体" w:eastAsia="方正仿宋简体" w:cs="方正仿宋简体"/>
          <w:color w:val="000000"/>
          <w:kern w:val="0"/>
          <w:sz w:val="31"/>
          <w:szCs w:val="31"/>
          <w:lang w:val="en-US" w:eastAsia="zh-CN" w:bidi="ar"/>
        </w:rPr>
        <w:t>年青少年专项工作项目资金绩效得分</w:t>
      </w:r>
      <w:r>
        <w:rPr>
          <w:rFonts w:hint="default" w:ascii="Times New Roman" w:hAnsi="Times New Roman" w:eastAsia="宋体" w:cs="Times New Roman"/>
          <w:color w:val="000000"/>
          <w:kern w:val="0"/>
          <w:sz w:val="31"/>
          <w:szCs w:val="31"/>
          <w:lang w:val="en-US" w:eastAsia="zh-CN" w:bidi="ar"/>
        </w:rPr>
        <w:t>9</w:t>
      </w:r>
      <w:r>
        <w:rPr>
          <w:rFonts w:hint="eastAsia" w:ascii="Times New Roman" w:hAnsi="Times New Roman" w:eastAsia="宋体" w:cs="Times New Roman"/>
          <w:color w:val="000000"/>
          <w:kern w:val="0"/>
          <w:sz w:val="31"/>
          <w:szCs w:val="31"/>
          <w:lang w:val="en-US" w:eastAsia="zh-CN" w:bidi="ar"/>
        </w:rPr>
        <w:t>3</w:t>
      </w:r>
      <w:r>
        <w:rPr>
          <w:rFonts w:hint="eastAsia" w:ascii="方正仿宋简体" w:hAnsi="方正仿宋简体" w:eastAsia="方正仿宋简体" w:cs="方正仿宋简体"/>
          <w:color w:val="000000"/>
          <w:kern w:val="0"/>
          <w:sz w:val="31"/>
          <w:szCs w:val="31"/>
          <w:lang w:val="en-US" w:eastAsia="zh-CN" w:bidi="ar"/>
        </w:rPr>
        <w:t>分，总体评价为</w:t>
      </w:r>
      <w:r>
        <w:rPr>
          <w:rFonts w:hint="default" w:ascii="Times New Roman" w:hAnsi="Times New Roman" w:eastAsia="宋体" w:cs="Times New Roman"/>
          <w:color w:val="000000"/>
          <w:kern w:val="0"/>
          <w:sz w:val="31"/>
          <w:szCs w:val="31"/>
          <w:lang w:val="en-US" w:eastAsia="zh-CN" w:bidi="ar"/>
        </w:rPr>
        <w:t>“</w:t>
      </w:r>
      <w:r>
        <w:rPr>
          <w:rFonts w:hint="eastAsia" w:ascii="方正仿宋简体" w:hAnsi="方正仿宋简体" w:eastAsia="方正仿宋简体" w:cs="方正仿宋简体"/>
          <w:color w:val="000000"/>
          <w:kern w:val="0"/>
          <w:sz w:val="31"/>
          <w:szCs w:val="31"/>
          <w:lang w:val="en-US" w:eastAsia="zh-CN" w:bidi="ar"/>
        </w:rPr>
        <w:t>优</w:t>
      </w:r>
      <w:r>
        <w:rPr>
          <w:rFonts w:hint="default" w:ascii="Times New Roman" w:hAnsi="Times New Roman" w:eastAsia="宋体" w:cs="Times New Roman"/>
          <w:color w:val="000000"/>
          <w:kern w:val="0"/>
          <w:sz w:val="31"/>
          <w:szCs w:val="31"/>
          <w:lang w:val="en-US" w:eastAsia="zh-CN" w:bidi="ar"/>
        </w:rPr>
        <w:t>”</w:t>
      </w:r>
      <w:r>
        <w:rPr>
          <w:rFonts w:hint="eastAsia" w:ascii="方正仿宋简体" w:hAnsi="方正仿宋简体" w:eastAsia="方正仿宋简体" w:cs="方正仿宋简体"/>
          <w:color w:val="000000"/>
          <w:kern w:val="0"/>
          <w:sz w:val="31"/>
          <w:szCs w:val="31"/>
          <w:lang w:val="en-US" w:eastAsia="zh-CN" w:bidi="ar"/>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ascii="仿宋_GB2312" w:hAnsi="宋体" w:eastAsia="仿宋_GB2312"/>
          <w:sz w:val="32"/>
          <w:szCs w:val="32"/>
          <w:lang w:val="zh-CN"/>
        </w:rPr>
      </w:pPr>
      <w:r>
        <w:rPr>
          <w:rFonts w:hint="default" w:ascii="Times New Roman" w:hAnsi="Times New Roman" w:eastAsia="方正楷体简体" w:cs="Times New Roman"/>
          <w:b/>
          <w:bCs/>
          <w:sz w:val="32"/>
          <w:szCs w:val="32"/>
          <w:lang w:val="en-US" w:eastAsia="zh-CN"/>
        </w:rPr>
        <w:t>一是</w:t>
      </w:r>
      <w:r>
        <w:rPr>
          <w:rFonts w:hint="default" w:ascii="Times New Roman" w:hAnsi="Times New Roman" w:eastAsia="方正仿宋简体" w:cs="Times New Roman"/>
          <w:kern w:val="2"/>
          <w:sz w:val="32"/>
          <w:szCs w:val="32"/>
          <w:lang w:val="en-US" w:eastAsia="zh-CN" w:bidi="ar-SA"/>
        </w:rPr>
        <w:t>预算绩效管理的范围有待进一步扩大</w:t>
      </w:r>
      <w:r>
        <w:rPr>
          <w:rFonts w:hint="eastAsia" w:eastAsia="方正仿宋简体" w:cs="Times New Roman"/>
          <w:kern w:val="2"/>
          <w:sz w:val="32"/>
          <w:szCs w:val="32"/>
          <w:lang w:val="en-US" w:eastAsia="zh-CN" w:bidi="ar-SA"/>
        </w:rPr>
        <w:t>；</w:t>
      </w:r>
      <w:r>
        <w:rPr>
          <w:rFonts w:hint="default" w:ascii="Times New Roman" w:hAnsi="Times New Roman" w:eastAsia="方正楷体简体" w:cs="Times New Roman"/>
          <w:b/>
          <w:bCs/>
          <w:sz w:val="32"/>
          <w:szCs w:val="32"/>
          <w:lang w:val="en-US" w:eastAsia="zh-CN"/>
        </w:rPr>
        <w:t>二是</w:t>
      </w:r>
      <w:r>
        <w:rPr>
          <w:rFonts w:hint="default" w:ascii="Times New Roman" w:hAnsi="Times New Roman" w:eastAsia="方正仿宋简体" w:cs="Times New Roman"/>
          <w:kern w:val="2"/>
          <w:sz w:val="32"/>
          <w:szCs w:val="32"/>
          <w:lang w:val="en-US" w:eastAsia="zh-CN" w:bidi="ar-SA"/>
        </w:rPr>
        <w:t>评价指标体系需要进一步完善</w:t>
      </w:r>
      <w:r>
        <w:rPr>
          <w:rFonts w:hint="eastAsia" w:eastAsia="方正仿宋简体" w:cs="Times New Roman"/>
          <w:kern w:val="2"/>
          <w:sz w:val="32"/>
          <w:szCs w:val="32"/>
          <w:lang w:val="en-US" w:eastAsia="zh-CN" w:bidi="ar-SA"/>
        </w:rPr>
        <w:t>；</w:t>
      </w:r>
      <w:r>
        <w:rPr>
          <w:rFonts w:hint="default" w:ascii="Times New Roman" w:hAnsi="Times New Roman" w:eastAsia="方正楷体简体" w:cs="Times New Roman"/>
          <w:b/>
          <w:bCs/>
          <w:sz w:val="32"/>
          <w:szCs w:val="32"/>
          <w:lang w:val="en-US" w:eastAsia="zh-CN"/>
        </w:rPr>
        <w:t>三是</w:t>
      </w:r>
      <w:r>
        <w:rPr>
          <w:rFonts w:hint="default" w:ascii="Times New Roman" w:hAnsi="Times New Roman" w:eastAsia="方正仿宋简体" w:cs="Times New Roman"/>
          <w:kern w:val="2"/>
          <w:sz w:val="32"/>
          <w:szCs w:val="32"/>
          <w:lang w:val="en-US" w:eastAsia="zh-CN" w:bidi="ar-SA"/>
        </w:rPr>
        <w:t>工作人员业务素质有待进一步提高。</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宋体" w:eastAsia="仿宋_GB2312"/>
          <w:sz w:val="32"/>
          <w:szCs w:val="32"/>
          <w:lang w:val="zh-CN"/>
        </w:rPr>
      </w:pPr>
      <w:r>
        <w:rPr>
          <w:rFonts w:hint="eastAsia" w:ascii="Times New Roman" w:hAnsi="Times New Roman" w:eastAsia="方正楷体简体" w:cs="Times New Roman"/>
          <w:b/>
          <w:bCs/>
          <w:sz w:val="32"/>
          <w:szCs w:val="32"/>
          <w:lang w:val="en-US" w:eastAsia="zh-CN"/>
        </w:rPr>
        <w:t>一是</w:t>
      </w:r>
      <w:r>
        <w:rPr>
          <w:rFonts w:hint="default" w:ascii="Times New Roman" w:hAnsi="Times New Roman" w:eastAsia="方正仿宋简体" w:cs="Times New Roman"/>
          <w:kern w:val="2"/>
          <w:sz w:val="32"/>
          <w:szCs w:val="32"/>
          <w:lang w:val="en-US" w:eastAsia="zh-CN" w:bidi="ar-SA"/>
        </w:rPr>
        <w:t>建议选择部分重点项目，带动绩效评价工作开展</w:t>
      </w:r>
      <w:r>
        <w:rPr>
          <w:rFonts w:hint="eastAsia" w:eastAsia="方正仿宋简体" w:cs="Times New Roman"/>
          <w:kern w:val="2"/>
          <w:sz w:val="32"/>
          <w:szCs w:val="32"/>
          <w:lang w:val="en-US" w:eastAsia="zh-CN" w:bidi="ar-SA"/>
        </w:rPr>
        <w:t>；</w:t>
      </w:r>
      <w:r>
        <w:rPr>
          <w:rFonts w:hint="eastAsia" w:ascii="Times New Roman" w:hAnsi="Times New Roman" w:eastAsia="方正楷体简体" w:cs="Times New Roman"/>
          <w:b/>
          <w:bCs/>
          <w:sz w:val="32"/>
          <w:szCs w:val="32"/>
          <w:lang w:val="en-US" w:eastAsia="zh-CN"/>
        </w:rPr>
        <w:t>二是</w:t>
      </w:r>
      <w:r>
        <w:rPr>
          <w:rFonts w:hint="default" w:ascii="Times New Roman" w:hAnsi="Times New Roman" w:eastAsia="方正仿宋简体" w:cs="Times New Roman"/>
          <w:kern w:val="2"/>
          <w:sz w:val="32"/>
          <w:szCs w:val="32"/>
          <w:lang w:val="en-US" w:eastAsia="zh-CN" w:bidi="ar-SA"/>
        </w:rPr>
        <w:t>加强个性指标建设</w:t>
      </w:r>
      <w:r>
        <w:rPr>
          <w:rFonts w:hint="eastAsia" w:eastAsia="方正仿宋简体" w:cs="Times New Roman"/>
          <w:kern w:val="2"/>
          <w:sz w:val="32"/>
          <w:szCs w:val="32"/>
          <w:lang w:val="en-US" w:eastAsia="zh-CN" w:bidi="ar-SA"/>
        </w:rPr>
        <w:t>；</w:t>
      </w:r>
      <w:r>
        <w:rPr>
          <w:rFonts w:hint="eastAsia" w:ascii="Times New Roman" w:hAnsi="Times New Roman" w:eastAsia="方正楷体简体" w:cs="Times New Roman"/>
          <w:b/>
          <w:bCs/>
          <w:sz w:val="32"/>
          <w:szCs w:val="32"/>
          <w:lang w:val="en-US" w:eastAsia="zh-CN"/>
        </w:rPr>
        <w:t>三是</w:t>
      </w:r>
      <w:r>
        <w:rPr>
          <w:rFonts w:hint="default" w:ascii="Times New Roman" w:hAnsi="Times New Roman" w:eastAsia="方正仿宋简体" w:cs="Times New Roman"/>
          <w:color w:val="000000"/>
          <w:sz w:val="32"/>
          <w:szCs w:val="32"/>
        </w:rPr>
        <w:t>加强绩效评价结果应用。</w:t>
      </w:r>
    </w:p>
    <w:p>
      <w:pPr>
        <w:spacing w:line="600" w:lineRule="exact"/>
        <w:jc w:val="both"/>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53"/>
      <w:bookmarkStart w:id="54" w:name="_Toc15396619"/>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Fonts w:ascii="仿宋" w:hAnsi="仿宋" w:eastAsia="仿宋"/>
          <w:color w:val="auto"/>
          <w:w w:val="90"/>
          <w:sz w:val="32"/>
          <w:highlight w:val="none"/>
        </w:rPr>
      </w:pPr>
      <w:bookmarkStart w:id="65" w:name="_Toc15396630"/>
      <w:r>
        <w:rPr>
          <w:rStyle w:val="26"/>
          <w:rFonts w:hint="eastAsia" w:ascii="仿宋" w:hAnsi="仿宋" w:eastAsia="仿宋"/>
          <w:b w:val="0"/>
          <w:bCs w:val="0"/>
          <w:color w:val="auto"/>
          <w:w w:val="100"/>
          <w:sz w:val="32"/>
          <w:highlight w:val="none"/>
        </w:rPr>
        <w:t>十二、</w:t>
      </w:r>
      <w:r>
        <w:rPr>
          <w:rFonts w:hint="eastAsia" w:ascii="仿宋" w:hAnsi="仿宋" w:eastAsia="仿宋"/>
          <w:b w:val="0"/>
          <w:color w:val="auto"/>
          <w:w w:val="90"/>
          <w:sz w:val="32"/>
          <w:highlight w:val="none"/>
        </w:rPr>
        <w:t>政</w:t>
      </w:r>
      <w:r>
        <w:rPr>
          <w:rStyle w:val="26"/>
          <w:rFonts w:hint="eastAsia" w:ascii="仿宋" w:hAnsi="仿宋" w:eastAsia="仿宋"/>
          <w:b w:val="0"/>
          <w:bCs w:val="0"/>
          <w:color w:val="auto"/>
          <w:w w:val="90"/>
          <w:sz w:val="32"/>
          <w:highlight w:val="none"/>
        </w:rPr>
        <w:t>府性基金预算财政拨款“三公”经费支出决算表</w:t>
      </w:r>
      <w:bookmarkEnd w:id="65"/>
    </w:p>
    <w:p>
      <w:pPr>
        <w:pStyle w:val="4"/>
        <w:pageBreakBefore w:val="0"/>
        <w:widowControl w:val="0"/>
        <w:kinsoku/>
        <w:wordWrap/>
        <w:overflowPunct/>
        <w:topLinePunct w:val="0"/>
        <w:autoSpaceDE/>
        <w:autoSpaceDN/>
        <w:bidi w:val="0"/>
        <w:adjustRightInd/>
        <w:snapToGrid/>
        <w:spacing w:before="0" w:after="0" w:line="578" w:lineRule="exact"/>
        <w:ind w:firstLine="640" w:firstLineChars="200"/>
        <w:textAlignment w:val="auto"/>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D9CF1"/>
    <w:multiLevelType w:val="singleLevel"/>
    <w:tmpl w:val="C68D9CF1"/>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EA0C275"/>
    <w:multiLevelType w:val="singleLevel"/>
    <w:tmpl w:val="7EA0C275"/>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WRlMmU3YTYxNTAzNjYzNWU2MzgyNjM0NmNhYj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2EF7"/>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C13619"/>
    <w:rsid w:val="04310280"/>
    <w:rsid w:val="06826B71"/>
    <w:rsid w:val="07707311"/>
    <w:rsid w:val="0A2032A3"/>
    <w:rsid w:val="0B8A37D8"/>
    <w:rsid w:val="0E3F3599"/>
    <w:rsid w:val="104D4694"/>
    <w:rsid w:val="10C055FF"/>
    <w:rsid w:val="118107EC"/>
    <w:rsid w:val="11DD6519"/>
    <w:rsid w:val="143A0A8B"/>
    <w:rsid w:val="165A055B"/>
    <w:rsid w:val="16BB723D"/>
    <w:rsid w:val="18015F3F"/>
    <w:rsid w:val="1BE8440E"/>
    <w:rsid w:val="1C8256C5"/>
    <w:rsid w:val="1D155CEE"/>
    <w:rsid w:val="20F57F95"/>
    <w:rsid w:val="2265586D"/>
    <w:rsid w:val="236364D1"/>
    <w:rsid w:val="240371BF"/>
    <w:rsid w:val="25C741E6"/>
    <w:rsid w:val="27842671"/>
    <w:rsid w:val="29FD04D3"/>
    <w:rsid w:val="2ABE7A3E"/>
    <w:rsid w:val="2E271C28"/>
    <w:rsid w:val="2EFA178C"/>
    <w:rsid w:val="3034062C"/>
    <w:rsid w:val="30B46D73"/>
    <w:rsid w:val="319F7F4E"/>
    <w:rsid w:val="340D7B12"/>
    <w:rsid w:val="349A75F8"/>
    <w:rsid w:val="351078BA"/>
    <w:rsid w:val="363458BD"/>
    <w:rsid w:val="366134F4"/>
    <w:rsid w:val="371F21FC"/>
    <w:rsid w:val="39AE70AB"/>
    <w:rsid w:val="3C027831"/>
    <w:rsid w:val="3C0C0783"/>
    <w:rsid w:val="3F9F3A96"/>
    <w:rsid w:val="3FC92B3F"/>
    <w:rsid w:val="404B3E9C"/>
    <w:rsid w:val="490C1CEF"/>
    <w:rsid w:val="493C27E9"/>
    <w:rsid w:val="496F39ED"/>
    <w:rsid w:val="49FF41D3"/>
    <w:rsid w:val="4BE068DB"/>
    <w:rsid w:val="4BF6002B"/>
    <w:rsid w:val="4E465CA3"/>
    <w:rsid w:val="4ECE2238"/>
    <w:rsid w:val="4F6366D0"/>
    <w:rsid w:val="51DB4B86"/>
    <w:rsid w:val="55333C3E"/>
    <w:rsid w:val="55A82D9F"/>
    <w:rsid w:val="56707D61"/>
    <w:rsid w:val="570E22C6"/>
    <w:rsid w:val="5A024CBA"/>
    <w:rsid w:val="5C2D3FFE"/>
    <w:rsid w:val="5C7F0CFE"/>
    <w:rsid w:val="641F4B74"/>
    <w:rsid w:val="64CA39A1"/>
    <w:rsid w:val="65150012"/>
    <w:rsid w:val="67397CFB"/>
    <w:rsid w:val="69A2307B"/>
    <w:rsid w:val="6AFF300A"/>
    <w:rsid w:val="6C4A05C8"/>
    <w:rsid w:val="72734D90"/>
    <w:rsid w:val="7463285B"/>
    <w:rsid w:val="75F25C45"/>
    <w:rsid w:val="76CD220E"/>
    <w:rsid w:val="7714467F"/>
    <w:rsid w:val="78182A4E"/>
    <w:rsid w:val="78F10E72"/>
    <w:rsid w:val="794F188E"/>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jc w:val="center"/>
      <w:outlineLvl w:val="0"/>
    </w:pPr>
    <w:rPr>
      <w:rFonts w:ascii="Times New Roman" w:hAnsi="Times New Roman" w:eastAsia="方正小标宋简体"/>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eastAsia="方正小标宋简体"/>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正文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Sheet1!$A$2:$A$5</c:f>
              <c:strCache>
                <c:ptCount val="2"/>
                <c:pt idx="0">
                  <c:v>收</c:v>
                </c:pt>
                <c:pt idx="1">
                  <c:v>支</c:v>
                </c:pt>
              </c:strCache>
            </c:strRef>
          </c:cat>
          <c:val>
            <c:numRef>
              <c:f>Sheet1!$B$2:$B$5</c:f>
              <c:numCache>
                <c:formatCode>General</c:formatCode>
                <c:ptCount val="2"/>
                <c:pt idx="0">
                  <c:v>50.71</c:v>
                </c:pt>
                <c:pt idx="1">
                  <c:v>50.71</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Sheet1!$A$2:$A$5</c:f>
              <c:strCache>
                <c:ptCount val="2"/>
                <c:pt idx="0">
                  <c:v>收</c:v>
                </c:pt>
                <c:pt idx="1">
                  <c:v>支</c:v>
                </c:pt>
              </c:strCache>
            </c:strRef>
          </c:cat>
          <c:val>
            <c:numRef>
              <c:f>Sheet1!$C$2:$C$5</c:f>
              <c:numCache>
                <c:formatCode>General</c:formatCode>
                <c:ptCount val="2"/>
                <c:pt idx="0">
                  <c:v>160.04</c:v>
                </c:pt>
                <c:pt idx="1">
                  <c:v>160.04</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2"/>
                <c:pt idx="0">
                  <c:v>收</c:v>
                </c:pt>
                <c:pt idx="1">
                  <c:v>支</c:v>
                </c:pt>
              </c:strCache>
            </c:strRef>
          </c:cat>
          <c:val>
            <c:numRef>
              <c:f>Sheet1!$D$2:$D$5</c:f>
            </c:numRef>
          </c:val>
        </c:ser>
        <c:dLbls>
          <c:showLegendKey val="0"/>
          <c:showVal val="0"/>
          <c:showCatName val="0"/>
          <c:showSerName val="0"/>
          <c:showPercent val="0"/>
          <c:showBubbleSize val="0"/>
        </c:dLbls>
        <c:gapWidth val="219"/>
        <c:overlap val="-27"/>
        <c:axId val="259804077"/>
        <c:axId val="474148133"/>
      </c:barChart>
      <c:catAx>
        <c:axId val="2598040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148133"/>
        <c:crosses val="autoZero"/>
        <c:auto val="1"/>
        <c:lblAlgn val="ctr"/>
        <c:lblOffset val="100"/>
        <c:noMultiLvlLbl val="0"/>
      </c:catAx>
      <c:valAx>
        <c:axId val="4741481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8040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一般公共预算财政拨款收入</c:v>
                </c:pt>
              </c:strCache>
            </c:strRef>
          </c:tx>
          <c:spPr/>
          <c:explosion val="0"/>
          <c:dPt>
            <c:idx val="0"/>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一般公共预算财政拨款收入</c:v>
                </c:pt>
              </c:strCache>
            </c:strRef>
          </c:cat>
          <c:val>
            <c:numRef>
              <c:f>Sheet1!$B$2:$B$5</c:f>
              <c:numCache>
                <c:formatCode>0%</c:formatCode>
                <c:ptCount val="1"/>
                <c:pt idx="0">
                  <c:v>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52269428974485"/>
                  <c:y val="0.01563281056477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523767691982675"/>
                  <c:y val="0.005048389925881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0.9573</c:v>
                </c:pt>
                <c:pt idx="1">
                  <c:v>0.0202</c:v>
                </c:pt>
                <c:pt idx="2">
                  <c:v>0.0079</c:v>
                </c:pt>
                <c:pt idx="3">
                  <c:v>0.0146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50.71</c:v>
                </c:pt>
                <c:pt idx="1">
                  <c:v>160.04</c:v>
                </c:pt>
              </c:numCache>
            </c:numRef>
          </c:val>
        </c:ser>
        <c:dLbls>
          <c:showLegendKey val="0"/>
          <c:showVal val="0"/>
          <c:showCatName val="0"/>
          <c:showSerName val="0"/>
          <c:showPercent val="0"/>
          <c:showBubbleSize val="0"/>
        </c:dLbls>
        <c:gapWidth val="75"/>
        <c:overlap val="0"/>
        <c:axId val="252279900"/>
        <c:axId val="835912626"/>
      </c:barChart>
      <c:catAx>
        <c:axId val="2522799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912626"/>
        <c:crosses val="autoZero"/>
        <c:auto val="1"/>
        <c:lblAlgn val="ctr"/>
        <c:lblOffset val="100"/>
        <c:noMultiLvlLbl val="0"/>
      </c:catAx>
      <c:valAx>
        <c:axId val="8359126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2799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c:v>
                </c:pt>
              </c:strCache>
            </c:strRef>
          </c:tx>
          <c:spPr>
            <a:solidFill>
              <a:schemeClr val="accent1"/>
            </a:solidFill>
            <a:ln>
              <a:noFill/>
            </a:ln>
            <a:effectLst/>
          </c:spPr>
          <c:invertIfNegative val="0"/>
          <c:dLbls>
            <c:delete val="1"/>
          </c:dLbls>
          <c:cat>
            <c:strRef>
              <c:f>Sheet1!$A$2:$A$3</c:f>
              <c:strCache>
                <c:ptCount val="2"/>
                <c:pt idx="0">
                  <c:v>2020年</c:v>
                </c:pt>
                <c:pt idx="1">
                  <c:v>2021年</c:v>
                </c:pt>
              </c:strCache>
            </c:strRef>
          </c:cat>
          <c:val>
            <c:numRef>
              <c:f>Sheet1!$B$2:$B$3</c:f>
              <c:numCache>
                <c:formatCode>General</c:formatCode>
                <c:ptCount val="2"/>
                <c:pt idx="0">
                  <c:v>50.71</c:v>
                </c:pt>
                <c:pt idx="1">
                  <c:v>160.04</c:v>
                </c:pt>
              </c:numCache>
            </c:numRef>
          </c:val>
        </c:ser>
        <c:dLbls>
          <c:showLegendKey val="0"/>
          <c:showVal val="0"/>
          <c:showCatName val="0"/>
          <c:showSerName val="0"/>
          <c:showPercent val="0"/>
          <c:showBubbleSize val="0"/>
        </c:dLbls>
        <c:gapWidth val="219"/>
        <c:overlap val="-27"/>
        <c:axId val="258797589"/>
        <c:axId val="847599313"/>
      </c:barChart>
      <c:catAx>
        <c:axId val="2587975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7599313"/>
        <c:crosses val="autoZero"/>
        <c:auto val="1"/>
        <c:lblAlgn val="ctr"/>
        <c:lblOffset val="100"/>
        <c:noMultiLvlLbl val="0"/>
      </c:catAx>
      <c:valAx>
        <c:axId val="8475993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7975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938764917661698"/>
                  <c:y val="0.0319191331130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92208339628011"/>
                  <c:y val="-0.01542303728782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01570351938559"/>
                  <c:y val="0.006134330205745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0.9573</c:v>
                </c:pt>
                <c:pt idx="1">
                  <c:v>0.0202</c:v>
                </c:pt>
                <c:pt idx="2">
                  <c:v>0.0079</c:v>
                </c:pt>
                <c:pt idx="3">
                  <c:v>0.0146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公务接待费支出</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公务接待费支出</c:v>
                </c:pt>
              </c:strCache>
            </c:strRef>
          </c:cat>
          <c:val>
            <c:numRef>
              <c:f>Sheet1!$B$2</c:f>
              <c:numCache>
                <c:formatCode>0%</c:formatCode>
                <c:ptCount val="1"/>
                <c:pt idx="0">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11119</Words>
  <Characters>11698</Characters>
  <Lines>61</Lines>
  <Paragraphs>17</Paragraphs>
  <TotalTime>164</TotalTime>
  <ScaleCrop>false</ScaleCrop>
  <LinksUpToDate>false</LinksUpToDate>
  <CharactersWithSpaces>11739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dtmgwg</cp:lastModifiedBy>
  <cp:lastPrinted>2022-10-26T02:39:00Z</cp:lastPrinted>
  <dcterms:modified xsi:type="dcterms:W3CDTF">2023-09-12T09:09:39Z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A85A58407FE94A0FA3EDD04BB3321ADC</vt:lpwstr>
  </property>
</Properties>
</file>