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475"/>
      <w:bookmarkStart w:id="2" w:name="_Toc15378441"/>
      <w:bookmarkStart w:id="3" w:name="_Toc15377425"/>
      <w:bookmarkStart w:id="4" w:name="_Toc15396597"/>
      <w:bookmarkStart w:id="5" w:name="_Toc15306267"/>
    </w:p>
    <w:p>
      <w:pPr>
        <w:pStyle w:val="5"/>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32141"/>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96476"/>
      <w:bookmarkStart w:id="8" w:name="_Toc19895"/>
      <w:bookmarkStart w:id="9" w:name="_Toc15396598"/>
      <w:bookmarkStart w:id="10" w:name="_Toc15377426"/>
      <w:bookmarkStart w:id="11" w:name="_Toc15378442"/>
      <w:bookmarkStart w:id="12" w:name="_Toc15377194"/>
      <w:r>
        <w:rPr>
          <w:rFonts w:hint="eastAsia" w:ascii="方正小标宋简体" w:hAnsi="方正小标宋简体" w:eastAsia="方正小标宋简体" w:cs="方正小标宋简体"/>
          <w:sz w:val="56"/>
          <w:szCs w:val="56"/>
        </w:rPr>
        <w:t>四川省</w:t>
      </w:r>
      <w:bookmarkEnd w:id="5"/>
      <w:bookmarkStart w:id="13" w:name="_Toc15306268"/>
      <w:r>
        <w:rPr>
          <w:rFonts w:hint="eastAsia" w:ascii="方正小标宋简体" w:hAnsi="方正小标宋简体" w:eastAsia="方正小标宋简体" w:cs="方正小标宋简体"/>
          <w:sz w:val="56"/>
          <w:szCs w:val="56"/>
          <w:lang w:val="en-US" w:eastAsia="zh-CN"/>
        </w:rPr>
        <w:t>万源市供销合作社联合社</w:t>
      </w:r>
      <w:r>
        <w:rPr>
          <w:rFonts w:hint="eastAsia" w:ascii="方正小标宋简体" w:hAnsi="方正小标宋简体" w:eastAsia="方正小标宋简体" w:cs="方正小标宋简体"/>
          <w:sz w:val="72"/>
          <w:szCs w:val="72"/>
        </w:rPr>
        <w:t>部门决算</w:t>
      </w:r>
      <w:bookmarkEnd w:id="7"/>
      <w:bookmarkEnd w:id="8"/>
      <w:bookmarkEnd w:id="9"/>
      <w:bookmarkEnd w:id="10"/>
      <w:bookmarkEnd w:id="11"/>
      <w:bookmarkEnd w:id="12"/>
      <w:bookmarkEnd w:id="13"/>
    </w:p>
    <w:p>
      <w:pPr>
        <w:adjustRightInd w:val="0"/>
        <w:snapToGrid w:val="0"/>
        <w:spacing w:line="360" w:lineRule="auto"/>
        <w:jc w:val="center"/>
        <w:outlineLvl w:val="0"/>
        <w:rPr>
          <w:rFonts w:ascii="方正小标宋简体" w:hAnsi="宋体" w:eastAsia="方正小标宋简体"/>
          <w:sz w:val="52"/>
          <w:szCs w:val="52"/>
        </w:rPr>
      </w:pPr>
      <w:bookmarkStart w:id="14" w:name="_Toc20459"/>
      <w:r>
        <w:rPr>
          <w:rFonts w:hint="eastAsia" w:ascii="方正小标宋简体" w:hAnsi="宋体" w:eastAsia="方正小标宋简体"/>
          <w:sz w:val="52"/>
          <w:szCs w:val="52"/>
        </w:rPr>
        <w:t>(部门公开范本)</w:t>
      </w:r>
      <w:bookmarkEnd w:id="14"/>
    </w:p>
    <w:p>
      <w:pPr>
        <w:widowControl/>
        <w:jc w:val="center"/>
        <w:rPr>
          <w:rFonts w:ascii="方正小标宋简体" w:hAnsi="宋体" w:eastAsia="方正小标宋简体"/>
          <w:sz w:val="36"/>
          <w:szCs w:val="36"/>
        </w:rPr>
      </w:pPr>
      <w:r>
        <w:rPr>
          <w:rFonts w:ascii="方正小标宋简体" w:hAnsi="宋体" w:eastAsia="方正小标宋简体"/>
          <w:sz w:val="36"/>
          <w:szCs w:val="36"/>
        </w:rPr>
        <w:br w:type="page"/>
      </w:r>
    </w:p>
    <w:p>
      <w:pPr>
        <w:widowControl/>
        <w:jc w:val="center"/>
        <w:rPr>
          <w:rFonts w:ascii="黑体" w:hAnsi="黑体" w:eastAsia="黑体"/>
          <w:sz w:val="48"/>
          <w:szCs w:val="48"/>
        </w:rPr>
      </w:pPr>
      <w:r>
        <w:rPr>
          <w:rFonts w:hint="eastAsia" w:ascii="黑体" w:hAnsi="黑体" w:eastAsia="黑体"/>
          <w:sz w:val="48"/>
          <w:szCs w:val="48"/>
        </w:rPr>
        <w:t>目录</w:t>
      </w:r>
    </w:p>
    <w:p>
      <w:pPr>
        <w:pStyle w:val="7"/>
        <w:bidi w:val="0"/>
      </w:pPr>
    </w:p>
    <w:p>
      <w:pPr>
        <w:pStyle w:val="34"/>
        <w:tabs>
          <w:tab w:val="right" w:leader="dot" w:pos="8306"/>
        </w:tabs>
        <w:ind w:firstLine="1960" w:firstLineChars="700"/>
        <w:jc w:val="both"/>
        <w:rPr>
          <w:rFonts w:hint="eastAsia" w:ascii="仿宋" w:hAnsi="仿宋" w:eastAsia="仿宋" w:cs="仿宋"/>
          <w:b/>
          <w:sz w:val="28"/>
          <w:szCs w:val="28"/>
        </w:rPr>
      </w:pPr>
      <w:r>
        <w:rPr>
          <w:rFonts w:hint="eastAsia" w:ascii="仿宋" w:hAnsi="仿宋" w:eastAsia="仿宋" w:cs="仿宋"/>
          <w:sz w:val="28"/>
          <w:szCs w:val="28"/>
        </w:rPr>
        <w:t>公开时间：2023年</w:t>
      </w:r>
      <w:r>
        <w:rPr>
          <w:rFonts w:hint="eastAsia" w:ascii="仿宋" w:hAnsi="仿宋" w:eastAsia="仿宋" w:cs="仿宋"/>
          <w:sz w:val="28"/>
          <w:szCs w:val="28"/>
          <w:lang w:val="en-US" w:eastAsia="zh-CN"/>
        </w:rPr>
        <w:t>11</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15</w:t>
      </w:r>
      <w:bookmarkStart w:id="79" w:name="_GoBack"/>
      <w:bookmarkEnd w:id="79"/>
      <w:r>
        <w:rPr>
          <w:rFonts w:hint="eastAsia" w:ascii="仿宋" w:hAnsi="仿宋" w:eastAsia="仿宋" w:cs="仿宋"/>
          <w:sz w:val="28"/>
          <w:szCs w:val="28"/>
        </w:rPr>
        <w:t xml:space="preserve"> 日</w:t>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TOC \o "1-2" \h \u </w:instrText>
      </w:r>
      <w:r>
        <w:rPr>
          <w:rFonts w:hint="eastAsia" w:ascii="仿宋" w:hAnsi="仿宋" w:eastAsia="仿宋" w:cs="仿宋"/>
          <w:b/>
          <w:sz w:val="28"/>
          <w:szCs w:val="28"/>
        </w:rPr>
        <w:fldChar w:fldCharType="separate"/>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_Toc9961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第一部分 部门概况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_Toc9961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ind w:firstLine="562" w:firstLineChars="200"/>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_Toc10254 </w:instrText>
      </w:r>
      <w:r>
        <w:rPr>
          <w:rFonts w:hint="eastAsia" w:ascii="仿宋" w:hAnsi="仿宋" w:eastAsia="仿宋" w:cs="仿宋"/>
          <w:b/>
          <w:sz w:val="28"/>
          <w:szCs w:val="28"/>
        </w:rPr>
        <w:fldChar w:fldCharType="separate"/>
      </w:r>
      <w:r>
        <w:rPr>
          <w:rFonts w:hint="eastAsia" w:ascii="仿宋" w:hAnsi="仿宋" w:eastAsia="仿宋" w:cs="仿宋"/>
          <w:b/>
          <w:sz w:val="28"/>
          <w:szCs w:val="28"/>
        </w:rPr>
        <w:t>一、部门职责</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_Toc10254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ind w:firstLine="562" w:firstLineChars="200"/>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_Toc30066 </w:instrText>
      </w:r>
      <w:r>
        <w:rPr>
          <w:rFonts w:hint="eastAsia" w:ascii="仿宋" w:hAnsi="仿宋" w:eastAsia="仿宋" w:cs="仿宋"/>
          <w:b/>
          <w:sz w:val="28"/>
          <w:szCs w:val="28"/>
        </w:rPr>
        <w:fldChar w:fldCharType="separate"/>
      </w:r>
      <w:r>
        <w:rPr>
          <w:rFonts w:hint="eastAsia" w:ascii="仿宋" w:hAnsi="仿宋" w:eastAsia="仿宋" w:cs="仿宋"/>
          <w:b/>
          <w:sz w:val="28"/>
          <w:szCs w:val="28"/>
        </w:rPr>
        <w:t>二、机构设置</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_Toc30066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_Toc12606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第二部分 2023年度部门决算情况说明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_Toc12606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ind w:firstLine="562" w:firstLineChars="200"/>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_Toc3748 </w:instrText>
      </w:r>
      <w:r>
        <w:rPr>
          <w:rFonts w:hint="eastAsia" w:ascii="仿宋" w:hAnsi="仿宋" w:eastAsia="仿宋" w:cs="仿宋"/>
          <w:b/>
          <w:sz w:val="28"/>
          <w:szCs w:val="28"/>
        </w:rPr>
        <w:fldChar w:fldCharType="separate"/>
      </w:r>
      <w:r>
        <w:rPr>
          <w:rFonts w:hint="default" w:ascii="仿宋" w:hAnsi="仿宋" w:eastAsia="仿宋" w:cs="仿宋"/>
          <w:b/>
          <w:sz w:val="28"/>
          <w:szCs w:val="28"/>
        </w:rPr>
        <w:t xml:space="preserve">一、 </w:t>
      </w:r>
      <w:r>
        <w:rPr>
          <w:rFonts w:hint="eastAsia" w:ascii="仿宋" w:hAnsi="仿宋" w:eastAsia="仿宋" w:cs="仿宋"/>
          <w:b/>
          <w:sz w:val="28"/>
          <w:szCs w:val="28"/>
        </w:rPr>
        <w:t>收入支出决算总体情况说明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_Toc3748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ind w:firstLine="562" w:firstLineChars="200"/>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_Toc3588 </w:instrText>
      </w:r>
      <w:r>
        <w:rPr>
          <w:rFonts w:hint="eastAsia" w:ascii="仿宋" w:hAnsi="仿宋" w:eastAsia="仿宋" w:cs="仿宋"/>
          <w:b/>
          <w:sz w:val="28"/>
          <w:szCs w:val="28"/>
        </w:rPr>
        <w:fldChar w:fldCharType="separate"/>
      </w:r>
      <w:r>
        <w:rPr>
          <w:rFonts w:hint="default" w:ascii="仿宋" w:hAnsi="仿宋" w:eastAsia="仿宋" w:cs="仿宋"/>
          <w:b/>
          <w:sz w:val="28"/>
          <w:szCs w:val="28"/>
        </w:rPr>
        <w:t xml:space="preserve">二、 </w:t>
      </w:r>
      <w:r>
        <w:rPr>
          <w:rFonts w:hint="eastAsia" w:ascii="仿宋" w:hAnsi="仿宋" w:eastAsia="仿宋" w:cs="仿宋"/>
          <w:b/>
          <w:sz w:val="28"/>
          <w:szCs w:val="28"/>
        </w:rPr>
        <w:t>收入决算情况说明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_Toc3588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ind w:firstLine="562" w:firstLineChars="200"/>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_Toc27630 </w:instrText>
      </w:r>
      <w:r>
        <w:rPr>
          <w:rFonts w:hint="eastAsia" w:ascii="仿宋" w:hAnsi="仿宋" w:eastAsia="仿宋" w:cs="仿宋"/>
          <w:b/>
          <w:sz w:val="28"/>
          <w:szCs w:val="28"/>
        </w:rPr>
        <w:fldChar w:fldCharType="separate"/>
      </w:r>
      <w:r>
        <w:rPr>
          <w:rFonts w:hint="default" w:ascii="仿宋" w:hAnsi="仿宋" w:eastAsia="仿宋" w:cs="仿宋"/>
          <w:b/>
          <w:sz w:val="28"/>
          <w:szCs w:val="28"/>
        </w:rPr>
        <w:t xml:space="preserve">三、 </w:t>
      </w:r>
      <w:r>
        <w:rPr>
          <w:rFonts w:hint="eastAsia" w:ascii="仿宋" w:hAnsi="仿宋" w:eastAsia="仿宋" w:cs="仿宋"/>
          <w:b/>
          <w:sz w:val="28"/>
          <w:szCs w:val="28"/>
        </w:rPr>
        <w:t>支出决算情况说明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_Toc27630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ind w:firstLine="562" w:firstLineChars="200"/>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_Toc18813 </w:instrText>
      </w:r>
      <w:r>
        <w:rPr>
          <w:rFonts w:hint="eastAsia" w:ascii="仿宋" w:hAnsi="仿宋" w:eastAsia="仿宋" w:cs="仿宋"/>
          <w:b/>
          <w:sz w:val="28"/>
          <w:szCs w:val="28"/>
        </w:rPr>
        <w:fldChar w:fldCharType="separate"/>
      </w:r>
      <w:r>
        <w:rPr>
          <w:rFonts w:hint="eastAsia" w:ascii="仿宋" w:hAnsi="仿宋" w:eastAsia="仿宋" w:cs="仿宋"/>
          <w:b/>
          <w:sz w:val="28"/>
          <w:szCs w:val="28"/>
        </w:rPr>
        <w:t>四、财政拨款收入支出决算总体情况说明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_Toc18813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ind w:firstLine="562" w:firstLineChars="200"/>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_Toc18810 </w:instrText>
      </w:r>
      <w:r>
        <w:rPr>
          <w:rFonts w:hint="eastAsia" w:ascii="仿宋" w:hAnsi="仿宋" w:eastAsia="仿宋" w:cs="仿宋"/>
          <w:b/>
          <w:sz w:val="28"/>
          <w:szCs w:val="28"/>
        </w:rPr>
        <w:fldChar w:fldCharType="separate"/>
      </w:r>
      <w:r>
        <w:rPr>
          <w:rFonts w:hint="eastAsia" w:ascii="仿宋" w:hAnsi="仿宋" w:eastAsia="仿宋" w:cs="仿宋"/>
          <w:b/>
          <w:sz w:val="28"/>
          <w:szCs w:val="28"/>
        </w:rPr>
        <w:t>五、一般公共预算财政拨款支出决算情况说明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_Toc18810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ind w:firstLine="562" w:firstLineChars="200"/>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_Toc16247 </w:instrText>
      </w:r>
      <w:r>
        <w:rPr>
          <w:rFonts w:hint="eastAsia" w:ascii="仿宋" w:hAnsi="仿宋" w:eastAsia="仿宋" w:cs="仿宋"/>
          <w:b/>
          <w:sz w:val="28"/>
          <w:szCs w:val="28"/>
        </w:rPr>
        <w:fldChar w:fldCharType="separate"/>
      </w:r>
      <w:r>
        <w:rPr>
          <w:rFonts w:hint="eastAsia" w:ascii="仿宋" w:hAnsi="仿宋" w:eastAsia="仿宋" w:cs="仿宋"/>
          <w:b/>
          <w:sz w:val="28"/>
          <w:szCs w:val="28"/>
        </w:rPr>
        <w:t>六、一般公共预算财政拨款基本支出决算情况说明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_Toc16247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ind w:firstLine="562" w:firstLineChars="200"/>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_Toc27409 </w:instrText>
      </w:r>
      <w:r>
        <w:rPr>
          <w:rFonts w:hint="eastAsia" w:ascii="仿宋" w:hAnsi="仿宋" w:eastAsia="仿宋" w:cs="仿宋"/>
          <w:b/>
          <w:sz w:val="28"/>
          <w:szCs w:val="28"/>
        </w:rPr>
        <w:fldChar w:fldCharType="separate"/>
      </w:r>
      <w:r>
        <w:rPr>
          <w:rFonts w:hint="eastAsia" w:ascii="仿宋" w:hAnsi="仿宋" w:eastAsia="仿宋" w:cs="仿宋"/>
          <w:b/>
          <w:sz w:val="28"/>
          <w:szCs w:val="28"/>
        </w:rPr>
        <w:t>七、财政拨款“三公”经费支出决算情况说明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_Toc27409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ind w:firstLine="562" w:firstLineChars="200"/>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_Toc12609 </w:instrText>
      </w:r>
      <w:r>
        <w:rPr>
          <w:rFonts w:hint="eastAsia" w:ascii="仿宋" w:hAnsi="仿宋" w:eastAsia="仿宋" w:cs="仿宋"/>
          <w:b/>
          <w:sz w:val="28"/>
          <w:szCs w:val="28"/>
        </w:rPr>
        <w:fldChar w:fldCharType="separate"/>
      </w:r>
      <w:r>
        <w:rPr>
          <w:rFonts w:hint="eastAsia" w:ascii="仿宋" w:hAnsi="仿宋" w:eastAsia="仿宋" w:cs="仿宋"/>
          <w:b/>
          <w:sz w:val="28"/>
          <w:szCs w:val="28"/>
        </w:rPr>
        <w:t>八、政府性基金预算支出决算情况说明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_Toc12609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ind w:firstLine="562" w:firstLineChars="200"/>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_Toc28326 </w:instrText>
      </w:r>
      <w:r>
        <w:rPr>
          <w:rFonts w:hint="eastAsia" w:ascii="仿宋" w:hAnsi="仿宋" w:eastAsia="仿宋" w:cs="仿宋"/>
          <w:b/>
          <w:sz w:val="28"/>
          <w:szCs w:val="28"/>
        </w:rPr>
        <w:fldChar w:fldCharType="separate"/>
      </w:r>
      <w:r>
        <w:rPr>
          <w:rFonts w:hint="eastAsia" w:ascii="仿宋" w:hAnsi="仿宋" w:eastAsia="仿宋" w:cs="仿宋"/>
          <w:b/>
          <w:sz w:val="28"/>
          <w:szCs w:val="28"/>
        </w:rPr>
        <w:t>九、 国有资本经营预算支出决算情况说明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_Toc28326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ind w:firstLine="562" w:firstLineChars="200"/>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_Toc1479 </w:instrText>
      </w:r>
      <w:r>
        <w:rPr>
          <w:rFonts w:hint="eastAsia" w:ascii="仿宋" w:hAnsi="仿宋" w:eastAsia="仿宋" w:cs="仿宋"/>
          <w:b/>
          <w:sz w:val="28"/>
          <w:szCs w:val="28"/>
        </w:rPr>
        <w:fldChar w:fldCharType="separate"/>
      </w:r>
      <w:r>
        <w:rPr>
          <w:rFonts w:hint="eastAsia" w:ascii="仿宋" w:hAnsi="仿宋" w:eastAsia="仿宋" w:cs="仿宋"/>
          <w:b/>
          <w:sz w:val="28"/>
          <w:szCs w:val="28"/>
        </w:rPr>
        <w:t>十、 其他重要事项的情况说明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_Toc1479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_Toc5355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第三部分 名词解释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_Toc5355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_Toc31721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_Toc31721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_Toc30437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第五部分 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_Toc30437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rPr>
          <w:rFonts w:hint="eastAsia" w:ascii="黑体" w:hAnsi="黑体" w:eastAsia="黑体"/>
          <w:b w:val="0"/>
        </w:rPr>
      </w:pPr>
      <w:r>
        <w:rPr>
          <w:rFonts w:hint="eastAsia" w:ascii="仿宋" w:hAnsi="仿宋" w:eastAsia="仿宋" w:cs="仿宋"/>
          <w:b/>
          <w:sz w:val="28"/>
          <w:szCs w:val="28"/>
        </w:rPr>
        <w:fldChar w:fldCharType="end"/>
      </w:r>
      <w:bookmarkStart w:id="15" w:name="_Toc15396599"/>
      <w:bookmarkStart w:id="16" w:name="_Toc9961"/>
      <w:bookmarkStart w:id="17" w:name="_Toc15377196"/>
    </w:p>
    <w:p>
      <w:pPr>
        <w:pStyle w:val="2"/>
        <w:jc w:val="center"/>
        <w:rPr>
          <w:rFonts w:ascii="黑体" w:eastAsia="黑体"/>
          <w:sz w:val="32"/>
          <w:szCs w:val="32"/>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5"/>
      <w:bookmarkEnd w:id="16"/>
      <w:bookmarkEnd w:id="17"/>
    </w:p>
    <w:p>
      <w:pPr>
        <w:pStyle w:val="3"/>
        <w:rPr>
          <w:rStyle w:val="28"/>
          <w:rFonts w:ascii="仿宋" w:hAnsi="仿宋" w:eastAsia="黑体"/>
          <w:b w:val="0"/>
          <w:bCs w:val="0"/>
        </w:rPr>
      </w:pPr>
      <w:bookmarkStart w:id="18" w:name="_Toc15396600"/>
      <w:bookmarkStart w:id="19" w:name="_Toc15377197"/>
      <w:bookmarkStart w:id="20" w:name="_Toc10254"/>
      <w:r>
        <w:rPr>
          <w:rFonts w:hint="eastAsia" w:ascii="黑体" w:hAnsi="黑体" w:eastAsia="黑体"/>
          <w:b w:val="0"/>
        </w:rPr>
        <w:t>一、</w:t>
      </w:r>
      <w:bookmarkEnd w:id="18"/>
      <w:bookmarkEnd w:id="19"/>
      <w:r>
        <w:rPr>
          <w:rFonts w:hint="eastAsia" w:ascii="黑体" w:hAnsi="黑体" w:eastAsia="黑体"/>
          <w:b w:val="0"/>
        </w:rPr>
        <w:t>部门职责</w:t>
      </w:r>
      <w:bookmarkEnd w:id="20"/>
    </w:p>
    <w:p>
      <w:pPr>
        <w:spacing w:line="540" w:lineRule="exact"/>
        <w:ind w:firstLine="640" w:firstLineChars="200"/>
        <w:rPr>
          <w:rFonts w:hint="eastAsia" w:ascii="仿宋" w:hAnsi="仿宋" w:eastAsia="仿宋"/>
          <w:color w:val="auto"/>
          <w:sz w:val="32"/>
          <w:szCs w:val="32"/>
          <w:highlight w:val="none"/>
          <w:lang w:val="en-US" w:eastAsia="zh-CN"/>
        </w:rPr>
      </w:pPr>
      <w:bookmarkStart w:id="21" w:name="_Toc15377200"/>
      <w:bookmarkStart w:id="22" w:name="_Toc15396601"/>
      <w:r>
        <w:rPr>
          <w:rFonts w:hint="eastAsia" w:ascii="仿宋" w:hAnsi="仿宋" w:eastAsia="仿宋"/>
          <w:color w:val="auto"/>
          <w:sz w:val="32"/>
          <w:szCs w:val="32"/>
          <w:highlight w:val="none"/>
          <w:lang w:val="en-US" w:eastAsia="zh-CN"/>
        </w:rPr>
        <w:t>（一）研究制定全市供销社发展战略和发展规划，指导全市供销社的发展和改革；</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（二）宣传贯彻党中央、国务院、省委、省政府、市委、市政府有关农村经济工作的方针、政策；</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（三）按照市政府授权对重要农业生产资料、农副产品、烟花爆竹经营进行组织、协调和管理；</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（四）组织或参与农民专业合作社、农产品行业协会，农村社区综合服务社建立和发展，推进农业产业化经营；</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（五）负责全市农村现代流通网络建设项目规划和组织实施；</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（六）协调与政府有关部门、社会组织的关系，对社有控（参）股企业和组织参与的合作经济组织进行业务指导，促进城乡物资交流。行使本级社有资产出资人代表职能，监督社有资产保值增值；</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（七）维护全市供销合作社的合法权益，向政府和有关部门反映农民社员和基层供销社的意见及要求；</w:t>
      </w:r>
    </w:p>
    <w:p>
      <w:pPr>
        <w:spacing w:line="540" w:lineRule="exact"/>
        <w:ind w:firstLine="640" w:firstLineChars="200"/>
        <w:rPr>
          <w:rFonts w:hint="eastAsia" w:ascii="黑体" w:eastAsia="黑体"/>
          <w:b w:val="0"/>
        </w:rPr>
      </w:pPr>
      <w:r>
        <w:rPr>
          <w:rFonts w:hint="eastAsia" w:ascii="仿宋" w:hAnsi="仿宋" w:eastAsia="仿宋"/>
          <w:color w:val="auto"/>
          <w:sz w:val="32"/>
          <w:szCs w:val="32"/>
          <w:highlight w:val="none"/>
          <w:lang w:val="en-US" w:eastAsia="zh-CN"/>
        </w:rPr>
        <w:t>（八）承办市政府交办的其它事项。</w:t>
      </w:r>
    </w:p>
    <w:p>
      <w:pPr>
        <w:pStyle w:val="3"/>
        <w:rPr>
          <w:rStyle w:val="28"/>
          <w:b w:val="0"/>
          <w:bCs w:val="0"/>
        </w:rPr>
      </w:pPr>
      <w:bookmarkStart w:id="23" w:name="_Toc30066"/>
      <w:r>
        <w:rPr>
          <w:rFonts w:hint="eastAsia" w:ascii="黑体" w:eastAsia="黑体"/>
          <w:b w:val="0"/>
        </w:rPr>
        <w:t>二、</w:t>
      </w:r>
      <w:r>
        <w:rPr>
          <w:rFonts w:hint="eastAsia" w:ascii="黑体" w:hAnsi="黑体" w:eastAsia="黑体"/>
          <w:b w:val="0"/>
        </w:rPr>
        <w:t>机</w:t>
      </w:r>
      <w:r>
        <w:rPr>
          <w:rStyle w:val="28"/>
          <w:rFonts w:hint="eastAsia" w:ascii="黑体" w:hAnsi="黑体" w:eastAsia="黑体"/>
          <w:b w:val="0"/>
          <w:bCs w:val="0"/>
        </w:rPr>
        <w:t>构设置</w:t>
      </w:r>
      <w:bookmarkEnd w:id="21"/>
      <w:bookmarkEnd w:id="22"/>
      <w:bookmarkEnd w:id="23"/>
    </w:p>
    <w:p>
      <w:pPr>
        <w:spacing w:line="54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万源市供销社是市政府直属事业单位（参公管理正科级），内设三股二室（办公室、社务股、人事股、财务股、监事会办公室）。</w:t>
      </w:r>
    </w:p>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center"/>
        <w:rPr>
          <w:rStyle w:val="27"/>
          <w:rFonts w:ascii="黑体" w:hAnsi="黑体" w:eastAsia="黑体"/>
          <w:b w:val="0"/>
          <w:bCs/>
        </w:rPr>
      </w:pPr>
      <w:bookmarkStart w:id="24" w:name="_Toc15377204"/>
      <w:bookmarkStart w:id="25" w:name="_Toc12606"/>
      <w:bookmarkStart w:id="26" w:name="_Toc15396602"/>
      <w:r>
        <w:rPr>
          <w:rFonts w:hint="eastAsia" w:ascii="黑体" w:hAnsi="黑体" w:eastAsia="黑体"/>
          <w:b w:val="0"/>
        </w:rPr>
        <w:t>第二部分 2023年度</w:t>
      </w:r>
      <w:r>
        <w:rPr>
          <w:rStyle w:val="27"/>
          <w:rFonts w:hint="eastAsia" w:ascii="黑体" w:hAnsi="黑体" w:eastAsia="黑体"/>
          <w:b w:val="0"/>
          <w:bCs/>
        </w:rPr>
        <w:t>部门决算情况说明</w:t>
      </w:r>
      <w:bookmarkEnd w:id="24"/>
      <w:bookmarkEnd w:id="25"/>
      <w:bookmarkEnd w:id="26"/>
    </w:p>
    <w:p/>
    <w:p>
      <w:pPr>
        <w:pStyle w:val="26"/>
        <w:numPr>
          <w:ilvl w:val="0"/>
          <w:numId w:val="1"/>
        </w:numPr>
        <w:spacing w:line="600" w:lineRule="exact"/>
        <w:ind w:firstLineChars="0"/>
        <w:outlineLvl w:val="1"/>
        <w:rPr>
          <w:rStyle w:val="28"/>
          <w:rFonts w:ascii="黑体" w:hAnsi="黑体" w:eastAsia="黑体"/>
          <w:b w:val="0"/>
        </w:rPr>
      </w:pPr>
      <w:bookmarkStart w:id="27" w:name="_Toc15377205"/>
      <w:bookmarkStart w:id="28" w:name="_Toc15396603"/>
      <w:bookmarkStart w:id="29" w:name="_Toc3748"/>
      <w:r>
        <w:rPr>
          <w:rFonts w:hint="eastAsia" w:ascii="黑体" w:hAnsi="黑体" w:eastAsia="黑体"/>
          <w:sz w:val="32"/>
          <w:szCs w:val="32"/>
        </w:rPr>
        <w:t>收</w:t>
      </w:r>
      <w:r>
        <w:rPr>
          <w:rStyle w:val="28"/>
          <w:rFonts w:hint="eastAsia" w:ascii="黑体" w:hAnsi="黑体" w:eastAsia="黑体"/>
          <w:b w:val="0"/>
        </w:rPr>
        <w:t>入支出决算总体情况说明</w:t>
      </w:r>
      <w:bookmarkEnd w:id="27"/>
      <w:bookmarkEnd w:id="28"/>
      <w:bookmarkEnd w:id="29"/>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2023年度收、支总计均为</w:t>
      </w:r>
      <w:r>
        <w:rPr>
          <w:rFonts w:hint="eastAsia"/>
          <w:sz w:val="32"/>
          <w:szCs w:val="32"/>
        </w:rPr>
        <w:t>1173.39</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与2022年度相比，收、支总计各减少</w:t>
      </w:r>
      <w:r>
        <w:rPr>
          <w:rFonts w:hint="eastAsia" w:ascii="仿宋" w:hAnsi="仿宋" w:eastAsia="仿宋"/>
          <w:sz w:val="32"/>
          <w:szCs w:val="32"/>
          <w:lang w:val="en-US" w:eastAsia="zh-CN"/>
        </w:rPr>
        <w:t>172.57</w:t>
      </w:r>
      <w:r>
        <w:rPr>
          <w:rFonts w:hint="eastAsia" w:ascii="仿宋" w:hAnsi="仿宋" w:eastAsia="仿宋"/>
          <w:sz w:val="32"/>
          <w:szCs w:val="32"/>
        </w:rPr>
        <w:t>万元，下降</w:t>
      </w:r>
      <w:r>
        <w:rPr>
          <w:rFonts w:hint="eastAsia" w:ascii="仿宋" w:hAnsi="仿宋" w:eastAsia="仿宋"/>
          <w:sz w:val="32"/>
          <w:szCs w:val="32"/>
          <w:lang w:val="en-US" w:eastAsia="zh-CN"/>
        </w:rPr>
        <w:t>14.71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减少</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商业服务业和粮油物资储备</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减少</w:t>
      </w:r>
      <w:r>
        <w:rPr>
          <w:rFonts w:hint="eastAsia" w:ascii="仿宋" w:hAnsi="仿宋" w:eastAsia="仿宋"/>
          <w:sz w:val="32"/>
          <w:szCs w:val="32"/>
        </w:rPr>
        <w:t>。</w:t>
      </w:r>
    </w:p>
    <w:p>
      <w:pPr>
        <w:spacing w:line="60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13335</wp:posOffset>
            </wp:positionV>
            <wp:extent cx="4923155" cy="2331720"/>
            <wp:effectExtent l="4445" t="4445" r="6350" b="698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jc w:val="left"/>
        <w:rPr>
          <w:rFonts w:hint="eastAsia" w:ascii="仿宋" w:hAnsi="仿宋" w:eastAsia="仿宋"/>
          <w:sz w:val="32"/>
          <w:szCs w:val="32"/>
          <w:lang w:eastAsia="zh-CN"/>
        </w:rPr>
      </w:pPr>
    </w:p>
    <w:p>
      <w:pPr>
        <w:spacing w:line="600" w:lineRule="exact"/>
        <w:ind w:firstLine="640" w:firstLineChars="200"/>
        <w:jc w:val="left"/>
        <w:rPr>
          <w:rFonts w:hint="eastAsia" w:ascii="仿宋" w:hAnsi="仿宋" w:eastAsia="仿宋"/>
          <w:sz w:val="32"/>
          <w:szCs w:val="32"/>
          <w:lang w:eastAsia="zh-CN"/>
        </w:rPr>
      </w:pPr>
    </w:p>
    <w:p>
      <w:pPr>
        <w:spacing w:line="600" w:lineRule="exact"/>
        <w:ind w:firstLine="640" w:firstLineChars="200"/>
        <w:jc w:val="left"/>
        <w:rPr>
          <w:rFonts w:hint="eastAsia" w:ascii="仿宋" w:hAnsi="仿宋" w:eastAsia="仿宋"/>
          <w:sz w:val="32"/>
          <w:szCs w:val="32"/>
          <w:lang w:eastAsia="zh-CN"/>
        </w:rPr>
      </w:pPr>
    </w:p>
    <w:p>
      <w:pPr>
        <w:spacing w:line="600" w:lineRule="exact"/>
        <w:ind w:firstLine="640" w:firstLineChars="200"/>
        <w:jc w:val="left"/>
        <w:rPr>
          <w:rFonts w:hint="eastAsia" w:ascii="仿宋" w:hAnsi="仿宋" w:eastAsia="仿宋"/>
          <w:sz w:val="32"/>
          <w:szCs w:val="32"/>
          <w:lang w:eastAsia="zh-CN"/>
        </w:rPr>
      </w:pPr>
    </w:p>
    <w:p>
      <w:pPr>
        <w:spacing w:line="600" w:lineRule="exact"/>
        <w:jc w:val="left"/>
        <w:rPr>
          <w:rFonts w:hint="eastAsia" w:ascii="仿宋" w:hAnsi="仿宋" w:eastAsia="仿宋"/>
          <w:sz w:val="32"/>
          <w:szCs w:val="32"/>
          <w:lang w:eastAsia="zh-CN"/>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6"/>
        <w:numPr>
          <w:ilvl w:val="0"/>
          <w:numId w:val="1"/>
        </w:numPr>
        <w:spacing w:line="600" w:lineRule="exact"/>
        <w:ind w:firstLineChars="0"/>
        <w:outlineLvl w:val="1"/>
        <w:rPr>
          <w:rStyle w:val="28"/>
          <w:rFonts w:ascii="黑体" w:hAnsi="黑体" w:eastAsia="黑体"/>
          <w:b w:val="0"/>
        </w:rPr>
      </w:pPr>
      <w:bookmarkStart w:id="30" w:name="_Toc15396604"/>
      <w:bookmarkStart w:id="31" w:name="_Toc15377206"/>
      <w:bookmarkStart w:id="32" w:name="_Toc3588"/>
      <w:r>
        <w:rPr>
          <w:rFonts w:hint="eastAsia" w:ascii="黑体" w:hAnsi="黑体" w:eastAsia="黑体"/>
          <w:sz w:val="32"/>
          <w:szCs w:val="32"/>
        </w:rPr>
        <w:t>收</w:t>
      </w:r>
      <w:r>
        <w:rPr>
          <w:rStyle w:val="28"/>
          <w:rFonts w:hint="eastAsia" w:ascii="黑体" w:hAnsi="黑体" w:eastAsia="黑体"/>
          <w:b w:val="0"/>
        </w:rPr>
        <w:t>入决算情况说明</w:t>
      </w:r>
      <w:bookmarkEnd w:id="30"/>
      <w:bookmarkEnd w:id="31"/>
      <w:bookmarkEnd w:id="32"/>
    </w:p>
    <w:p>
      <w:pPr>
        <w:spacing w:line="600" w:lineRule="exact"/>
        <w:ind w:firstLine="640" w:firstLineChars="200"/>
        <w:jc w:val="left"/>
        <w:outlineLvl w:val="1"/>
        <w:rPr>
          <w:rFonts w:ascii="仿宋" w:hAnsi="仿宋" w:eastAsia="仿宋"/>
          <w:sz w:val="32"/>
          <w:szCs w:val="32"/>
        </w:rPr>
      </w:pPr>
      <w:bookmarkStart w:id="33" w:name="_Toc11100"/>
      <w:r>
        <w:rPr>
          <w:rFonts w:hint="eastAsia" w:ascii="仿宋" w:hAnsi="仿宋" w:eastAsia="仿宋"/>
          <w:sz w:val="32"/>
          <w:szCs w:val="32"/>
        </w:rPr>
        <w:t>2023年度本年收入合计</w:t>
      </w:r>
      <w:r>
        <w:rPr>
          <w:sz w:val="32"/>
          <w:szCs w:val="32"/>
        </w:rPr>
        <w:t>1173.39</w:t>
      </w:r>
      <w:r>
        <w:rPr>
          <w:rFonts w:hint="eastAsia" w:ascii="仿宋" w:hAnsi="仿宋" w:eastAsia="仿宋"/>
          <w:sz w:val="32"/>
          <w:szCs w:val="32"/>
        </w:rPr>
        <w:t>万元，其中：一般公共预算财政拨款收入</w:t>
      </w:r>
      <w:r>
        <w:rPr>
          <w:sz w:val="32"/>
          <w:szCs w:val="32"/>
        </w:rPr>
        <w:t>1173.39</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bookmarkEnd w:id="33"/>
    </w:p>
    <w:p>
      <w:pPr>
        <w:spacing w:line="600" w:lineRule="exact"/>
        <w:ind w:firstLine="643" w:firstLineChars="200"/>
        <w:outlineLvl w:val="1"/>
        <w:rPr>
          <w:rFonts w:ascii="仿宋" w:hAnsi="仿宋" w:eastAsia="仿宋"/>
          <w:b/>
          <w:sz w:val="32"/>
          <w:szCs w:val="32"/>
        </w:rPr>
      </w:pPr>
      <w:bookmarkStart w:id="34" w:name="_Toc6749"/>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w:t>
      </w: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430530</wp:posOffset>
            </wp:positionH>
            <wp:positionV relativeFrom="paragraph">
              <wp:posOffset>366395</wp:posOffset>
            </wp:positionV>
            <wp:extent cx="4544695" cy="2369820"/>
            <wp:effectExtent l="4445" t="4445" r="22860" b="698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b/>
          <w:sz w:val="32"/>
          <w:szCs w:val="32"/>
        </w:rPr>
        <w:t>入。</w:t>
      </w:r>
      <w:r>
        <w:rPr>
          <w:rFonts w:ascii="仿宋" w:hAnsi="仿宋" w:eastAsia="仿宋"/>
          <w:b/>
          <w:sz w:val="32"/>
          <w:szCs w:val="32"/>
        </w:rPr>
        <w:t>）</w:t>
      </w:r>
      <w:bookmarkEnd w:id="34"/>
    </w:p>
    <w:p>
      <w:pPr>
        <w:spacing w:line="600" w:lineRule="exact"/>
        <w:ind w:firstLine="643" w:firstLineChars="200"/>
        <w:outlineLvl w:val="1"/>
        <w:rPr>
          <w:rFonts w:ascii="仿宋" w:hAnsi="仿宋" w:eastAsia="仿宋"/>
          <w:b/>
          <w:sz w:val="32"/>
          <w:szCs w:val="32"/>
        </w:rPr>
      </w:pPr>
    </w:p>
    <w:p>
      <w:pPr>
        <w:spacing w:line="600" w:lineRule="exact"/>
        <w:ind w:firstLine="640" w:firstLineChars="200"/>
        <w:outlineLvl w:val="1"/>
        <w:rPr>
          <w:rFonts w:hint="eastAsia" w:ascii="仿宋" w:hAnsi="仿宋" w:eastAsia="仿宋"/>
          <w:sz w:val="32"/>
          <w:szCs w:val="32"/>
          <w:lang w:eastAsia="zh-CN"/>
        </w:rPr>
      </w:pPr>
    </w:p>
    <w:p>
      <w:pPr>
        <w:spacing w:line="600" w:lineRule="exact"/>
        <w:ind w:firstLine="640" w:firstLineChars="200"/>
        <w:outlineLvl w:val="1"/>
        <w:rPr>
          <w:rFonts w:hint="eastAsia" w:ascii="仿宋" w:hAnsi="仿宋" w:eastAsia="仿宋"/>
          <w:sz w:val="32"/>
          <w:szCs w:val="32"/>
          <w:lang w:eastAsia="zh-CN"/>
        </w:rPr>
      </w:pPr>
    </w:p>
    <w:p>
      <w:pPr>
        <w:spacing w:line="600" w:lineRule="exact"/>
        <w:ind w:firstLine="640" w:firstLineChars="200"/>
        <w:outlineLvl w:val="1"/>
        <w:rPr>
          <w:rFonts w:hint="eastAsia" w:ascii="仿宋" w:hAnsi="仿宋" w:eastAsia="仿宋"/>
          <w:sz w:val="32"/>
          <w:szCs w:val="32"/>
          <w:lang w:eastAsia="zh-CN"/>
        </w:rPr>
      </w:pPr>
    </w:p>
    <w:p>
      <w:pPr>
        <w:spacing w:line="600" w:lineRule="exact"/>
        <w:ind w:firstLine="640" w:firstLineChars="200"/>
        <w:outlineLvl w:val="1"/>
        <w:rPr>
          <w:rFonts w:hint="eastAsia" w:ascii="仿宋" w:hAnsi="仿宋" w:eastAsia="仿宋"/>
          <w:sz w:val="32"/>
          <w:szCs w:val="32"/>
          <w:lang w:eastAsia="zh-CN"/>
        </w:rPr>
      </w:pPr>
    </w:p>
    <w:p>
      <w:pPr>
        <w:spacing w:line="600" w:lineRule="exact"/>
        <w:ind w:firstLine="640" w:firstLineChars="200"/>
        <w:outlineLvl w:val="1"/>
        <w:rPr>
          <w:rFonts w:hint="eastAsia" w:ascii="仿宋" w:hAnsi="仿宋" w:eastAsia="仿宋"/>
          <w:sz w:val="32"/>
          <w:szCs w:val="32"/>
          <w:lang w:eastAsia="zh-CN"/>
        </w:rPr>
      </w:pPr>
    </w:p>
    <w:p>
      <w:pPr>
        <w:spacing w:line="600" w:lineRule="exact"/>
        <w:ind w:firstLine="1280" w:firstLineChars="400"/>
        <w:rPr>
          <w:rFonts w:ascii="仿宋_GB2312" w:eastAsia="仿宋_GB2312"/>
          <w:sz w:val="32"/>
          <w:szCs w:val="32"/>
        </w:rPr>
      </w:pPr>
      <w:r>
        <w:rPr>
          <w:rFonts w:hint="eastAsia" w:ascii="仿宋" w:hAnsi="仿宋" w:eastAsia="仿宋"/>
          <w:sz w:val="32"/>
          <w:szCs w:val="32"/>
        </w:rPr>
        <w:t>（图2：收入决算结构图）（饼状图）</w:t>
      </w:r>
    </w:p>
    <w:p>
      <w:pPr>
        <w:pStyle w:val="26"/>
        <w:numPr>
          <w:ilvl w:val="0"/>
          <w:numId w:val="1"/>
        </w:numPr>
        <w:spacing w:line="600" w:lineRule="exact"/>
        <w:ind w:firstLineChars="0"/>
        <w:outlineLvl w:val="1"/>
        <w:rPr>
          <w:rStyle w:val="28"/>
          <w:rFonts w:ascii="黑体" w:hAnsi="黑体" w:eastAsia="黑体"/>
          <w:b w:val="0"/>
        </w:rPr>
      </w:pPr>
      <w:bookmarkStart w:id="35" w:name="_Toc27630"/>
      <w:bookmarkStart w:id="36" w:name="_Toc15377207"/>
      <w:bookmarkStart w:id="37" w:name="_Toc15396605"/>
      <w:r>
        <w:rPr>
          <w:rFonts w:hint="eastAsia" w:ascii="黑体" w:hAnsi="黑体" w:eastAsia="黑体"/>
          <w:sz w:val="32"/>
          <w:szCs w:val="32"/>
        </w:rPr>
        <w:t>支</w:t>
      </w:r>
      <w:r>
        <w:rPr>
          <w:rStyle w:val="28"/>
          <w:rFonts w:hint="eastAsia" w:ascii="黑体" w:hAnsi="黑体" w:eastAsia="黑体"/>
          <w:b w:val="0"/>
        </w:rPr>
        <w:t>出决算情况说明</w:t>
      </w:r>
      <w:bookmarkEnd w:id="35"/>
      <w:bookmarkEnd w:id="36"/>
      <w:bookmarkEnd w:id="37"/>
    </w:p>
    <w:p>
      <w:pPr>
        <w:spacing w:line="600" w:lineRule="exact"/>
        <w:ind w:firstLine="640" w:firstLineChars="200"/>
        <w:outlineLvl w:val="1"/>
        <w:rPr>
          <w:rFonts w:ascii="仿宋" w:hAnsi="仿宋" w:eastAsia="仿宋"/>
          <w:sz w:val="32"/>
          <w:szCs w:val="32"/>
        </w:rPr>
      </w:pPr>
      <w:bookmarkStart w:id="38" w:name="_Toc110"/>
      <w:r>
        <w:rPr>
          <w:rFonts w:hint="eastAsia" w:ascii="仿宋" w:hAnsi="仿宋" w:eastAsia="仿宋"/>
          <w:sz w:val="32"/>
          <w:szCs w:val="32"/>
        </w:rPr>
        <w:t>2023年度本年支出合计</w:t>
      </w:r>
      <w:r>
        <w:rPr>
          <w:sz w:val="32"/>
          <w:szCs w:val="32"/>
        </w:rPr>
        <w:t>1173.39</w:t>
      </w:r>
      <w:r>
        <w:rPr>
          <w:rFonts w:hint="eastAsia" w:ascii="仿宋" w:hAnsi="仿宋" w:eastAsia="仿宋"/>
          <w:sz w:val="32"/>
          <w:szCs w:val="32"/>
        </w:rPr>
        <w:t>万元，其中：基本支出</w:t>
      </w:r>
      <w:r>
        <w:rPr>
          <w:sz w:val="32"/>
          <w:szCs w:val="32"/>
        </w:rPr>
        <w:t>296.29</w:t>
      </w:r>
      <w:r>
        <w:rPr>
          <w:rFonts w:hint="eastAsia" w:ascii="仿宋" w:hAnsi="仿宋" w:eastAsia="仿宋"/>
          <w:sz w:val="32"/>
          <w:szCs w:val="32"/>
        </w:rPr>
        <w:t>万元，占</w:t>
      </w:r>
      <w:r>
        <w:rPr>
          <w:sz w:val="32"/>
          <w:szCs w:val="32"/>
        </w:rPr>
        <w:t>25.25</w:t>
      </w:r>
      <w:r>
        <w:rPr>
          <w:rFonts w:ascii="仿宋" w:hAnsi="仿宋" w:eastAsia="仿宋"/>
          <w:sz w:val="32"/>
          <w:szCs w:val="32"/>
        </w:rPr>
        <w:t>%</w:t>
      </w:r>
      <w:r>
        <w:rPr>
          <w:rFonts w:hint="eastAsia" w:ascii="仿宋" w:hAnsi="仿宋" w:eastAsia="仿宋"/>
          <w:sz w:val="32"/>
          <w:szCs w:val="32"/>
        </w:rPr>
        <w:t>；项目支出</w:t>
      </w:r>
      <w:r>
        <w:rPr>
          <w:sz w:val="32"/>
          <w:szCs w:val="32"/>
        </w:rPr>
        <w:t>877.1</w:t>
      </w:r>
      <w:r>
        <w:rPr>
          <w:rFonts w:hint="eastAsia" w:ascii="仿宋" w:hAnsi="仿宋" w:eastAsia="仿宋"/>
          <w:sz w:val="32"/>
          <w:szCs w:val="32"/>
        </w:rPr>
        <w:t>万元，占</w:t>
      </w:r>
      <w:r>
        <w:rPr>
          <w:sz w:val="32"/>
          <w:szCs w:val="32"/>
        </w:rPr>
        <w:t>74.74</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bookmarkEnd w:id="38"/>
    </w:p>
    <w:p>
      <w:pPr>
        <w:spacing w:line="600" w:lineRule="exact"/>
        <w:ind w:firstLine="643" w:firstLineChars="200"/>
        <w:outlineLvl w:val="1"/>
        <w:rPr>
          <w:rFonts w:hint="eastAsia" w:ascii="仿宋" w:hAnsi="仿宋" w:eastAsia="仿宋"/>
          <w:b/>
          <w:sz w:val="32"/>
          <w:szCs w:val="32"/>
          <w:lang w:eastAsia="zh-CN"/>
        </w:rPr>
      </w:pPr>
      <w:bookmarkStart w:id="39" w:name="_Toc14469"/>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bookmarkEnd w:id="39"/>
    </w:p>
    <w:p>
      <w:pPr>
        <w:spacing w:line="600" w:lineRule="exact"/>
        <w:ind w:firstLine="643" w:firstLineChars="200"/>
        <w:outlineLvl w:val="1"/>
        <w:rPr>
          <w:rFonts w:hint="eastAsia" w:ascii="仿宋" w:hAnsi="仿宋" w:eastAsia="仿宋"/>
          <w:b/>
          <w:sz w:val="32"/>
          <w:szCs w:val="32"/>
        </w:rPr>
      </w:pPr>
      <w:r>
        <w:rPr>
          <w:rFonts w:hint="eastAsia" w:ascii="仿宋" w:hAnsi="仿宋" w:eastAsia="仿宋"/>
          <w:b/>
          <w:sz w:val="32"/>
          <w:szCs w:val="32"/>
          <w:lang w:eastAsia="zh-CN"/>
        </w:rPr>
        <w:drawing>
          <wp:anchor distT="0" distB="0" distL="114300" distR="114300" simplePos="0" relativeHeight="251661312" behindDoc="0" locked="0" layoutInCell="1" allowOverlap="1">
            <wp:simplePos x="0" y="0"/>
            <wp:positionH relativeFrom="column">
              <wp:posOffset>306070</wp:posOffset>
            </wp:positionH>
            <wp:positionV relativeFrom="paragraph">
              <wp:posOffset>100330</wp:posOffset>
            </wp:positionV>
            <wp:extent cx="4723765" cy="2464435"/>
            <wp:effectExtent l="4445" t="5080" r="15240" b="698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3" w:firstLineChars="200"/>
        <w:outlineLvl w:val="1"/>
        <w:rPr>
          <w:rFonts w:hint="eastAsia" w:ascii="仿宋" w:hAnsi="仿宋" w:eastAsia="仿宋"/>
          <w:b/>
          <w:sz w:val="32"/>
          <w:szCs w:val="32"/>
        </w:rPr>
      </w:pPr>
    </w:p>
    <w:p>
      <w:pPr>
        <w:spacing w:line="600" w:lineRule="exact"/>
        <w:ind w:firstLine="640"/>
        <w:rPr>
          <w:rFonts w:ascii="仿宋" w:hAnsi="仿宋" w:eastAsia="仿宋"/>
          <w:sz w:val="32"/>
          <w:szCs w:val="32"/>
          <w:shd w:val="pct10" w:color="auto" w:fill="FFFFFF"/>
        </w:rPr>
      </w:pPr>
    </w:p>
    <w:p>
      <w:pPr>
        <w:spacing w:line="600" w:lineRule="exact"/>
        <w:ind w:firstLine="640"/>
        <w:rPr>
          <w:rFonts w:ascii="仿宋" w:hAnsi="仿宋" w:eastAsia="仿宋"/>
          <w:sz w:val="32"/>
          <w:szCs w:val="32"/>
          <w:shd w:val="pct10" w:color="auto" w:fill="FFFFFF"/>
        </w:rPr>
      </w:pPr>
    </w:p>
    <w:p>
      <w:pPr>
        <w:spacing w:line="600" w:lineRule="exact"/>
        <w:ind w:firstLine="640"/>
        <w:rPr>
          <w:rFonts w:ascii="仿宋" w:hAnsi="仿宋" w:eastAsia="仿宋"/>
          <w:sz w:val="32"/>
          <w:szCs w:val="32"/>
          <w:shd w:val="pct10" w:color="auto" w:fill="FFFFFF"/>
        </w:rPr>
      </w:pPr>
    </w:p>
    <w:p>
      <w:pPr>
        <w:spacing w:line="600" w:lineRule="exact"/>
        <w:ind w:firstLine="640" w:firstLineChars="200"/>
        <w:rPr>
          <w:rFonts w:hint="eastAsia" w:ascii="仿宋" w:hAnsi="仿宋" w:eastAsia="仿宋"/>
          <w:sz w:val="32"/>
          <w:szCs w:val="32"/>
        </w:rPr>
      </w:pPr>
    </w:p>
    <w:p>
      <w:pPr>
        <w:spacing w:line="600" w:lineRule="exact"/>
        <w:ind w:firstLine="1280" w:firstLineChars="400"/>
        <w:rPr>
          <w:rFonts w:hint="eastAsia" w:ascii="仿宋" w:hAnsi="仿宋" w:eastAsia="仿宋"/>
          <w:sz w:val="32"/>
          <w:szCs w:val="32"/>
        </w:rPr>
      </w:pPr>
    </w:p>
    <w:p>
      <w:pPr>
        <w:spacing w:line="600" w:lineRule="exact"/>
        <w:ind w:firstLine="1280" w:firstLineChars="4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8"/>
          <w:rFonts w:ascii="黑体" w:hAnsi="黑体" w:eastAsia="黑体"/>
          <w:b w:val="0"/>
        </w:rPr>
      </w:pPr>
      <w:bookmarkStart w:id="40" w:name="_Toc15377208"/>
      <w:bookmarkStart w:id="41" w:name="_Toc18813"/>
      <w:bookmarkStart w:id="42"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40"/>
      <w:bookmarkEnd w:id="41"/>
      <w:bookmarkEnd w:id="42"/>
    </w:p>
    <w:p>
      <w:pPr>
        <w:spacing w:line="600" w:lineRule="exact"/>
        <w:ind w:firstLine="640" w:firstLineChars="200"/>
        <w:jc w:val="left"/>
        <w:rPr>
          <w:rFonts w:ascii="仿宋" w:hAnsi="仿宋" w:eastAsia="仿宋"/>
          <w:b/>
          <w:sz w:val="32"/>
          <w:szCs w:val="32"/>
        </w:rPr>
      </w:pPr>
      <w:r>
        <w:rPr>
          <w:rFonts w:hint="eastAsia" w:ascii="仿宋" w:hAnsi="仿宋" w:eastAsia="仿宋"/>
          <w:sz w:val="32"/>
          <w:szCs w:val="32"/>
        </w:rPr>
        <w:t>2023年度财政拨款收、支总计均为</w:t>
      </w:r>
      <w:r>
        <w:rPr>
          <w:sz w:val="32"/>
          <w:szCs w:val="32"/>
        </w:rPr>
        <w:t>1173.39</w:t>
      </w:r>
      <w:r>
        <w:rPr>
          <w:rFonts w:hint="eastAsia" w:ascii="仿宋" w:hAnsi="仿宋" w:eastAsia="仿宋"/>
          <w:sz w:val="32"/>
          <w:szCs w:val="32"/>
        </w:rPr>
        <w:t>万元。与2022年度相比，财政拨款收、支总计各减少</w:t>
      </w:r>
      <w:r>
        <w:rPr>
          <w:rFonts w:hint="eastAsia" w:ascii="仿宋" w:hAnsi="仿宋" w:eastAsia="仿宋"/>
          <w:sz w:val="32"/>
          <w:szCs w:val="32"/>
          <w:lang w:val="en-US" w:eastAsia="zh-CN"/>
        </w:rPr>
        <w:t>172.57</w:t>
      </w:r>
      <w:r>
        <w:rPr>
          <w:rFonts w:hint="eastAsia" w:ascii="仿宋" w:hAnsi="仿宋" w:eastAsia="仿宋"/>
          <w:sz w:val="32"/>
          <w:szCs w:val="32"/>
        </w:rPr>
        <w:t>万元，下降</w:t>
      </w:r>
      <w:r>
        <w:rPr>
          <w:rFonts w:hint="eastAsia" w:ascii="仿宋" w:hAnsi="仿宋" w:eastAsia="仿宋"/>
          <w:sz w:val="32"/>
          <w:szCs w:val="32"/>
          <w:lang w:val="en-US" w:eastAsia="zh-CN"/>
        </w:rPr>
        <w:t>14.71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减少</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商业服务业和粮油物资储备</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减少。</w:t>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2336" behindDoc="0" locked="0" layoutInCell="1" allowOverlap="1">
            <wp:simplePos x="0" y="0"/>
            <wp:positionH relativeFrom="column">
              <wp:posOffset>300355</wp:posOffset>
            </wp:positionH>
            <wp:positionV relativeFrom="paragraph">
              <wp:posOffset>271145</wp:posOffset>
            </wp:positionV>
            <wp:extent cx="4961255" cy="3445510"/>
            <wp:effectExtent l="4445" t="4445" r="6350" b="1714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Fonts w:hint="eastAsia" w:ascii="黑体" w:hAnsi="黑体" w:eastAsia="黑体"/>
          <w:sz w:val="32"/>
          <w:szCs w:val="32"/>
        </w:rPr>
      </w:pPr>
      <w:bookmarkStart w:id="43" w:name="_Toc15396607"/>
      <w:bookmarkStart w:id="44" w:name="_Toc15377209"/>
    </w:p>
    <w:p>
      <w:pPr>
        <w:spacing w:line="600" w:lineRule="exact"/>
        <w:ind w:firstLine="640" w:firstLineChars="200"/>
        <w:outlineLvl w:val="1"/>
        <w:rPr>
          <w:rStyle w:val="28"/>
          <w:rFonts w:ascii="黑体" w:hAnsi="黑体" w:eastAsia="黑体"/>
          <w:b w:val="0"/>
        </w:rPr>
      </w:pPr>
      <w:bookmarkStart w:id="45" w:name="_Toc18810"/>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3"/>
      <w:bookmarkEnd w:id="44"/>
      <w:bookmarkEnd w:id="45"/>
    </w:p>
    <w:p>
      <w:pPr>
        <w:spacing w:line="600" w:lineRule="exact"/>
        <w:ind w:firstLine="643" w:firstLineChars="200"/>
        <w:outlineLvl w:val="2"/>
        <w:rPr>
          <w:rFonts w:ascii="仿宋" w:hAnsi="仿宋" w:eastAsia="仿宋"/>
          <w:b/>
          <w:sz w:val="32"/>
          <w:szCs w:val="32"/>
        </w:rPr>
      </w:pPr>
      <w:bookmarkStart w:id="46" w:name="_Toc15377210"/>
      <w:r>
        <w:rPr>
          <w:rFonts w:hint="eastAsia" w:ascii="仿宋" w:hAnsi="仿宋" w:eastAsia="仿宋"/>
          <w:b/>
          <w:sz w:val="32"/>
          <w:szCs w:val="32"/>
        </w:rPr>
        <w:t>（一）一般公共预算财政拨款支出决算总体情况</w:t>
      </w:r>
      <w:bookmarkEnd w:id="46"/>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1173.39</w:t>
      </w:r>
      <w:r>
        <w:rPr>
          <w:rFonts w:hint="eastAsia" w:ascii="仿宋" w:hAnsi="仿宋" w:eastAsia="仿宋"/>
          <w:sz w:val="32"/>
          <w:szCs w:val="32"/>
        </w:rPr>
        <w:t>万元，占本年支出合计的</w:t>
      </w:r>
      <w:r>
        <w:rPr>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172.57</w:t>
      </w:r>
      <w:r>
        <w:rPr>
          <w:rFonts w:hint="eastAsia" w:ascii="仿宋" w:hAnsi="仿宋" w:eastAsia="仿宋"/>
          <w:sz w:val="32"/>
          <w:szCs w:val="32"/>
        </w:rPr>
        <w:t>万元，下降</w:t>
      </w:r>
      <w:r>
        <w:rPr>
          <w:rFonts w:hint="eastAsia" w:ascii="仿宋" w:hAnsi="仿宋" w:eastAsia="仿宋"/>
          <w:sz w:val="32"/>
          <w:szCs w:val="32"/>
          <w:lang w:val="en-US" w:eastAsia="zh-CN"/>
        </w:rPr>
        <w:t>14.71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减少</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商业服务业和粮油物资储备</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3360" behindDoc="0" locked="0" layoutInCell="1" allowOverlap="1">
            <wp:simplePos x="0" y="0"/>
            <wp:positionH relativeFrom="column">
              <wp:posOffset>96520</wp:posOffset>
            </wp:positionH>
            <wp:positionV relativeFrom="paragraph">
              <wp:posOffset>81280</wp:posOffset>
            </wp:positionV>
            <wp:extent cx="5152390" cy="2997200"/>
            <wp:effectExtent l="5080" t="4445" r="5080" b="825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hint="eastAsia" w:ascii="仿宋" w:hAnsi="仿宋" w:eastAsia="仿宋"/>
          <w:sz w:val="32"/>
          <w:szCs w:val="32"/>
          <w:lang w:eastAsia="zh-CN"/>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7" w:name="_Toc15377211"/>
      <w:r>
        <w:rPr>
          <w:rFonts w:hint="eastAsia" w:ascii="仿宋" w:hAnsi="仿宋" w:eastAsia="仿宋"/>
          <w:b/>
          <w:sz w:val="32"/>
          <w:szCs w:val="32"/>
        </w:rPr>
        <w:t>（二）一般公共预算财政拨款支出决算结构情况</w:t>
      </w:r>
      <w:bookmarkEnd w:id="47"/>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1173.39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127.01</w:t>
      </w:r>
      <w:r>
        <w:rPr>
          <w:rFonts w:hint="eastAsia" w:ascii="仿宋" w:hAnsi="仿宋" w:eastAsia="仿宋"/>
          <w:sz w:val="32"/>
          <w:szCs w:val="32"/>
        </w:rPr>
        <w:t>万元，占</w:t>
      </w:r>
      <w:r>
        <w:rPr>
          <w:rFonts w:hint="eastAsia" w:ascii="仿宋" w:hAnsi="仿宋" w:eastAsia="仿宋"/>
          <w:sz w:val="32"/>
          <w:szCs w:val="32"/>
          <w:lang w:val="en-US" w:eastAsia="zh-CN"/>
        </w:rPr>
        <w:t>10.82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21.19</w:t>
      </w:r>
      <w:r>
        <w:rPr>
          <w:rFonts w:hint="eastAsia" w:ascii="仿宋" w:hAnsi="仿宋" w:eastAsia="仿宋"/>
          <w:sz w:val="32"/>
          <w:szCs w:val="32"/>
        </w:rPr>
        <w:t>万元，占</w:t>
      </w:r>
      <w:r>
        <w:rPr>
          <w:rFonts w:hint="eastAsia" w:ascii="仿宋" w:hAnsi="仿宋" w:eastAsia="仿宋"/>
          <w:sz w:val="32"/>
          <w:szCs w:val="32"/>
          <w:lang w:val="en-US" w:eastAsia="zh-CN"/>
        </w:rPr>
        <w:t>1.81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9.01</w:t>
      </w:r>
      <w:r>
        <w:rPr>
          <w:rFonts w:hint="eastAsia" w:ascii="仿宋" w:hAnsi="仿宋" w:eastAsia="仿宋"/>
          <w:sz w:val="32"/>
          <w:szCs w:val="32"/>
        </w:rPr>
        <w:t>万元，占</w:t>
      </w:r>
      <w:r>
        <w:rPr>
          <w:rFonts w:hint="eastAsia" w:ascii="仿宋" w:hAnsi="仿宋" w:eastAsia="仿宋"/>
          <w:sz w:val="32"/>
          <w:szCs w:val="32"/>
          <w:lang w:val="en-US" w:eastAsia="zh-CN"/>
        </w:rPr>
        <w:t>0.77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lang w:val="en-US" w:eastAsia="zh-CN"/>
        </w:rPr>
        <w:t>农林水</w:t>
      </w:r>
      <w:r>
        <w:rPr>
          <w:rFonts w:hint="eastAsia" w:ascii="仿宋" w:hAnsi="仿宋" w:eastAsia="仿宋"/>
          <w:b/>
          <w:sz w:val="32"/>
          <w:szCs w:val="32"/>
        </w:rPr>
        <w:t>支出</w:t>
      </w:r>
      <w:r>
        <w:rPr>
          <w:rFonts w:hint="eastAsia" w:ascii="仿宋" w:hAnsi="仿宋" w:eastAsia="仿宋"/>
          <w:sz w:val="32"/>
          <w:szCs w:val="32"/>
          <w:lang w:val="en-US" w:eastAsia="zh-CN"/>
        </w:rPr>
        <w:t>703.75</w:t>
      </w:r>
      <w:r>
        <w:rPr>
          <w:rFonts w:hint="eastAsia" w:ascii="仿宋" w:hAnsi="仿宋" w:eastAsia="仿宋"/>
          <w:sz w:val="32"/>
          <w:szCs w:val="32"/>
        </w:rPr>
        <w:t>万元，占</w:t>
      </w:r>
      <w:r>
        <w:rPr>
          <w:rFonts w:hint="eastAsia" w:ascii="仿宋" w:hAnsi="仿宋" w:eastAsia="仿宋"/>
          <w:sz w:val="32"/>
          <w:szCs w:val="32"/>
          <w:lang w:val="en-US" w:eastAsia="zh-CN"/>
        </w:rPr>
        <w:t>59.98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lang w:val="en-US" w:eastAsia="zh-CN"/>
        </w:rPr>
        <w:t>商业服务业等</w:t>
      </w:r>
      <w:r>
        <w:rPr>
          <w:rFonts w:hint="eastAsia" w:ascii="仿宋" w:hAnsi="仿宋" w:eastAsia="仿宋"/>
          <w:b/>
          <w:bCs/>
          <w:sz w:val="32"/>
          <w:szCs w:val="32"/>
        </w:rPr>
        <w:t>支出</w:t>
      </w:r>
      <w:r>
        <w:rPr>
          <w:rFonts w:hint="eastAsia" w:ascii="仿宋" w:hAnsi="仿宋" w:eastAsia="仿宋"/>
          <w:sz w:val="32"/>
          <w:szCs w:val="32"/>
          <w:lang w:val="en-US" w:eastAsia="zh-CN"/>
        </w:rPr>
        <w:t>125.47</w:t>
      </w:r>
      <w:r>
        <w:rPr>
          <w:rFonts w:hint="eastAsia" w:ascii="仿宋" w:hAnsi="仿宋" w:eastAsia="仿宋"/>
          <w:sz w:val="32"/>
          <w:szCs w:val="32"/>
        </w:rPr>
        <w:t>万元，占</w:t>
      </w:r>
      <w:r>
        <w:rPr>
          <w:rFonts w:hint="eastAsia" w:ascii="仿宋" w:hAnsi="仿宋" w:eastAsia="仿宋"/>
          <w:sz w:val="32"/>
          <w:szCs w:val="32"/>
          <w:lang w:val="en-US" w:eastAsia="zh-CN"/>
        </w:rPr>
        <w:t>10.69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12.96</w:t>
      </w:r>
      <w:r>
        <w:rPr>
          <w:rFonts w:hint="eastAsia" w:ascii="仿宋" w:hAnsi="仿宋" w:eastAsia="仿宋"/>
          <w:sz w:val="32"/>
          <w:szCs w:val="32"/>
        </w:rPr>
        <w:t>万元，占</w:t>
      </w:r>
      <w:r>
        <w:rPr>
          <w:rFonts w:hint="eastAsia" w:ascii="仿宋" w:hAnsi="仿宋" w:eastAsia="仿宋"/>
          <w:sz w:val="32"/>
          <w:szCs w:val="32"/>
          <w:lang w:val="en-US" w:eastAsia="zh-CN"/>
        </w:rPr>
        <w:t>1.1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val="en-US" w:eastAsia="zh-CN"/>
        </w:rPr>
        <w:t>其他</w:t>
      </w:r>
      <w:r>
        <w:rPr>
          <w:rFonts w:hint="eastAsia" w:ascii="仿宋" w:hAnsi="仿宋" w:eastAsia="仿宋"/>
          <w:b/>
          <w:bCs/>
          <w:sz w:val="32"/>
          <w:szCs w:val="32"/>
        </w:rPr>
        <w:t>支出</w:t>
      </w:r>
      <w:r>
        <w:rPr>
          <w:rFonts w:hint="eastAsia" w:ascii="仿宋" w:hAnsi="仿宋" w:eastAsia="仿宋"/>
          <w:b/>
          <w:bCs/>
          <w:sz w:val="32"/>
          <w:szCs w:val="32"/>
          <w:lang w:val="en-US" w:eastAsia="zh-CN"/>
        </w:rPr>
        <w:t>174.01</w:t>
      </w:r>
      <w:r>
        <w:rPr>
          <w:rFonts w:hint="eastAsia" w:ascii="仿宋" w:hAnsi="仿宋" w:eastAsia="仿宋"/>
          <w:b/>
          <w:bCs/>
          <w:sz w:val="32"/>
          <w:szCs w:val="32"/>
        </w:rPr>
        <w:t>万元，</w:t>
      </w:r>
      <w:r>
        <w:rPr>
          <w:rFonts w:hint="eastAsia" w:ascii="仿宋" w:hAnsi="仿宋" w:eastAsia="仿宋" w:cs="Times New Roman"/>
          <w:sz w:val="32"/>
          <w:szCs w:val="32"/>
        </w:rPr>
        <w:t>占</w:t>
      </w:r>
      <w:r>
        <w:rPr>
          <w:rFonts w:hint="eastAsia" w:ascii="仿宋" w:hAnsi="仿宋" w:eastAsia="仿宋" w:cs="Times New Roman"/>
          <w:sz w:val="32"/>
          <w:szCs w:val="32"/>
          <w:lang w:val="en-US" w:eastAsia="zh-CN"/>
        </w:rPr>
        <w:t>14.83</w:t>
      </w:r>
      <w:r>
        <w:rPr>
          <w:rFonts w:hint="eastAsia" w:ascii="仿宋" w:hAnsi="仿宋" w:eastAsia="仿宋" w:cs="Times New Roman"/>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（注：数据来源于财决01-1表，仅罗列本部门涉及的全部功能分类科目，至类级。）</w:t>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hint="eastAsia" w:ascii="仿宋" w:hAnsi="仿宋" w:eastAsia="仿宋"/>
          <w:sz w:val="32"/>
          <w:szCs w:val="32"/>
          <w:lang w:eastAsia="zh-CN"/>
        </w:rPr>
      </w:pPr>
    </w:p>
    <w:p>
      <w:pPr>
        <w:spacing w:line="600" w:lineRule="exact"/>
        <w:ind w:firstLine="420" w:firstLineChars="200"/>
        <w:rPr>
          <w:rFonts w:hint="eastAsia" w:ascii="仿宋" w:hAnsi="仿宋" w:eastAsia="仿宋"/>
          <w:sz w:val="32"/>
          <w:szCs w:val="32"/>
        </w:rPr>
      </w:pPr>
      <w:r>
        <w:rPr>
          <w:rFonts w:hint="eastAsia"/>
        </w:rPr>
        <w:t>一般公共预算财政拨款支出决算表</w:t>
      </w:r>
      <w:r>
        <w:rPr>
          <w:rFonts w:hint="eastAsia" w:ascii="仿宋" w:hAnsi="仿宋" w:eastAsia="仿宋"/>
          <w:sz w:val="32"/>
          <w:szCs w:val="32"/>
          <w:lang w:eastAsia="zh-CN"/>
        </w:rPr>
        <w:drawing>
          <wp:anchor distT="0" distB="0" distL="114300" distR="114300" simplePos="0" relativeHeight="251664384" behindDoc="0" locked="0" layoutInCell="1" allowOverlap="1">
            <wp:simplePos x="0" y="0"/>
            <wp:positionH relativeFrom="column">
              <wp:posOffset>11430</wp:posOffset>
            </wp:positionH>
            <wp:positionV relativeFrom="paragraph">
              <wp:posOffset>48260</wp:posOffset>
            </wp:positionV>
            <wp:extent cx="5256530" cy="2988310"/>
            <wp:effectExtent l="5080" t="4445" r="15240" b="17145"/>
            <wp:wrapNone/>
            <wp:docPr id="6" name="图表 6"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8" w:name="_Toc15377212"/>
      <w:r>
        <w:rPr>
          <w:rFonts w:hint="eastAsia" w:ascii="仿宋" w:hAnsi="仿宋" w:eastAsia="仿宋"/>
          <w:b/>
          <w:sz w:val="32"/>
          <w:szCs w:val="32"/>
        </w:rPr>
        <w:t>（三）一般公共预算财政拨款支出决算具体情况</w:t>
      </w:r>
      <w:bookmarkEnd w:id="48"/>
    </w:p>
    <w:p>
      <w:pPr>
        <w:spacing w:line="600" w:lineRule="exact"/>
        <w:ind w:firstLine="643" w:firstLineChars="200"/>
        <w:outlineLvl w:val="2"/>
        <w:rPr>
          <w:rFonts w:ascii="仿宋" w:hAnsi="仿宋" w:eastAsia="仿宋"/>
          <w:sz w:val="32"/>
          <w:szCs w:val="32"/>
        </w:rPr>
      </w:pPr>
      <w:bookmarkStart w:id="49" w:name="_Toc15377444"/>
      <w:bookmarkStart w:id="50" w:name="_Toc15378460"/>
      <w:bookmarkStart w:id="51" w:name="_Toc15377213"/>
      <w:r>
        <w:rPr>
          <w:rFonts w:hint="eastAsia" w:ascii="仿宋" w:hAnsi="仿宋" w:eastAsia="仿宋"/>
          <w:b/>
          <w:sz w:val="32"/>
          <w:szCs w:val="32"/>
        </w:rPr>
        <w:t>2023年度一般公共预算支出决算数为</w:t>
      </w:r>
      <w:r>
        <w:rPr>
          <w:sz w:val="32"/>
          <w:szCs w:val="32"/>
        </w:rPr>
        <w:t>1173.39</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49"/>
      <w:bookmarkEnd w:id="50"/>
      <w:bookmarkEnd w:id="51"/>
    </w:p>
    <w:p>
      <w:pPr>
        <w:spacing w:line="600" w:lineRule="exact"/>
        <w:ind w:firstLine="643" w:firstLineChars="200"/>
        <w:rPr>
          <w:rFonts w:hint="eastAsia" w:ascii="仿宋" w:hAnsi="仿宋" w:eastAsia="仿宋"/>
          <w:b/>
          <w:sz w:val="32"/>
          <w:szCs w:val="32"/>
          <w:lang w:eastAsia="zh-CN"/>
        </w:rPr>
      </w:pPr>
      <w:r>
        <w:rPr>
          <w:rStyle w:val="16"/>
          <w:rFonts w:ascii="仿宋" w:hAnsi="仿宋" w:eastAsia="仿宋"/>
          <w:bCs/>
          <w:sz w:val="32"/>
          <w:szCs w:val="32"/>
        </w:rPr>
        <w:t>1.</w:t>
      </w:r>
      <w:r>
        <w:rPr>
          <w:rStyle w:val="16"/>
          <w:rFonts w:hint="eastAsia" w:ascii="仿宋" w:hAnsi="仿宋" w:eastAsia="仿宋"/>
          <w:bCs/>
          <w:sz w:val="32"/>
          <w:szCs w:val="32"/>
        </w:rPr>
        <w:t>一般公共服务（类）</w:t>
      </w:r>
      <w:r>
        <w:rPr>
          <w:rStyle w:val="16"/>
          <w:rFonts w:hint="eastAsia" w:ascii="仿宋" w:hAnsi="仿宋" w:eastAsia="仿宋"/>
          <w:bCs/>
          <w:sz w:val="32"/>
          <w:szCs w:val="32"/>
          <w:lang w:val="en-US" w:eastAsia="zh-CN"/>
        </w:rPr>
        <w:t>人大事务</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行政运行</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127.01</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2.</w:t>
      </w:r>
      <w:r>
        <w:rPr>
          <w:rStyle w:val="16"/>
          <w:rFonts w:hint="eastAsia" w:ascii="仿宋" w:hAnsi="仿宋" w:eastAsia="仿宋"/>
          <w:bCs/>
          <w:sz w:val="32"/>
          <w:szCs w:val="32"/>
          <w:lang w:val="en-US" w:eastAsia="zh-CN"/>
        </w:rPr>
        <w:t>社会保障和就业支出</w:t>
      </w:r>
      <w:r>
        <w:rPr>
          <w:rStyle w:val="16"/>
          <w:rFonts w:hint="eastAsia" w:ascii="仿宋" w:hAnsi="仿宋" w:eastAsia="仿宋"/>
          <w:bCs/>
          <w:sz w:val="32"/>
          <w:szCs w:val="32"/>
        </w:rPr>
        <w:t>（类）</w:t>
      </w:r>
      <w:r>
        <w:rPr>
          <w:rStyle w:val="16"/>
          <w:rFonts w:hint="eastAsia" w:ascii="仿宋" w:hAnsi="仿宋" w:eastAsia="仿宋"/>
          <w:bCs/>
          <w:sz w:val="32"/>
          <w:szCs w:val="32"/>
          <w:lang w:val="en-US" w:eastAsia="zh-CN"/>
        </w:rPr>
        <w:t>行政事业单位养老支出</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机关事业单位基本养老保险缴费支出</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21.19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3.</w:t>
      </w:r>
      <w:r>
        <w:rPr>
          <w:rStyle w:val="16"/>
          <w:rFonts w:hint="eastAsia" w:ascii="仿宋" w:hAnsi="仿宋" w:eastAsia="仿宋"/>
          <w:bCs/>
          <w:sz w:val="32"/>
          <w:szCs w:val="32"/>
          <w:lang w:val="en-US" w:eastAsia="zh-CN"/>
        </w:rPr>
        <w:t>卫生健康支出</w:t>
      </w:r>
      <w:r>
        <w:rPr>
          <w:rStyle w:val="16"/>
          <w:rFonts w:hint="eastAsia" w:ascii="仿宋" w:hAnsi="仿宋" w:eastAsia="仿宋"/>
          <w:bCs/>
          <w:sz w:val="32"/>
          <w:szCs w:val="32"/>
        </w:rPr>
        <w:t>（类）</w:t>
      </w:r>
      <w:r>
        <w:rPr>
          <w:rStyle w:val="16"/>
          <w:rFonts w:hint="eastAsia" w:ascii="仿宋" w:hAnsi="仿宋" w:eastAsia="仿宋"/>
          <w:bCs/>
          <w:sz w:val="32"/>
          <w:szCs w:val="32"/>
          <w:lang w:val="en-US" w:eastAsia="zh-CN"/>
        </w:rPr>
        <w:t>行政事业单位医疗</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行政单位医疗</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9.01</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4.</w:t>
      </w:r>
      <w:r>
        <w:rPr>
          <w:rStyle w:val="16"/>
          <w:rFonts w:hint="eastAsia" w:ascii="仿宋" w:hAnsi="仿宋" w:eastAsia="仿宋"/>
          <w:bCs/>
          <w:sz w:val="32"/>
          <w:szCs w:val="32"/>
          <w:lang w:val="en-US" w:eastAsia="zh-CN"/>
        </w:rPr>
        <w:t>农林水支出</w:t>
      </w:r>
      <w:r>
        <w:rPr>
          <w:rStyle w:val="16"/>
          <w:rFonts w:hint="eastAsia" w:ascii="仿宋" w:hAnsi="仿宋" w:eastAsia="仿宋"/>
          <w:bCs/>
          <w:sz w:val="32"/>
          <w:szCs w:val="32"/>
        </w:rPr>
        <w:t>（类）</w:t>
      </w:r>
      <w:r>
        <w:rPr>
          <w:rStyle w:val="16"/>
          <w:rFonts w:hint="eastAsia" w:ascii="仿宋" w:hAnsi="仿宋" w:eastAsia="仿宋"/>
          <w:bCs/>
          <w:sz w:val="32"/>
          <w:szCs w:val="32"/>
          <w:lang w:val="en-US" w:eastAsia="zh-CN"/>
        </w:rPr>
        <w:t>巩固脱贫攻坚成果衔接乡村振兴</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生产发展</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703.75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5.</w:t>
      </w:r>
      <w:r>
        <w:rPr>
          <w:rStyle w:val="16"/>
          <w:rFonts w:hint="eastAsia" w:ascii="仿宋" w:hAnsi="仿宋" w:eastAsia="仿宋"/>
          <w:bCs/>
          <w:sz w:val="32"/>
          <w:szCs w:val="32"/>
          <w:lang w:val="en-US" w:eastAsia="zh-CN"/>
        </w:rPr>
        <w:t>商业服务业等支出</w:t>
      </w:r>
      <w:r>
        <w:rPr>
          <w:rStyle w:val="16"/>
          <w:rFonts w:hint="eastAsia" w:ascii="仿宋" w:hAnsi="仿宋" w:eastAsia="仿宋"/>
          <w:bCs/>
          <w:sz w:val="32"/>
          <w:szCs w:val="32"/>
        </w:rPr>
        <w:t>（类）</w:t>
      </w:r>
      <w:r>
        <w:rPr>
          <w:rStyle w:val="16"/>
          <w:rFonts w:hint="eastAsia" w:ascii="仿宋" w:hAnsi="仿宋" w:eastAsia="仿宋"/>
          <w:bCs/>
          <w:sz w:val="32"/>
          <w:szCs w:val="32"/>
          <w:lang w:val="en-US" w:eastAsia="zh-CN"/>
        </w:rPr>
        <w:t>商业流通事务</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行政运行</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125.47</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6.</w:t>
      </w:r>
      <w:r>
        <w:rPr>
          <w:rFonts w:hint="eastAsia" w:ascii="仿宋" w:hAnsi="仿宋" w:eastAsia="仿宋"/>
          <w:b/>
          <w:bCs/>
          <w:sz w:val="32"/>
          <w:szCs w:val="32"/>
          <w:lang w:val="en-US" w:eastAsia="zh-CN"/>
        </w:rPr>
        <w:t>住房保障支出</w:t>
      </w:r>
      <w:r>
        <w:rPr>
          <w:rStyle w:val="16"/>
          <w:rFonts w:hint="eastAsia" w:ascii="仿宋" w:hAnsi="仿宋" w:eastAsia="仿宋"/>
          <w:bCs/>
          <w:sz w:val="32"/>
          <w:szCs w:val="32"/>
        </w:rPr>
        <w:t>（类）</w:t>
      </w:r>
      <w:r>
        <w:rPr>
          <w:rStyle w:val="16"/>
          <w:rFonts w:hint="eastAsia" w:ascii="仿宋" w:hAnsi="仿宋" w:eastAsia="仿宋"/>
          <w:bCs/>
          <w:sz w:val="32"/>
          <w:szCs w:val="32"/>
          <w:lang w:val="en-US" w:eastAsia="zh-CN"/>
        </w:rPr>
        <w:t>住房改革支出</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住房公积金</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12.96</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7</w:t>
      </w:r>
      <w:r>
        <w:rPr>
          <w:rStyle w:val="16"/>
          <w:rFonts w:ascii="仿宋" w:hAnsi="仿宋" w:eastAsia="仿宋"/>
          <w:bCs/>
          <w:sz w:val="32"/>
          <w:szCs w:val="32"/>
        </w:rPr>
        <w:t>.</w:t>
      </w:r>
      <w:r>
        <w:rPr>
          <w:rFonts w:hint="eastAsia" w:ascii="仿宋" w:hAnsi="仿宋" w:eastAsia="仿宋"/>
          <w:b/>
          <w:bCs/>
          <w:sz w:val="32"/>
          <w:szCs w:val="32"/>
          <w:lang w:val="en-US" w:eastAsia="zh-CN"/>
        </w:rPr>
        <w:t>其他支出</w:t>
      </w:r>
      <w:r>
        <w:rPr>
          <w:rStyle w:val="16"/>
          <w:rFonts w:hint="eastAsia" w:ascii="仿宋" w:hAnsi="仿宋" w:eastAsia="仿宋"/>
          <w:bCs/>
          <w:sz w:val="32"/>
          <w:szCs w:val="32"/>
        </w:rPr>
        <w:t>（类）</w:t>
      </w:r>
      <w:r>
        <w:rPr>
          <w:rStyle w:val="16"/>
          <w:rFonts w:hint="eastAsia" w:ascii="仿宋" w:hAnsi="仿宋" w:eastAsia="仿宋"/>
          <w:bCs/>
          <w:sz w:val="32"/>
          <w:szCs w:val="32"/>
          <w:lang w:val="en-US" w:eastAsia="zh-CN"/>
        </w:rPr>
        <w:t>其他支出</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其他支出</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174.01</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1-1表和财决08表，仅罗列本部门涉及的全部功能分类科目，至项级。上述“预算”口径为全年预算数。增减变动原因为决算数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8"/>
        </w:rPr>
      </w:pPr>
      <w:bookmarkStart w:id="52" w:name="_Toc16247"/>
      <w:bookmarkStart w:id="53" w:name="_Toc15377214"/>
      <w:bookmarkStart w:id="54"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52"/>
      <w:bookmarkEnd w:id="53"/>
      <w:bookmarkEnd w:id="54"/>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296.29</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sz w:val="32"/>
          <w:szCs w:val="32"/>
        </w:rPr>
        <w:t>280.35</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sz w:val="32"/>
          <w:szCs w:val="32"/>
        </w:rPr>
        <w:t>15.94</w:t>
      </w:r>
      <w:r>
        <w:rPr>
          <w:rFonts w:hint="eastAsia" w:ascii="仿宋" w:hAnsi="仿宋" w:eastAsia="仿宋"/>
          <w:sz w:val="32"/>
          <w:szCs w:val="32"/>
        </w:rPr>
        <w:t>万元，主要包括：办公费、印刷费、咨询费、手续费、水费、电费、邮电费、差旅费、维修（护）费、租赁费、会议费、培训费、公务接待费、工会经费、福利费、其他商品和服务支出、其他资本性支出等。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7表和财决08-1表，仅罗列本部门实际支出涉及的经济分类科目。）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8"/>
          <w:rFonts w:ascii="黑体" w:hAnsi="黑体" w:eastAsia="黑体"/>
          <w:b w:val="0"/>
        </w:rPr>
      </w:pPr>
      <w:bookmarkStart w:id="55" w:name="_Toc15396609"/>
      <w:bookmarkStart w:id="56" w:name="_Toc15377215"/>
      <w:bookmarkStart w:id="57" w:name="_Toc274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5"/>
      <w:bookmarkEnd w:id="56"/>
      <w:bookmarkEnd w:id="57"/>
    </w:p>
    <w:p>
      <w:pPr>
        <w:spacing w:line="600" w:lineRule="exact"/>
        <w:ind w:firstLine="640"/>
        <w:outlineLvl w:val="2"/>
        <w:rPr>
          <w:rFonts w:ascii="仿宋" w:hAnsi="仿宋" w:eastAsia="仿宋"/>
          <w:b/>
          <w:sz w:val="32"/>
          <w:szCs w:val="32"/>
        </w:rPr>
      </w:pPr>
      <w:bookmarkStart w:id="58" w:name="_Toc15377216"/>
      <w:r>
        <w:rPr>
          <w:rFonts w:hint="eastAsia" w:ascii="仿宋" w:hAnsi="仿宋" w:eastAsia="仿宋"/>
          <w:b/>
          <w:sz w:val="32"/>
          <w:szCs w:val="32"/>
        </w:rPr>
        <w:t>（一）“三公”经费财政拨款支出决算总体情况说明</w:t>
      </w:r>
      <w:bookmarkEnd w:id="5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sz w:val="32"/>
          <w:szCs w:val="32"/>
        </w:rPr>
        <w:t>0.5</w:t>
      </w:r>
      <w:r>
        <w:rPr>
          <w:rFonts w:hint="eastAsia" w:ascii="仿宋" w:hAnsi="仿宋" w:eastAsia="仿宋"/>
          <w:sz w:val="32"/>
          <w:szCs w:val="32"/>
        </w:rPr>
        <w:t>万元，完成预算</w:t>
      </w:r>
      <w:r>
        <w:rPr>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w:t>
      </w:r>
      <w:r>
        <w:rPr>
          <w:rFonts w:hint="eastAsia" w:ascii="仿宋" w:hAnsi="仿宋" w:eastAsia="仿宋"/>
          <w:sz w:val="32"/>
          <w:szCs w:val="32"/>
        </w:rPr>
        <w:t>万元，增长</w:t>
      </w:r>
      <w:r>
        <w:rPr>
          <w:rFonts w:hint="eastAsia" w:ascii="仿宋" w:hAnsi="仿宋" w:eastAsia="仿宋"/>
          <w:sz w:val="32"/>
          <w:szCs w:val="32"/>
          <w:lang w:val="en-US" w:eastAsia="zh-CN"/>
        </w:rPr>
        <w:t>0</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59" w:name="_Toc15377217"/>
      <w:r>
        <w:rPr>
          <w:rFonts w:hint="eastAsia" w:ascii="仿宋" w:hAnsi="仿宋" w:eastAsia="仿宋"/>
          <w:b/>
          <w:sz w:val="32"/>
          <w:szCs w:val="32"/>
        </w:rPr>
        <w:t>（二）“三公”经费财政拨款支出决算具体情况说明</w:t>
      </w:r>
      <w:bookmarkEnd w:id="59"/>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sz w:val="32"/>
          <w:szCs w:val="32"/>
        </w:rPr>
        <w:t>0.5</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5408" behindDoc="0" locked="0" layoutInCell="1" allowOverlap="1">
            <wp:simplePos x="0" y="0"/>
            <wp:positionH relativeFrom="column">
              <wp:posOffset>411480</wp:posOffset>
            </wp:positionH>
            <wp:positionV relativeFrom="paragraph">
              <wp:posOffset>61595</wp:posOffset>
            </wp:positionV>
            <wp:extent cx="4628515" cy="2541270"/>
            <wp:effectExtent l="4445" t="4445" r="15240" b="698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人。因公出国（境）支出决算比2022年增加减少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0.5</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w:t>
      </w:r>
    </w:p>
    <w:p>
      <w:pPr>
        <w:spacing w:line="600" w:lineRule="exact"/>
        <w:ind w:firstLine="640"/>
        <w:rPr>
          <w:rFonts w:hint="eastAsia" w:ascii="仿宋_GB2312" w:eastAsia="仿宋_GB2312"/>
          <w:sz w:val="32"/>
          <w:szCs w:val="32"/>
          <w:lang w:eastAsia="zh-CN"/>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0.5</w:t>
      </w:r>
      <w:r>
        <w:rPr>
          <w:rFonts w:hint="eastAsia" w:ascii="仿宋_GB2312" w:eastAsia="仿宋_GB2312"/>
          <w:sz w:val="32"/>
          <w:szCs w:val="32"/>
        </w:rPr>
        <w:t>万元，主要用于开展业务活动开支的交通费、住宿费、用餐费等</w:t>
      </w:r>
      <w:r>
        <w:rPr>
          <w:rFonts w:hint="eastAsia" w:ascii="仿宋_GB2312" w:eastAsia="仿宋_GB2312"/>
          <w:sz w:val="32"/>
          <w:szCs w:val="32"/>
          <w:lang w:eastAsia="zh-CN"/>
        </w:rPr>
        <w:t>。</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bookmarkStart w:id="60" w:name="_Toc15396610"/>
      <w:bookmarkStart w:id="61" w:name="_Toc15377218"/>
    </w:p>
    <w:p>
      <w:pPr>
        <w:spacing w:line="600" w:lineRule="exact"/>
        <w:ind w:firstLine="640"/>
        <w:outlineLvl w:val="1"/>
        <w:rPr>
          <w:rStyle w:val="28"/>
          <w:rFonts w:ascii="黑体" w:hAnsi="黑体" w:eastAsia="黑体"/>
        </w:rPr>
      </w:pPr>
      <w:bookmarkStart w:id="62" w:name="_Toc12609"/>
      <w:r>
        <w:rPr>
          <w:rFonts w:hint="eastAsia" w:ascii="黑体" w:eastAsia="黑体"/>
          <w:sz w:val="32"/>
          <w:szCs w:val="32"/>
        </w:rPr>
        <w:t>八、</w:t>
      </w:r>
      <w:r>
        <w:rPr>
          <w:rStyle w:val="28"/>
          <w:rFonts w:hint="eastAsia" w:ascii="黑体" w:hAnsi="黑体" w:eastAsia="黑体"/>
          <w:b w:val="0"/>
        </w:rPr>
        <w:t>政府性基金预算支出决算情况说明</w:t>
      </w:r>
      <w:bookmarkEnd w:id="60"/>
      <w:bookmarkEnd w:id="61"/>
      <w:bookmarkEnd w:id="62"/>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28"/>
          <w:rFonts w:ascii="黑体" w:hAnsi="黑体" w:eastAsia="黑体"/>
          <w:b w:val="0"/>
        </w:rPr>
      </w:pPr>
      <w:bookmarkStart w:id="63" w:name="_Toc15377219"/>
      <w:bookmarkStart w:id="64" w:name="_Toc15396611"/>
      <w:bookmarkStart w:id="65" w:name="_Toc28326"/>
      <w:r>
        <w:rPr>
          <w:rStyle w:val="28"/>
          <w:rFonts w:hint="eastAsia" w:ascii="黑体" w:hAnsi="黑体" w:eastAsia="黑体"/>
          <w:b w:val="0"/>
        </w:rPr>
        <w:t>国有资本经营预算支出决算情况说明</w:t>
      </w:r>
      <w:bookmarkEnd w:id="63"/>
      <w:bookmarkEnd w:id="64"/>
      <w:bookmarkEnd w:id="65"/>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8"/>
          <w:rFonts w:ascii="黑体" w:hAnsi="黑体" w:eastAsia="黑体"/>
          <w:b w:val="0"/>
        </w:rPr>
      </w:pPr>
      <w:bookmarkStart w:id="66" w:name="_Toc15396612"/>
      <w:bookmarkStart w:id="67" w:name="_Toc1479"/>
      <w:bookmarkStart w:id="68" w:name="_Toc15377221"/>
      <w:r>
        <w:rPr>
          <w:rStyle w:val="28"/>
          <w:rFonts w:hint="eastAsia" w:ascii="黑体" w:hAnsi="黑体" w:eastAsia="黑体"/>
          <w:b w:val="0"/>
        </w:rPr>
        <w:t>其他重要事项的情况说明</w:t>
      </w:r>
      <w:bookmarkEnd w:id="66"/>
      <w:bookmarkEnd w:id="67"/>
      <w:bookmarkEnd w:id="68"/>
    </w:p>
    <w:p>
      <w:pPr>
        <w:spacing w:line="600" w:lineRule="exact"/>
        <w:ind w:firstLine="643" w:firstLineChars="200"/>
        <w:outlineLvl w:val="2"/>
        <w:rPr>
          <w:rFonts w:ascii="仿宋" w:hAnsi="仿宋" w:eastAsia="仿宋"/>
          <w:sz w:val="32"/>
          <w:szCs w:val="32"/>
        </w:rPr>
      </w:pPr>
      <w:bookmarkStart w:id="69" w:name="_Toc15377222"/>
      <w:r>
        <w:rPr>
          <w:rFonts w:hint="eastAsia" w:ascii="仿宋" w:hAnsi="仿宋" w:eastAsia="仿宋"/>
          <w:b/>
          <w:sz w:val="32"/>
          <w:szCs w:val="32"/>
        </w:rPr>
        <w:t>（一）机关运行经费支出情况</w:t>
      </w:r>
      <w:bookmarkEnd w:id="69"/>
    </w:p>
    <w:p>
      <w:pPr>
        <w:spacing w:line="600" w:lineRule="exact"/>
        <w:ind w:firstLine="640" w:firstLineChars="200"/>
        <w:rPr>
          <w:rFonts w:ascii="仿宋" w:hAnsi="仿宋" w:eastAsia="仿宋"/>
          <w:b/>
          <w:sz w:val="32"/>
          <w:szCs w:val="32"/>
        </w:rPr>
      </w:pPr>
      <w:r>
        <w:rPr>
          <w:rFonts w:hint="eastAsia" w:ascii="仿宋_GB2312" w:eastAsia="仿宋_GB2312"/>
          <w:sz w:val="32"/>
          <w:szCs w:val="32"/>
        </w:rPr>
        <w:t>2023年度，</w:t>
      </w:r>
      <w:r>
        <w:rPr>
          <w:rFonts w:hint="eastAsia"/>
          <w:sz w:val="32"/>
          <w:szCs w:val="32"/>
        </w:rPr>
        <w:t>万源市供销社</w:t>
      </w:r>
      <w:r>
        <w:rPr>
          <w:rFonts w:hint="eastAsia" w:ascii="仿宋_GB2312" w:eastAsia="仿宋_GB2312"/>
          <w:sz w:val="32"/>
          <w:szCs w:val="32"/>
        </w:rPr>
        <w:t>机关运行经费支出</w:t>
      </w:r>
      <w:r>
        <w:rPr>
          <w:sz w:val="32"/>
          <w:szCs w:val="32"/>
        </w:rPr>
        <w:t>15.94</w:t>
      </w:r>
      <w:r>
        <w:rPr>
          <w:rFonts w:hint="eastAsia" w:ascii="仿宋_GB2312" w:eastAsia="仿宋_GB2312"/>
          <w:sz w:val="32"/>
          <w:szCs w:val="32"/>
        </w:rPr>
        <w:t>万元，比2022年度减少</w:t>
      </w:r>
      <w:r>
        <w:rPr>
          <w:rFonts w:hint="eastAsia" w:ascii="仿宋_GB2312" w:eastAsia="仿宋_GB2312"/>
          <w:sz w:val="32"/>
          <w:szCs w:val="32"/>
          <w:lang w:val="en-US" w:eastAsia="zh-CN"/>
        </w:rPr>
        <w:t>1.07</w:t>
      </w:r>
      <w:r>
        <w:rPr>
          <w:rFonts w:hint="eastAsia" w:ascii="仿宋_GB2312" w:eastAsia="仿宋_GB2312"/>
          <w:sz w:val="32"/>
          <w:szCs w:val="32"/>
        </w:rPr>
        <w:t>万元，下降</w:t>
      </w:r>
      <w:r>
        <w:rPr>
          <w:rFonts w:hint="eastAsia" w:ascii="仿宋_GB2312" w:eastAsia="仿宋_GB2312"/>
          <w:sz w:val="32"/>
          <w:szCs w:val="32"/>
          <w:lang w:val="en-US" w:eastAsia="zh-CN"/>
        </w:rPr>
        <w:t>6.71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人员减少；水电费等支出减少</w:t>
      </w:r>
      <w:r>
        <w:rPr>
          <w:rFonts w:hint="eastAsia" w:ascii="仿宋_GB2312" w:eastAsia="仿宋_GB2312"/>
          <w:sz w:val="32"/>
          <w:szCs w:val="32"/>
        </w:rPr>
        <w:t>。</w:t>
      </w: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0" w:name="_Toc15377223"/>
      <w:r>
        <w:rPr>
          <w:rFonts w:hint="eastAsia" w:ascii="仿宋" w:hAnsi="仿宋" w:eastAsia="仿宋"/>
          <w:b/>
          <w:sz w:val="32"/>
          <w:szCs w:val="32"/>
        </w:rPr>
        <w:t>（二）政府采购支出情况</w:t>
      </w:r>
      <w:bookmarkEnd w:id="70"/>
    </w:p>
    <w:p>
      <w:pPr>
        <w:spacing w:line="600" w:lineRule="exact"/>
        <w:ind w:firstLine="640" w:firstLineChars="200"/>
        <w:rPr>
          <w:rFonts w:ascii="仿宋" w:hAnsi="仿宋" w:eastAsia="仿宋"/>
          <w:b/>
          <w:sz w:val="32"/>
          <w:szCs w:val="32"/>
        </w:rPr>
      </w:pPr>
      <w:r>
        <w:rPr>
          <w:rFonts w:hint="eastAsia" w:ascii="仿宋_GB2312" w:eastAsia="仿宋_GB2312"/>
          <w:sz w:val="32"/>
          <w:szCs w:val="32"/>
        </w:rPr>
        <w:t>2023年度，</w:t>
      </w:r>
      <w:r>
        <w:rPr>
          <w:rFonts w:hint="eastAsia"/>
          <w:sz w:val="32"/>
          <w:szCs w:val="32"/>
        </w:rPr>
        <w:t>万源市供销社</w:t>
      </w:r>
      <w:r>
        <w:rPr>
          <w:rFonts w:hint="eastAsia" w:ascii="仿宋_GB2312" w:eastAsia="仿宋_GB2312"/>
          <w:sz w:val="32"/>
          <w:szCs w:val="32"/>
        </w:rPr>
        <w:t>政府采购支出总额</w:t>
      </w:r>
      <w:r>
        <w:rPr>
          <w:sz w:val="32"/>
          <w:szCs w:val="32"/>
        </w:rPr>
        <w:t>0</w:t>
      </w:r>
      <w:r>
        <w:rPr>
          <w:rFonts w:hint="eastAsia" w:ascii="仿宋_GB2312" w:eastAsia="仿宋_GB2312"/>
          <w:sz w:val="32"/>
          <w:szCs w:val="32"/>
        </w:rPr>
        <w:t>万元，其中：政府采购货物支出</w:t>
      </w:r>
      <w:r>
        <w:rPr>
          <w:sz w:val="32"/>
          <w:szCs w:val="32"/>
        </w:rPr>
        <w:t>0</w:t>
      </w:r>
      <w:r>
        <w:rPr>
          <w:rFonts w:hint="eastAsia" w:ascii="仿宋_GB2312" w:eastAsia="仿宋_GB2312"/>
          <w:sz w:val="32"/>
          <w:szCs w:val="32"/>
        </w:rPr>
        <w:t>万元、政府采购工程支出</w:t>
      </w:r>
      <w:r>
        <w:rPr>
          <w:sz w:val="32"/>
          <w:szCs w:val="32"/>
        </w:rPr>
        <w:t>0</w:t>
      </w:r>
      <w:r>
        <w:rPr>
          <w:rFonts w:hint="eastAsia" w:ascii="仿宋_GB2312" w:eastAsia="仿宋_GB2312"/>
          <w:sz w:val="32"/>
          <w:szCs w:val="32"/>
        </w:rPr>
        <w:t>万元、政府采购服务支出</w:t>
      </w:r>
      <w:r>
        <w:rPr>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w:t>
      </w: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1" w:name="_Toc15377224"/>
      <w:r>
        <w:rPr>
          <w:rFonts w:hint="eastAsia" w:ascii="仿宋" w:hAnsi="仿宋" w:eastAsia="仿宋"/>
          <w:b/>
          <w:sz w:val="32"/>
          <w:szCs w:val="32"/>
        </w:rPr>
        <w:t>（三）国有资产占有使用情况</w:t>
      </w:r>
      <w:bookmarkEnd w:id="71"/>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sz w:val="32"/>
          <w:szCs w:val="32"/>
        </w:rPr>
        <w:t>万源市供销社</w:t>
      </w:r>
      <w:r>
        <w:rPr>
          <w:rFonts w:hint="eastAsia" w:ascii="仿宋_GB2312" w:eastAsia="仿宋_GB2312"/>
          <w:sz w:val="32"/>
          <w:szCs w:val="32"/>
        </w:rPr>
        <w:t>共有车辆</w:t>
      </w:r>
      <w:r>
        <w:rPr>
          <w:rFonts w:ascii="仿宋_GB2312" w:eastAsia="仿宋_GB2312"/>
          <w:sz w:val="32"/>
          <w:szCs w:val="32"/>
        </w:rPr>
        <w:t>1</w:t>
      </w:r>
      <w:r>
        <w:rPr>
          <w:rFonts w:hint="eastAsia" w:ascii="仿宋_GB2312" w:eastAsia="仿宋_GB2312"/>
          <w:sz w:val="32"/>
          <w:szCs w:val="32"/>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情况说明：</w:t>
      </w:r>
      <w:r>
        <w:rPr>
          <w:rFonts w:ascii="Times New Roman" w:hAnsi="Times New Roman" w:eastAsia="方正仿宋简体"/>
          <w:sz w:val="32"/>
          <w:szCs w:val="32"/>
        </w:rPr>
        <w:t>自公车改革后，我单位没有保留车辆，该车已移交给市公车办，但至今没过户下账</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w:t>
      </w: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2023年度一般公共预算、政府性基金预算、国有资本经营预算、社会保险基金预算以及资本资产、债券资金等全面开展绩效自评，形成部门整体（含部门预算项目）绩效自评报告、</w:t>
      </w:r>
      <w:r>
        <w:rPr>
          <w:rFonts w:hint="eastAsia" w:ascii="仿宋_GB2312" w:hAnsi="仿宋_GB2312" w:eastAsia="仿宋_GB2312" w:cs="仿宋_GB2312"/>
          <w:sz w:val="32"/>
          <w:szCs w:val="32"/>
          <w:lang w:val="en-US" w:eastAsia="zh-CN"/>
        </w:rPr>
        <w:t>超限站点运行费</w:t>
      </w:r>
      <w:r>
        <w:rPr>
          <w:rFonts w:hint="eastAsia" w:ascii="仿宋_GB2312" w:hAnsi="仿宋_GB2312" w:eastAsia="仿宋_GB2312" w:cs="仿宋_GB2312"/>
          <w:sz w:val="32"/>
          <w:szCs w:val="32"/>
        </w:rPr>
        <w:t>等专项预算项目绩效自评报告，其中，部门整体（含部门预算项目）绩效自评得分为</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分，绩效自评综述：</w:t>
      </w:r>
      <w:r>
        <w:rPr>
          <w:rFonts w:hint="eastAsia" w:ascii="仿宋_GB2312" w:hAnsi="仿宋_GB2312" w:eastAsia="仿宋_GB2312" w:cs="仿宋_GB2312"/>
          <w:color w:val="auto"/>
          <w:sz w:val="32"/>
          <w:szCs w:val="32"/>
          <w:shd w:val="clear" w:color="auto" w:fill="FFFFFF"/>
          <w:lang w:val="zh-CN" w:eastAsia="zh-CN"/>
        </w:rPr>
        <w:t>单位整体绩效目标制定、目标完成、预算编制情况等均准确合理，支出控制、预算动态调整、执行进度、预算完成情况良好，无任何违规违纪等情况</w:t>
      </w:r>
      <w:r>
        <w:rPr>
          <w:rFonts w:hint="eastAsia" w:ascii="仿宋_GB2312" w:hAnsi="仿宋_GB2312" w:eastAsia="仿宋_GB2312" w:cs="仿宋_GB2312"/>
          <w:sz w:val="32"/>
          <w:szCs w:val="32"/>
        </w:rPr>
        <w:t>；专项预算项目绩效自评得分为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分，绩效自评综述：</w:t>
      </w:r>
      <w:r>
        <w:rPr>
          <w:rFonts w:hint="eastAsia" w:ascii="仿宋_GB2312" w:hAnsi="仿宋_GB2312" w:eastAsia="仿宋_GB2312" w:cs="仿宋_GB2312"/>
          <w:color w:val="auto"/>
          <w:sz w:val="32"/>
          <w:szCs w:val="32"/>
          <w:shd w:val="clear" w:color="auto" w:fill="FFFFFF"/>
          <w:lang w:val="zh-CN" w:eastAsia="zh-CN"/>
        </w:rPr>
        <w:t>单位整体绩效目标制定、目标完成、预算编制情况等均准确合理，支出控制、预算动态调整、执行进度、预算完成情况良好，无任何违规违纪等情况</w:t>
      </w:r>
      <w:r>
        <w:rPr>
          <w:rFonts w:hint="eastAsia" w:ascii="仿宋_GB2312" w:hAnsi="仿宋_GB2312" w:eastAsia="仿宋_GB2312" w:cs="仿宋_GB2312"/>
          <w:sz w:val="32"/>
          <w:szCs w:val="32"/>
        </w:rPr>
        <w:t>。绩效自评报告详见附件。</w:t>
      </w:r>
    </w:p>
    <w:p>
      <w:pPr>
        <w:pStyle w:val="2"/>
        <w:jc w:val="center"/>
        <w:rPr>
          <w:rFonts w:hint="eastAsia"/>
        </w:rPr>
      </w:pPr>
    </w:p>
    <w:p>
      <w:pPr>
        <w:pStyle w:val="2"/>
        <w:jc w:val="center"/>
        <w:rPr>
          <w:rFonts w:hint="eastAsia"/>
        </w:rPr>
      </w:pPr>
    </w:p>
    <w:p>
      <w:pPr>
        <w:pStyle w:val="2"/>
        <w:jc w:val="center"/>
        <w:rPr>
          <w:rFonts w:hint="eastAsia"/>
        </w:rPr>
      </w:pPr>
    </w:p>
    <w:p>
      <w:pPr>
        <w:pStyle w:val="2"/>
        <w:jc w:val="both"/>
        <w:rPr>
          <w:rFonts w:hint="eastAsia"/>
        </w:rPr>
      </w:pPr>
    </w:p>
    <w:p>
      <w:pPr>
        <w:pStyle w:val="2"/>
        <w:jc w:val="both"/>
        <w:rPr>
          <w:rFonts w:hint="eastAsia"/>
        </w:rPr>
      </w:pPr>
    </w:p>
    <w:p>
      <w:pPr>
        <w:pStyle w:val="2"/>
        <w:spacing w:before="0" w:after="0" w:line="240" w:lineRule="auto"/>
        <w:jc w:val="left"/>
        <w:rPr>
          <w:rFonts w:hint="eastAsia"/>
        </w:rPr>
      </w:pPr>
    </w:p>
    <w:p>
      <w:pPr>
        <w:pStyle w:val="2"/>
        <w:spacing w:before="0" w:after="0" w:line="240" w:lineRule="auto"/>
        <w:jc w:val="left"/>
        <w:rPr>
          <w:rFonts w:hint="eastAsia"/>
        </w:rPr>
      </w:pPr>
    </w:p>
    <w:p>
      <w:pPr>
        <w:bidi w:val="0"/>
        <w:rPr>
          <w:rFonts w:hint="eastAsia"/>
        </w:rPr>
      </w:pPr>
    </w:p>
    <w:p>
      <w:pPr>
        <w:pStyle w:val="2"/>
        <w:jc w:val="center"/>
        <w:rPr>
          <w:rFonts w:hint="eastAsia" w:ascii="黑体" w:hAnsi="黑体" w:eastAsia="黑体"/>
          <w:b w:val="0"/>
        </w:rPr>
      </w:pPr>
      <w:bookmarkStart w:id="72" w:name="_Toc5355"/>
      <w:r>
        <w:rPr>
          <w:rFonts w:hint="eastAsia" w:ascii="黑体" w:hAnsi="黑体" w:eastAsia="黑体"/>
          <w:b w:val="0"/>
        </w:rPr>
        <w:t>第三部分 名词解释</w:t>
      </w:r>
      <w:bookmarkEnd w:id="72"/>
    </w:p>
    <w:p/>
    <w:p>
      <w:pPr>
        <w:pStyle w:val="25"/>
        <w:spacing w:line="560" w:lineRule="exact"/>
        <w:ind w:firstLine="640" w:firstLineChars="200"/>
        <w:outlineLvl w:val="1"/>
        <w:rPr>
          <w:rFonts w:ascii="仿宋_GB2312" w:eastAsia="仿宋_GB2312"/>
          <w:color w:val="auto"/>
          <w:sz w:val="32"/>
          <w:szCs w:val="32"/>
          <w:highlight w:val="none"/>
        </w:rPr>
      </w:pPr>
      <w:bookmarkStart w:id="73" w:name="_Toc32212"/>
      <w:bookmarkStart w:id="74" w:name="_Toc25243"/>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73"/>
      <w:bookmarkEnd w:id="74"/>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5"/>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5"/>
        <w:spacing w:line="560" w:lineRule="exact"/>
        <w:ind w:firstLine="640" w:firstLineChars="200"/>
        <w:outlineLvl w:val="1"/>
        <w:rPr>
          <w:rFonts w:ascii="仿宋_GB2312" w:eastAsia="仿宋_GB2312"/>
          <w:color w:val="auto"/>
          <w:sz w:val="32"/>
          <w:szCs w:val="32"/>
          <w:highlight w:val="none"/>
        </w:rPr>
      </w:pPr>
      <w:bookmarkStart w:id="75" w:name="_Toc13366"/>
      <w:bookmarkStart w:id="76" w:name="_Toc24101"/>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bookmarkEnd w:id="75"/>
      <w:bookmarkEnd w:id="76"/>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--行政事业单位养老--机关事业单位基本养老保险缴费</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val="en-US" w:eastAsia="zh-CN"/>
        </w:rPr>
        <w:t>机关单位在职职工基本养老保险缴费</w:t>
      </w:r>
      <w:r>
        <w:rPr>
          <w:rFonts w:hint="eastAsia" w:ascii="仿宋_GB2312" w:eastAsia="仿宋_GB2312"/>
          <w:color w:val="auto"/>
          <w:sz w:val="32"/>
          <w:szCs w:val="32"/>
          <w:highlight w:val="none"/>
        </w:rPr>
        <w:t>。</w:t>
      </w:r>
    </w:p>
    <w:p>
      <w:pPr>
        <w:spacing w:line="54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卫生</w:t>
      </w:r>
      <w:r>
        <w:rPr>
          <w:rFonts w:hint="eastAsia" w:ascii="仿宋_GB2312" w:eastAsia="仿宋_GB2312"/>
          <w:color w:val="auto"/>
          <w:sz w:val="32"/>
          <w:szCs w:val="32"/>
          <w:highlight w:val="none"/>
          <w:lang w:val="en-US" w:eastAsia="zh-CN"/>
        </w:rPr>
        <w:t>健康</w:t>
      </w:r>
      <w:r>
        <w:rPr>
          <w:rFonts w:hint="eastAsia" w:ascii="仿宋_GB2312" w:eastAsia="仿宋_GB2312"/>
          <w:color w:val="auto"/>
          <w:sz w:val="32"/>
          <w:szCs w:val="32"/>
          <w:highlight w:val="none"/>
        </w:rPr>
        <w:t>—行政事业单位医疗—行政单位医疗</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指的是在职职工的医疗保险缴费和“</w:t>
      </w:r>
      <w:r>
        <w:rPr>
          <w:rFonts w:hint="eastAsia" w:ascii="仿宋_GB2312" w:eastAsia="仿宋_GB2312"/>
          <w:color w:val="auto"/>
          <w:sz w:val="32"/>
          <w:szCs w:val="32"/>
          <w:highlight w:val="none"/>
          <w:lang w:val="en-US" w:eastAsia="zh-CN"/>
        </w:rPr>
        <w:t>50.60</w:t>
      </w:r>
      <w:r>
        <w:rPr>
          <w:rFonts w:hint="eastAsia" w:ascii="仿宋_GB2312" w:eastAsia="仿宋_GB2312"/>
          <w:color w:val="auto"/>
          <w:sz w:val="32"/>
          <w:szCs w:val="32"/>
          <w:highlight w:val="none"/>
        </w:rPr>
        <w:t>”人员医疗补助费</w:t>
      </w:r>
      <w:r>
        <w:rPr>
          <w:rFonts w:hint="eastAsia" w:ascii="仿宋_GB2312" w:eastAsia="仿宋_GB2312"/>
          <w:color w:val="auto"/>
          <w:sz w:val="32"/>
          <w:szCs w:val="32"/>
          <w:highlight w:val="none"/>
          <w:lang w:eastAsia="zh-CN"/>
        </w:rPr>
        <w:t>。</w:t>
      </w:r>
    </w:p>
    <w:p>
      <w:pPr>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农林水</w:t>
      </w:r>
      <w:r>
        <w:rPr>
          <w:rFonts w:hint="eastAsia" w:ascii="仿宋_GB2312" w:eastAsia="仿宋_GB2312"/>
          <w:color w:val="auto"/>
          <w:sz w:val="32"/>
          <w:szCs w:val="32"/>
          <w:highlight w:val="none"/>
          <w:lang w:val="en-US" w:eastAsia="zh-CN"/>
        </w:rPr>
        <w:t>--巩固脱贫攻坚衔接乡村振兴--生产发展</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val="en-US" w:eastAsia="zh-CN"/>
        </w:rPr>
        <w:t>用于生产发展、扶贫项目建设的经费支出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商业服务业</w:t>
      </w:r>
      <w:r>
        <w:rPr>
          <w:rFonts w:hint="eastAsia" w:ascii="仿宋_GB2312" w:eastAsia="仿宋_GB2312"/>
          <w:color w:val="auto"/>
          <w:sz w:val="32"/>
          <w:szCs w:val="32"/>
          <w:highlight w:val="none"/>
          <w:lang w:val="en-US" w:eastAsia="zh-CN"/>
        </w:rPr>
        <w:t>--商业流通事务--行政运行支出：指的是在职职工的工资、津补贴、奖金、补缴退休人员职业年金以及机关日常公用经费等。</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住房保障</w:t>
      </w:r>
      <w:r>
        <w:rPr>
          <w:rFonts w:eastAsia="方正仿宋简体"/>
          <w:sz w:val="32"/>
          <w:szCs w:val="32"/>
        </w:rPr>
        <w:t>—</w:t>
      </w:r>
      <w:r>
        <w:rPr>
          <w:rFonts w:hint="eastAsia" w:ascii="仿宋_GB2312" w:eastAsia="仿宋_GB2312"/>
          <w:color w:val="auto"/>
          <w:sz w:val="32"/>
          <w:szCs w:val="32"/>
          <w:highlight w:val="none"/>
        </w:rPr>
        <w:t>住房改革支出—住房公积金， 指的是为在职职工缴纳的住房公积金。</w:t>
      </w:r>
    </w:p>
    <w:p>
      <w:pPr>
        <w:ind w:firstLine="640" w:firstLineChars="20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粮油物资储备支出--重要商品储备--化肥储备</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指用于化肥淡储，以奖代补资金支出。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sz w:val="32"/>
          <w:szCs w:val="32"/>
        </w:rPr>
      </w:pPr>
      <w:r>
        <w:rPr>
          <w:rFonts w:ascii="仿宋" w:hAnsi="仿宋" w:eastAsia="仿宋"/>
          <w:b/>
          <w:sz w:val="32"/>
          <w:szCs w:val="32"/>
        </w:rPr>
        <w:br w:type="page"/>
      </w:r>
    </w:p>
    <w:p>
      <w:pPr>
        <w:pStyle w:val="2"/>
        <w:jc w:val="center"/>
        <w:rPr>
          <w:rFonts w:ascii="黑体" w:hAnsi="黑体" w:eastAsia="黑体"/>
          <w:b w:val="0"/>
        </w:rPr>
      </w:pPr>
      <w:bookmarkStart w:id="77" w:name="_Toc31721"/>
      <w:r>
        <w:rPr>
          <w:rFonts w:hint="eastAsia" w:ascii="黑体" w:hAnsi="黑体" w:eastAsia="黑体"/>
          <w:b w:val="0"/>
        </w:rPr>
        <w:t>第四部分 附件</w:t>
      </w:r>
      <w:bookmarkEnd w:id="77"/>
    </w:p>
    <w:p/>
    <w:p>
      <w:pPr>
        <w:rPr>
          <w:rFonts w:ascii="黑体" w:hAnsi="黑体" w:eastAsia="黑体"/>
          <w:sz w:val="32"/>
          <w:szCs w:val="32"/>
        </w:rPr>
      </w:pPr>
      <w:r>
        <w:rPr>
          <w:rFonts w:hint="eastAsia" w:ascii="黑体" w:hAnsi="黑体" w:eastAsia="黑体"/>
          <w:sz w:val="32"/>
          <w:szCs w:val="32"/>
        </w:rPr>
        <w:t>附件1</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部门预算绩效评价报告范本</w:t>
      </w:r>
    </w:p>
    <w:p>
      <w:pPr>
        <w:jc w:val="center"/>
        <w:rPr>
          <w:rFonts w:ascii="仿宋_GB2312" w:eastAsia="仿宋_GB2312"/>
          <w:sz w:val="32"/>
          <w:szCs w:val="32"/>
        </w:rPr>
      </w:pPr>
      <w:r>
        <w:rPr>
          <w:rFonts w:hint="eastAsia" w:ascii="仿宋_GB2312" w:eastAsia="仿宋_GB2312"/>
          <w:sz w:val="32"/>
          <w:szCs w:val="32"/>
        </w:rPr>
        <w:t>（报告范围包括机关和下属单位）</w:t>
      </w:r>
    </w:p>
    <w:p/>
    <w:p>
      <w:pPr>
        <w:rPr>
          <w:rFonts w:ascii="黑体" w:hAnsi="黑体" w:eastAsia="黑体"/>
          <w:sz w:val="32"/>
          <w:szCs w:val="32"/>
        </w:rPr>
      </w:pPr>
      <w:r>
        <w:rPr>
          <w:rFonts w:hint="eastAsia" w:ascii="黑体" w:hAnsi="黑体" w:eastAsia="黑体"/>
          <w:sz w:val="32"/>
          <w:szCs w:val="32"/>
        </w:rPr>
        <w:t>一、部门（单位）基本情况</w:t>
      </w:r>
    </w:p>
    <w:p>
      <w:pPr>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（一）机构组成。</w:t>
      </w:r>
    </w:p>
    <w:p>
      <w:pPr>
        <w:spacing w:line="54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万源市供销社是市政府直属事业单位（参公管理正科级），内设三股二室（办公室、社务股、人事股、财务股、监事会办公室）。</w:t>
      </w:r>
    </w:p>
    <w:p>
      <w:pPr>
        <w:numPr>
          <w:ilvl w:val="0"/>
          <w:numId w:val="3"/>
        </w:numPr>
        <w:ind w:firstLine="643" w:firstLineChars="200"/>
        <w:rPr>
          <w:rFonts w:hint="eastAsia" w:ascii="楷体_GB2312" w:eastAsia="楷体_GB2312"/>
          <w:b/>
          <w:sz w:val="32"/>
          <w:szCs w:val="32"/>
        </w:rPr>
      </w:pPr>
      <w:r>
        <w:rPr>
          <w:rFonts w:hint="eastAsia" w:ascii="楷体_GB2312" w:eastAsia="楷体_GB2312"/>
          <w:b/>
          <w:sz w:val="32"/>
          <w:szCs w:val="32"/>
        </w:rPr>
        <w:t>机构职能。</w:t>
      </w:r>
    </w:p>
    <w:p>
      <w:pPr>
        <w:spacing w:line="54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研究制定全市供销社发展战略和发展规划，指导全市供销社的发展和改革；按照市政府授权对重要农业生产资料、农副产品、烟花爆竹经营进行组织、协调和管理；负责全市农村现代流通网络建设项目规划和组织实施；协调与政府有关部门、社会组织的关系，对社有控（参）股企业和组织参与的合作经济组织进行业务指导，促进城乡物资交流；维护全市供销合作社的合法权益，向政府和有关部门反映农民社员和基层供销社的意见及要求；承办市政府交办的其它事项。</w:t>
      </w:r>
    </w:p>
    <w:p>
      <w:pPr>
        <w:spacing w:line="540" w:lineRule="exact"/>
        <w:ind w:firstLine="643" w:firstLineChars="200"/>
        <w:rPr>
          <w:rFonts w:hint="eastAsia"/>
          <w:lang w:val="zh-CN"/>
        </w:rPr>
      </w:pPr>
      <w:r>
        <w:rPr>
          <w:rFonts w:hint="eastAsia" w:ascii="楷体_GB2312" w:eastAsia="楷体_GB2312"/>
          <w:b/>
          <w:sz w:val="32"/>
          <w:szCs w:val="32"/>
        </w:rPr>
        <w:t>（三）人员概况。</w:t>
      </w:r>
      <w:r>
        <w:rPr>
          <w:rFonts w:hint="eastAsia" w:ascii="仿宋_GB2312" w:eastAsia="仿宋_GB2312"/>
          <w:sz w:val="32"/>
          <w:szCs w:val="32"/>
        </w:rPr>
        <w:t>截至2023年末，</w:t>
      </w:r>
      <w:r>
        <w:rPr>
          <w:rFonts w:hint="eastAsia" w:ascii="仿宋_GB2312" w:hAnsi="宋体" w:eastAsia="仿宋_GB2312" w:cs="宋体"/>
          <w:color w:val="000000"/>
          <w:kern w:val="0"/>
          <w:sz w:val="32"/>
          <w:szCs w:val="32"/>
          <w:shd w:val="clear" w:color="auto" w:fill="FFFFFF"/>
          <w:lang w:val="zh-CN"/>
        </w:rPr>
        <w:t>参公编制16人，</w:t>
      </w:r>
      <w:r>
        <w:rPr>
          <w:rFonts w:hint="eastAsia" w:ascii="仿宋_GB2312" w:hAnsi="宋体" w:eastAsia="仿宋_GB2312" w:cs="宋体"/>
          <w:color w:val="000000"/>
          <w:kern w:val="0"/>
          <w:sz w:val="32"/>
          <w:szCs w:val="32"/>
          <w:shd w:val="clear" w:color="auto" w:fill="FFFFFF"/>
          <w:lang w:val="en-US" w:eastAsia="zh-CN"/>
        </w:rPr>
        <w:t>年</w:t>
      </w:r>
      <w:r>
        <w:rPr>
          <w:rFonts w:hint="eastAsia" w:ascii="仿宋_GB2312" w:hAnsi="宋体" w:eastAsia="仿宋_GB2312" w:cs="宋体"/>
          <w:color w:val="000000"/>
          <w:kern w:val="0"/>
          <w:sz w:val="32"/>
          <w:szCs w:val="32"/>
          <w:shd w:val="clear" w:color="auto" w:fill="FFFFFF"/>
          <w:lang w:val="zh-CN"/>
        </w:rPr>
        <w:t>末实有人员1</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lang w:val="zh-CN"/>
        </w:rPr>
        <w:t>人。</w:t>
      </w:r>
    </w:p>
    <w:p>
      <w:pPr>
        <w:rPr>
          <w:rFonts w:ascii="黑体" w:hAnsi="黑体" w:eastAsia="黑体"/>
          <w:sz w:val="32"/>
          <w:szCs w:val="32"/>
        </w:rPr>
      </w:pPr>
      <w:r>
        <w:rPr>
          <w:rFonts w:hint="eastAsia" w:ascii="黑体" w:hAnsi="黑体" w:eastAsia="黑体"/>
          <w:sz w:val="32"/>
          <w:szCs w:val="32"/>
        </w:rPr>
        <w:t>二、部门资金收支情况</w:t>
      </w:r>
    </w:p>
    <w:p>
      <w:pPr>
        <w:widowControl/>
        <w:adjustRightInd w:val="0"/>
        <w:snapToGrid w:val="0"/>
        <w:spacing w:line="580" w:lineRule="exact"/>
        <w:ind w:firstLine="643" w:firstLineChars="200"/>
        <w:contextualSpacing/>
        <w:jc w:val="left"/>
        <w:rPr>
          <w:rFonts w:hint="eastAsia" w:ascii="楷体_GB2312" w:eastAsia="楷体_GB2312"/>
          <w:b/>
          <w:sz w:val="32"/>
          <w:szCs w:val="32"/>
        </w:rPr>
      </w:pPr>
      <w:r>
        <w:rPr>
          <w:rFonts w:hint="eastAsia" w:ascii="楷体_GB2312" w:eastAsia="楷体_GB2312"/>
          <w:b/>
          <w:sz w:val="32"/>
          <w:szCs w:val="32"/>
        </w:rPr>
        <w:t>（一）收入情况。</w:t>
      </w:r>
    </w:p>
    <w:p>
      <w:pPr>
        <w:widowControl/>
        <w:adjustRightInd w:val="0"/>
        <w:snapToGrid w:val="0"/>
        <w:spacing w:line="580" w:lineRule="exact"/>
        <w:ind w:firstLine="640" w:firstLineChars="200"/>
        <w:contextualSpacing/>
        <w:jc w:val="left"/>
        <w:rPr>
          <w:rFonts w:hint="eastAsia"/>
          <w:lang w:val="en-US" w:eastAsia="zh-CN"/>
        </w:rPr>
      </w:pPr>
      <w:r>
        <w:rPr>
          <w:rFonts w:hint="eastAsia" w:ascii="仿宋_GB2312" w:hAnsi="宋体" w:eastAsia="仿宋_GB2312" w:cs="宋体"/>
          <w:color w:val="000000"/>
          <w:kern w:val="0"/>
          <w:sz w:val="32"/>
          <w:szCs w:val="32"/>
          <w:shd w:val="clear" w:color="auto" w:fill="FFFFFF"/>
          <w:lang w:val="zh-CN"/>
        </w:rPr>
        <w:t>万源市供销社是财政全额预算拨款管理单位，全部资金收入来源于财政全额拨款。</w:t>
      </w:r>
    </w:p>
    <w:p>
      <w:pPr>
        <w:numPr>
          <w:ilvl w:val="0"/>
          <w:numId w:val="4"/>
        </w:numPr>
        <w:ind w:left="0" w:leftChars="0" w:firstLine="643" w:firstLineChars="200"/>
        <w:rPr>
          <w:rFonts w:hint="eastAsia" w:ascii="楷体_GB2312" w:eastAsia="楷体_GB2312"/>
          <w:b/>
          <w:sz w:val="32"/>
          <w:szCs w:val="32"/>
        </w:rPr>
      </w:pPr>
      <w:r>
        <w:rPr>
          <w:rFonts w:hint="eastAsia" w:ascii="楷体_GB2312" w:eastAsia="楷体_GB2312"/>
          <w:b/>
          <w:sz w:val="32"/>
          <w:szCs w:val="32"/>
        </w:rPr>
        <w:t>支出情况。</w:t>
      </w:r>
    </w:p>
    <w:p>
      <w:pPr>
        <w:widowControl/>
        <w:adjustRightInd w:val="0"/>
        <w:snapToGrid w:val="0"/>
        <w:spacing w:line="580" w:lineRule="exact"/>
        <w:ind w:firstLine="640" w:firstLineChars="200"/>
        <w:contextualSpacing/>
        <w:jc w:val="left"/>
        <w:rPr>
          <w:rFonts w:ascii="仿宋_GB2312" w:eastAsia="仿宋_GB2312"/>
          <w:sz w:val="32"/>
          <w:szCs w:val="32"/>
        </w:rPr>
      </w:pPr>
      <w:r>
        <w:rPr>
          <w:rFonts w:hint="eastAsia" w:ascii="仿宋_GB2312" w:hAnsi="宋体" w:eastAsia="仿宋_GB2312" w:cs="宋体"/>
          <w:color w:val="000000"/>
          <w:kern w:val="0"/>
          <w:sz w:val="32"/>
          <w:szCs w:val="32"/>
          <w:shd w:val="clear" w:color="auto" w:fill="FFFFFF"/>
          <w:lang w:val="zh-CN"/>
        </w:rPr>
        <w:t>根据预算安排，全部用于市供销社机关人员经费及行政运行日常经费，确保机关正常运行</w:t>
      </w:r>
      <w:r>
        <w:rPr>
          <w:rFonts w:hint="eastAsia" w:ascii="仿宋_GB2312" w:eastAsia="仿宋_GB2312"/>
          <w:sz w:val="32"/>
          <w:szCs w:val="32"/>
        </w:rPr>
        <w:t>。</w:t>
      </w:r>
    </w:p>
    <w:p>
      <w:pPr>
        <w:numPr>
          <w:ilvl w:val="0"/>
          <w:numId w:val="4"/>
        </w:numPr>
        <w:ind w:left="0" w:leftChars="0" w:firstLine="643" w:firstLineChars="200"/>
        <w:rPr>
          <w:rFonts w:hint="eastAsia" w:ascii="楷体_GB2312" w:eastAsia="楷体_GB2312"/>
          <w:b/>
          <w:sz w:val="32"/>
          <w:szCs w:val="32"/>
        </w:rPr>
      </w:pPr>
      <w:r>
        <w:rPr>
          <w:rFonts w:hint="eastAsia" w:ascii="楷体_GB2312" w:eastAsia="楷体_GB2312"/>
          <w:b/>
          <w:sz w:val="32"/>
          <w:szCs w:val="32"/>
        </w:rPr>
        <w:t>结余分配和结转结余情况。</w:t>
      </w:r>
    </w:p>
    <w:p>
      <w:pPr>
        <w:numPr>
          <w:ilvl w:val="0"/>
          <w:numId w:val="0"/>
        </w:numPr>
        <w:ind w:leftChars="200" w:firstLine="320" w:firstLineChars="100"/>
        <w:rPr>
          <w:rFonts w:ascii="仿宋_GB2312" w:eastAsia="仿宋_GB2312"/>
          <w:sz w:val="32"/>
          <w:szCs w:val="32"/>
        </w:rPr>
      </w:pPr>
      <w:r>
        <w:rPr>
          <w:rFonts w:hint="eastAsia" w:ascii="仿宋_GB2312" w:hAnsi="仿宋_GB2312" w:eastAsia="仿宋_GB2312" w:cs="仿宋_GB2312"/>
          <w:color w:val="auto"/>
          <w:sz w:val="32"/>
          <w:szCs w:val="32"/>
          <w:shd w:val="clear" w:color="auto" w:fill="FFFFFF"/>
          <w:lang w:val="en-US" w:eastAsia="zh-CN"/>
        </w:rPr>
        <w:t>2023年度本单位无结转结余资金。</w:t>
      </w:r>
    </w:p>
    <w:p>
      <w:pPr>
        <w:rPr>
          <w:rFonts w:ascii="黑体" w:hAnsi="黑体" w:eastAsia="黑体"/>
          <w:sz w:val="32"/>
          <w:szCs w:val="32"/>
        </w:rPr>
      </w:pPr>
      <w:r>
        <w:rPr>
          <w:rFonts w:hint="eastAsia" w:ascii="黑体" w:hAnsi="黑体" w:eastAsia="黑体"/>
          <w:sz w:val="32"/>
          <w:szCs w:val="32"/>
        </w:rPr>
        <w:t>三、部门预算绩效分析</w:t>
      </w:r>
    </w:p>
    <w:p>
      <w:pPr>
        <w:ind w:firstLine="643" w:firstLineChars="200"/>
        <w:rPr>
          <w:rFonts w:ascii="仿宋_GB2312" w:eastAsia="仿宋_GB2312"/>
          <w:sz w:val="32"/>
          <w:szCs w:val="32"/>
        </w:rPr>
      </w:pPr>
      <w:r>
        <w:rPr>
          <w:rFonts w:hint="eastAsia" w:ascii="楷体_GB2312" w:eastAsia="楷体_GB2312"/>
          <w:b/>
          <w:sz w:val="32"/>
          <w:szCs w:val="32"/>
        </w:rPr>
        <w:t>（一）部门预算总体绩效分析。</w:t>
      </w:r>
    </w:p>
    <w:p>
      <w:pPr>
        <w:adjustRightInd w:val="0"/>
        <w:snapToGrid w:val="0"/>
        <w:spacing w:line="578" w:lineRule="exact"/>
        <w:ind w:firstLine="640" w:firstLineChars="200"/>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1.</w:t>
      </w:r>
      <w:r>
        <w:rPr>
          <w:rFonts w:hint="eastAsia" w:ascii="楷体_GB2312" w:hAnsi="楷体_GB2312" w:eastAsia="楷体_GB2312" w:cs="楷体_GB2312"/>
          <w:color w:val="000000"/>
          <w:kern w:val="0"/>
          <w:sz w:val="32"/>
          <w:szCs w:val="32"/>
          <w:shd w:val="clear" w:color="auto" w:fill="FFFFFF"/>
          <w:lang w:val="zh-CN"/>
        </w:rPr>
        <w:t>履职</w:t>
      </w:r>
      <w:r>
        <w:rPr>
          <w:rFonts w:hint="eastAsia" w:ascii="楷体_GB2312" w:hAnsi="楷体_GB2312" w:eastAsia="楷体_GB2312" w:cs="楷体_GB2312"/>
          <w:color w:val="000000"/>
          <w:kern w:val="0"/>
          <w:sz w:val="32"/>
          <w:szCs w:val="32"/>
          <w:shd w:val="clear" w:color="auto" w:fill="FFFFFF"/>
        </w:rPr>
        <w:t>效能</w:t>
      </w:r>
      <w:r>
        <w:rPr>
          <w:rFonts w:hint="eastAsia" w:ascii="楷体_GB2312" w:hAnsi="楷体_GB2312" w:eastAsia="楷体_GB2312" w:cs="楷体_GB2312"/>
          <w:color w:val="000000"/>
          <w:kern w:val="0"/>
          <w:sz w:val="32"/>
          <w:szCs w:val="32"/>
          <w:shd w:val="clear" w:color="auto" w:fill="FFFFFF"/>
          <w:lang w:val="zh-CN"/>
        </w:rPr>
        <w:t>。</w:t>
      </w:r>
    </w:p>
    <w:p>
      <w:pPr>
        <w:ind w:firstLine="640" w:firstLineChars="200"/>
        <w:rPr>
          <w:rFonts w:hint="eastAsia" w:eastAsia="仿宋_GB2312"/>
          <w:sz w:val="32"/>
          <w:szCs w:val="32"/>
          <w:lang w:val="zh-CN" w:eastAsia="zh-CN"/>
        </w:rPr>
      </w:pPr>
      <w:r>
        <w:rPr>
          <w:rFonts w:hint="eastAsia" w:eastAsia="仿宋_GB2312"/>
          <w:sz w:val="32"/>
          <w:szCs w:val="32"/>
          <w:lang w:val="zh-CN" w:eastAsia="zh-CN"/>
        </w:rPr>
        <w:t>严格按照预算要求拨付人员经费。资金按时拨付，保障本单位各项工作正常运行。截止202</w:t>
      </w:r>
      <w:r>
        <w:rPr>
          <w:rFonts w:hint="eastAsia" w:eastAsia="仿宋_GB2312"/>
          <w:sz w:val="32"/>
          <w:szCs w:val="32"/>
          <w:lang w:val="en-US" w:eastAsia="zh-CN"/>
        </w:rPr>
        <w:t>3</w:t>
      </w:r>
      <w:r>
        <w:rPr>
          <w:rFonts w:hint="eastAsia" w:eastAsia="仿宋_GB2312"/>
          <w:sz w:val="32"/>
          <w:szCs w:val="32"/>
          <w:lang w:val="zh-CN" w:eastAsia="zh-CN"/>
        </w:rPr>
        <w:t>年12月31日，人员类绩效目标已全部实现；</w:t>
      </w:r>
      <w:r>
        <w:rPr>
          <w:rFonts w:hint="eastAsia" w:eastAsia="仿宋_GB2312"/>
          <w:sz w:val="32"/>
          <w:szCs w:val="32"/>
          <w:lang w:val="en-US" w:eastAsia="zh-CN"/>
        </w:rPr>
        <w:t>人员经费</w:t>
      </w:r>
      <w:r>
        <w:rPr>
          <w:rFonts w:hint="eastAsia" w:eastAsia="仿宋_GB2312"/>
          <w:sz w:val="32"/>
          <w:szCs w:val="32"/>
          <w:lang w:val="zh-CN" w:eastAsia="zh-CN"/>
        </w:rPr>
        <w:t>支出控制率为</w:t>
      </w:r>
      <w:r>
        <w:rPr>
          <w:rFonts w:hint="eastAsia" w:eastAsia="仿宋_GB2312"/>
          <w:sz w:val="32"/>
          <w:szCs w:val="32"/>
          <w:lang w:val="en-US" w:eastAsia="zh-CN"/>
        </w:rPr>
        <w:t>100</w:t>
      </w:r>
      <w:r>
        <w:rPr>
          <w:rFonts w:hint="eastAsia" w:eastAsia="仿宋_GB2312"/>
          <w:sz w:val="32"/>
          <w:szCs w:val="32"/>
          <w:lang w:val="zh-CN" w:eastAsia="zh-CN"/>
        </w:rPr>
        <w:t>%。截止202</w:t>
      </w:r>
      <w:r>
        <w:rPr>
          <w:rFonts w:hint="eastAsia" w:eastAsia="仿宋_GB2312"/>
          <w:sz w:val="32"/>
          <w:szCs w:val="32"/>
          <w:lang w:val="en-US" w:eastAsia="zh-CN"/>
        </w:rPr>
        <w:t>3</w:t>
      </w:r>
      <w:r>
        <w:rPr>
          <w:rFonts w:hint="eastAsia" w:eastAsia="仿宋_GB2312"/>
          <w:sz w:val="32"/>
          <w:szCs w:val="32"/>
          <w:lang w:val="zh-CN" w:eastAsia="zh-CN"/>
        </w:rPr>
        <w:t>年12月31日，我单位预算执行进度达到</w:t>
      </w:r>
      <w:r>
        <w:rPr>
          <w:rFonts w:hint="eastAsia" w:eastAsia="仿宋_GB2312"/>
          <w:sz w:val="32"/>
          <w:szCs w:val="32"/>
          <w:lang w:val="en-US" w:eastAsia="zh-CN"/>
        </w:rPr>
        <w:t>100</w:t>
      </w:r>
      <w:r>
        <w:rPr>
          <w:rFonts w:hint="eastAsia" w:eastAsia="仿宋_GB2312"/>
          <w:sz w:val="32"/>
          <w:szCs w:val="32"/>
          <w:lang w:val="zh-CN" w:eastAsia="zh-CN"/>
        </w:rPr>
        <w:t>%。我单位在202</w:t>
      </w:r>
      <w:r>
        <w:rPr>
          <w:rFonts w:hint="eastAsia" w:eastAsia="仿宋_GB2312"/>
          <w:sz w:val="32"/>
          <w:szCs w:val="32"/>
          <w:lang w:val="en-US" w:eastAsia="zh-CN"/>
        </w:rPr>
        <w:t>3</w:t>
      </w:r>
      <w:r>
        <w:rPr>
          <w:rFonts w:hint="eastAsia" w:eastAsia="仿宋_GB2312"/>
          <w:sz w:val="32"/>
          <w:szCs w:val="32"/>
          <w:lang w:val="zh-CN" w:eastAsia="zh-CN"/>
        </w:rPr>
        <w:t>年预算执行的过程中无违规记录</w:t>
      </w:r>
    </w:p>
    <w:p>
      <w:pPr>
        <w:ind w:firstLine="640" w:firstLineChars="200"/>
        <w:rPr>
          <w:rFonts w:hint="eastAsia" w:eastAsia="仿宋_GB2312"/>
          <w:sz w:val="32"/>
          <w:szCs w:val="32"/>
          <w:lang w:val="zh-CN" w:eastAsia="zh-CN"/>
        </w:rPr>
      </w:pPr>
      <w:r>
        <w:rPr>
          <w:rFonts w:hint="eastAsia" w:eastAsia="仿宋_GB2312"/>
          <w:sz w:val="32"/>
          <w:szCs w:val="32"/>
          <w:lang w:val="zh-CN" w:eastAsia="zh-CN"/>
        </w:rPr>
        <w:t>严格按照预算要求拨付</w:t>
      </w:r>
      <w:r>
        <w:rPr>
          <w:rFonts w:hint="eastAsia" w:eastAsia="仿宋_GB2312"/>
          <w:sz w:val="32"/>
          <w:szCs w:val="32"/>
          <w:lang w:val="en-US" w:eastAsia="zh-CN"/>
        </w:rPr>
        <w:t>公用</w:t>
      </w:r>
      <w:r>
        <w:rPr>
          <w:rFonts w:hint="eastAsia" w:eastAsia="仿宋_GB2312"/>
          <w:sz w:val="32"/>
          <w:szCs w:val="32"/>
          <w:lang w:val="zh-CN" w:eastAsia="zh-CN"/>
        </w:rPr>
        <w:t>经费。资金按时拨付，保障本单位各项工作正常运行。截止202</w:t>
      </w:r>
      <w:r>
        <w:rPr>
          <w:rFonts w:hint="eastAsia" w:eastAsia="仿宋_GB2312"/>
          <w:sz w:val="32"/>
          <w:szCs w:val="32"/>
          <w:lang w:val="en-US" w:eastAsia="zh-CN"/>
        </w:rPr>
        <w:t>3</w:t>
      </w:r>
      <w:r>
        <w:rPr>
          <w:rFonts w:hint="eastAsia" w:eastAsia="仿宋_GB2312"/>
          <w:sz w:val="32"/>
          <w:szCs w:val="32"/>
          <w:lang w:val="zh-CN" w:eastAsia="zh-CN"/>
        </w:rPr>
        <w:t>年12月31日，运转类绩效目标已实现</w:t>
      </w:r>
      <w:r>
        <w:rPr>
          <w:rFonts w:hint="eastAsia" w:eastAsia="仿宋_GB2312"/>
          <w:sz w:val="32"/>
          <w:szCs w:val="32"/>
          <w:lang w:val="en-US" w:eastAsia="zh-CN"/>
        </w:rPr>
        <w:t>100</w:t>
      </w:r>
      <w:r>
        <w:rPr>
          <w:rFonts w:hint="eastAsia" w:eastAsia="仿宋_GB2312"/>
          <w:sz w:val="32"/>
          <w:szCs w:val="32"/>
          <w:lang w:val="zh-CN" w:eastAsia="zh-CN"/>
        </w:rPr>
        <w:t>%。我单位预算执行进度达到</w:t>
      </w:r>
      <w:r>
        <w:rPr>
          <w:rFonts w:hint="eastAsia" w:eastAsia="仿宋_GB2312"/>
          <w:sz w:val="32"/>
          <w:szCs w:val="32"/>
          <w:lang w:val="en-US" w:eastAsia="zh-CN"/>
        </w:rPr>
        <w:t>100</w:t>
      </w:r>
      <w:r>
        <w:rPr>
          <w:rFonts w:hint="eastAsia" w:eastAsia="仿宋_GB2312"/>
          <w:sz w:val="32"/>
          <w:szCs w:val="32"/>
          <w:lang w:val="zh-CN" w:eastAsia="zh-CN"/>
        </w:rPr>
        <w:t>%。预算执行的过程中无违规记录。</w:t>
      </w:r>
    </w:p>
    <w:p>
      <w:pPr>
        <w:ind w:firstLine="640" w:firstLineChars="200"/>
        <w:rPr>
          <w:rFonts w:hint="default" w:eastAsia="仿宋_GB2312"/>
          <w:sz w:val="32"/>
          <w:szCs w:val="32"/>
          <w:lang w:val="en-US" w:eastAsia="zh-CN"/>
        </w:rPr>
      </w:pPr>
      <w:r>
        <w:rPr>
          <w:rFonts w:hint="eastAsia" w:eastAsia="仿宋_GB2312"/>
          <w:sz w:val="32"/>
          <w:szCs w:val="32"/>
          <w:lang w:val="zh-CN" w:eastAsia="zh-CN"/>
        </w:rPr>
        <w:t>截止202</w:t>
      </w:r>
      <w:r>
        <w:rPr>
          <w:rFonts w:hint="eastAsia" w:eastAsia="仿宋_GB2312"/>
          <w:sz w:val="32"/>
          <w:szCs w:val="32"/>
          <w:lang w:val="en-US" w:eastAsia="zh-CN"/>
        </w:rPr>
        <w:t>3</w:t>
      </w:r>
      <w:r>
        <w:rPr>
          <w:rFonts w:hint="eastAsia" w:eastAsia="仿宋_GB2312"/>
          <w:sz w:val="32"/>
          <w:szCs w:val="32"/>
          <w:lang w:val="zh-CN" w:eastAsia="zh-CN"/>
        </w:rPr>
        <w:t>年12月31日，特定目标类绩效目标已全部实现。预算执行进度达到</w:t>
      </w:r>
      <w:r>
        <w:rPr>
          <w:rFonts w:hint="eastAsia" w:eastAsia="仿宋_GB2312"/>
          <w:sz w:val="32"/>
          <w:szCs w:val="32"/>
          <w:lang w:val="en-US" w:eastAsia="zh-CN"/>
        </w:rPr>
        <w:t>100</w:t>
      </w:r>
      <w:r>
        <w:rPr>
          <w:rFonts w:hint="eastAsia" w:eastAsia="仿宋_GB2312"/>
          <w:sz w:val="32"/>
          <w:szCs w:val="32"/>
          <w:lang w:val="zh-CN" w:eastAsia="zh-CN"/>
        </w:rPr>
        <w:t>%，无违规记录。</w:t>
      </w:r>
    </w:p>
    <w:p>
      <w:pPr>
        <w:numPr>
          <w:ilvl w:val="0"/>
          <w:numId w:val="0"/>
        </w:numPr>
        <w:adjustRightInd w:val="0"/>
        <w:snapToGrid w:val="0"/>
        <w:spacing w:line="578" w:lineRule="exact"/>
        <w:ind w:firstLine="640" w:firstLineChars="200"/>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en-US" w:eastAsia="zh-CN"/>
        </w:rPr>
        <w:t>2.</w:t>
      </w:r>
      <w:r>
        <w:rPr>
          <w:rFonts w:hint="eastAsia" w:ascii="楷体_GB2312" w:hAnsi="楷体_GB2312" w:eastAsia="楷体_GB2312" w:cs="楷体_GB2312"/>
          <w:color w:val="000000"/>
          <w:kern w:val="0"/>
          <w:sz w:val="32"/>
          <w:szCs w:val="32"/>
          <w:shd w:val="clear" w:color="auto" w:fill="FFFFFF"/>
          <w:lang w:val="zh-CN"/>
        </w:rPr>
        <w:t>预算管理。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eastAsia="仿宋_GB2312"/>
          <w:sz w:val="32"/>
          <w:szCs w:val="32"/>
          <w:lang w:val="zh-CN"/>
        </w:rPr>
      </w:pPr>
      <w:r>
        <w:rPr>
          <w:rFonts w:hint="eastAsia" w:eastAsia="仿宋_GB2312"/>
          <w:sz w:val="32"/>
          <w:szCs w:val="32"/>
          <w:lang w:val="en-US" w:eastAsia="zh-CN"/>
        </w:rPr>
        <w:t>本单位</w:t>
      </w:r>
      <w:r>
        <w:rPr>
          <w:rFonts w:hint="eastAsia" w:eastAsia="仿宋_GB2312"/>
          <w:sz w:val="32"/>
          <w:szCs w:val="32"/>
          <w:lang w:val="zh-CN"/>
        </w:rPr>
        <w:t>严格按要求编制年初部门预算，年初预算编制科学</w:t>
      </w:r>
      <w:r>
        <w:rPr>
          <w:rFonts w:hint="eastAsia" w:eastAsia="仿宋_GB2312"/>
          <w:sz w:val="32"/>
          <w:szCs w:val="32"/>
          <w:lang w:val="en-US" w:eastAsia="zh-CN"/>
        </w:rPr>
        <w:t>合理，我单位2023年6、9、11月均已达到序时进度的80%、90%、90%。，无</w:t>
      </w:r>
      <w:r>
        <w:rPr>
          <w:rFonts w:hint="eastAsia" w:eastAsia="仿宋_GB2312"/>
          <w:sz w:val="32"/>
          <w:szCs w:val="32"/>
          <w:lang w:val="zh-CN"/>
        </w:rPr>
        <w:t>年终结余，</w:t>
      </w:r>
      <w:r>
        <w:rPr>
          <w:rFonts w:hint="eastAsia" w:eastAsia="仿宋_GB2312"/>
          <w:sz w:val="32"/>
          <w:szCs w:val="32"/>
          <w:lang w:val="en-US" w:eastAsia="zh-CN"/>
        </w:rPr>
        <w:t>一般性支出财政拨款年初预算及一般性支出财政拨款预算执行较上年实现压减。</w:t>
      </w:r>
    </w:p>
    <w:p>
      <w:pPr>
        <w:adjustRightInd w:val="0"/>
        <w:snapToGrid w:val="0"/>
        <w:spacing w:line="578" w:lineRule="exact"/>
        <w:ind w:firstLine="640" w:firstLineChars="200"/>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3.</w:t>
      </w:r>
      <w:r>
        <w:rPr>
          <w:rFonts w:hint="eastAsia" w:ascii="楷体_GB2312" w:hAnsi="楷体_GB2312" w:eastAsia="楷体_GB2312" w:cs="楷体_GB2312"/>
          <w:color w:val="000000"/>
          <w:kern w:val="0"/>
          <w:sz w:val="32"/>
          <w:szCs w:val="32"/>
          <w:shd w:val="clear" w:color="auto" w:fill="FFFFFF"/>
          <w:lang w:val="zh-CN"/>
        </w:rPr>
        <w:t>财务管理。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rPr>
      </w:pPr>
      <w:r>
        <w:rPr>
          <w:rFonts w:hint="eastAsia" w:eastAsia="仿宋_GB2312"/>
          <w:sz w:val="32"/>
          <w:szCs w:val="32"/>
          <w:lang w:val="zh-CN" w:eastAsia="zh-CN"/>
        </w:rPr>
        <w:t>已制定绩效管理制度，内部财务管理制度，部门财务工作岗位设置合理，职责权限明确，并严格实行不相容岗位分离的</w:t>
      </w:r>
      <w:r>
        <w:rPr>
          <w:rFonts w:hint="eastAsia" w:eastAsia="仿宋_GB2312"/>
          <w:sz w:val="32"/>
          <w:szCs w:val="32"/>
          <w:lang w:val="en-US" w:eastAsia="zh-CN"/>
        </w:rPr>
        <w:t>制度，资金使用符合相关财务管理制度规定。</w:t>
      </w:r>
    </w:p>
    <w:p>
      <w:pPr>
        <w:adjustRightInd w:val="0"/>
        <w:snapToGrid w:val="0"/>
        <w:spacing w:line="578" w:lineRule="exact"/>
        <w:ind w:firstLine="640" w:firstLineChars="200"/>
        <w:jc w:val="left"/>
        <w:rPr>
          <w:rFonts w:hint="eastAsia" w:eastAsia="仿宋_GB2312"/>
          <w:sz w:val="32"/>
          <w:szCs w:val="32"/>
          <w:lang w:val="zh-CN"/>
        </w:rPr>
      </w:pPr>
      <w:r>
        <w:rPr>
          <w:rFonts w:hint="eastAsia" w:ascii="楷体_GB2312" w:hAnsi="楷体_GB2312" w:eastAsia="楷体_GB2312" w:cs="楷体_GB2312"/>
          <w:color w:val="000000"/>
          <w:kern w:val="0"/>
          <w:sz w:val="32"/>
          <w:szCs w:val="32"/>
          <w:shd w:val="clear" w:color="auto" w:fill="FFFFFF"/>
        </w:rPr>
        <w:t>4.</w:t>
      </w:r>
      <w:r>
        <w:rPr>
          <w:rFonts w:hint="eastAsia" w:ascii="楷体_GB2312" w:hAnsi="楷体_GB2312" w:eastAsia="楷体_GB2312" w:cs="楷体_GB2312"/>
          <w:color w:val="000000"/>
          <w:kern w:val="0"/>
          <w:sz w:val="32"/>
          <w:szCs w:val="32"/>
          <w:shd w:val="clear" w:color="auto" w:fill="FFFFFF"/>
          <w:lang w:val="zh-CN"/>
        </w:rPr>
        <w:t>资产管理。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eastAsia="仿宋_GB2312"/>
          <w:sz w:val="32"/>
          <w:szCs w:val="32"/>
          <w:lang w:val="zh-CN"/>
        </w:rPr>
      </w:pPr>
      <w:r>
        <w:rPr>
          <w:rFonts w:hint="eastAsia" w:eastAsia="仿宋_GB2312"/>
          <w:sz w:val="32"/>
          <w:szCs w:val="32"/>
          <w:lang w:val="en-US" w:eastAsia="zh-CN"/>
        </w:rPr>
        <w:t>2023年</w:t>
      </w:r>
      <w:r>
        <w:rPr>
          <w:rFonts w:hint="eastAsia" w:eastAsia="仿宋_GB2312"/>
          <w:sz w:val="32"/>
          <w:szCs w:val="32"/>
          <w:lang w:val="zh-CN" w:eastAsia="zh-CN"/>
        </w:rPr>
        <w:t>人均资产变化率</w:t>
      </w:r>
      <w:r>
        <w:rPr>
          <w:rFonts w:hint="eastAsia" w:eastAsia="仿宋_GB2312"/>
          <w:sz w:val="32"/>
          <w:szCs w:val="32"/>
          <w:lang w:val="en-US" w:eastAsia="zh-CN"/>
        </w:rPr>
        <w:t>小于28%，办公家具超最低使用年限资产利用率小于49%，本年度及上年度均无闲置资产。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jc w:val="left"/>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5.</w:t>
      </w:r>
      <w:r>
        <w:rPr>
          <w:rFonts w:hint="eastAsia" w:ascii="楷体_GB2312" w:hAnsi="楷体_GB2312" w:eastAsia="楷体_GB2312" w:cs="楷体_GB2312"/>
          <w:color w:val="000000"/>
          <w:kern w:val="0"/>
          <w:sz w:val="32"/>
          <w:szCs w:val="32"/>
          <w:shd w:val="clear" w:color="auto" w:fill="FFFFFF"/>
          <w:lang w:val="zh-CN"/>
        </w:rPr>
        <w:t>采购管理。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jc w:val="left"/>
        <w:textAlignment w:val="auto"/>
        <w:rPr>
          <w:rFonts w:ascii="楷体_GB2312" w:hAnsi="楷体_GB2312" w:eastAsia="楷体_GB2312" w:cs="楷体_GB2312"/>
          <w:color w:val="000000"/>
          <w:kern w:val="0"/>
          <w:sz w:val="32"/>
          <w:szCs w:val="32"/>
          <w:shd w:val="clear" w:color="auto" w:fill="FFFFFF"/>
          <w:lang w:val="zh-CN"/>
        </w:rPr>
      </w:pPr>
      <w:r>
        <w:rPr>
          <w:rFonts w:hint="eastAsia" w:eastAsia="仿宋_GB2312"/>
          <w:sz w:val="32"/>
          <w:szCs w:val="32"/>
          <w:lang w:val="en-US" w:eastAsia="zh-CN"/>
        </w:rPr>
        <w:t>采购执行中</w:t>
      </w:r>
      <w:r>
        <w:rPr>
          <w:rFonts w:hint="eastAsia" w:eastAsia="仿宋_GB2312"/>
          <w:sz w:val="32"/>
          <w:szCs w:val="32"/>
          <w:lang w:val="zh-CN" w:eastAsia="zh-CN"/>
        </w:rPr>
        <w:t>严格执行政府采购促进中小企业发展相关管理办法。</w:t>
      </w:r>
    </w:p>
    <w:p>
      <w:pPr>
        <w:ind w:firstLine="643" w:firstLineChars="200"/>
        <w:rPr>
          <w:rFonts w:eastAsia="仿宋_GB2312"/>
          <w:sz w:val="32"/>
          <w:szCs w:val="32"/>
          <w:lang w:val="zh-CN"/>
        </w:rPr>
      </w:pPr>
      <w:r>
        <w:rPr>
          <w:rFonts w:hint="eastAsia" w:ascii="楷体_GB2312" w:eastAsia="楷体_GB2312"/>
          <w:b/>
          <w:sz w:val="32"/>
          <w:szCs w:val="32"/>
        </w:rPr>
        <w:t>（二）部门预算项目绩效分析。</w:t>
      </w:r>
      <w:r>
        <w:rPr>
          <w:rFonts w:hint="eastAsia" w:eastAsia="仿宋_GB2312"/>
          <w:sz w:val="32"/>
          <w:szCs w:val="32"/>
          <w:lang w:val="zh-CN"/>
        </w:rPr>
        <w:t>填报以下数据，并根据部门预算绩效评价指标体系“项目绩效”涉及二、三级指标进行逐项绩效分析并评分，依次包括项目决策、项目执行、目标实现等情况。</w:t>
      </w:r>
    </w:p>
    <w:p>
      <w:pPr>
        <w:ind w:firstLine="640" w:firstLineChars="200"/>
        <w:rPr>
          <w:rFonts w:eastAsia="仿宋_GB2312"/>
          <w:sz w:val="32"/>
          <w:szCs w:val="32"/>
          <w:lang w:val="zh-CN"/>
        </w:rPr>
      </w:pPr>
      <w:r>
        <w:rPr>
          <w:rFonts w:hint="eastAsia" w:eastAsia="仿宋_GB2312"/>
          <w:sz w:val="32"/>
          <w:szCs w:val="32"/>
          <w:lang w:val="zh-CN"/>
        </w:rPr>
        <w:t>常年项目绩效分析。该类项目总数</w:t>
      </w:r>
      <w:r>
        <w:rPr>
          <w:rFonts w:hint="eastAsia" w:eastAsia="仿宋_GB2312"/>
          <w:sz w:val="32"/>
          <w:szCs w:val="32"/>
          <w:lang w:val="en-US" w:eastAsia="zh-CN"/>
        </w:rPr>
        <w:t>0</w:t>
      </w:r>
      <w:r>
        <w:rPr>
          <w:rFonts w:hint="eastAsia" w:eastAsia="仿宋_GB2312"/>
          <w:sz w:val="32"/>
          <w:szCs w:val="32"/>
          <w:lang w:val="zh-CN"/>
        </w:rPr>
        <w:t>个，涉及预算总金额</w:t>
      </w:r>
      <w:r>
        <w:rPr>
          <w:rFonts w:hint="eastAsia" w:eastAsia="仿宋_GB2312"/>
          <w:sz w:val="32"/>
          <w:szCs w:val="32"/>
          <w:lang w:val="en-US" w:eastAsia="zh-CN"/>
        </w:rPr>
        <w:t>0</w:t>
      </w:r>
      <w:r>
        <w:rPr>
          <w:rFonts w:hint="eastAsia" w:eastAsia="仿宋_GB2312"/>
          <w:sz w:val="32"/>
          <w:szCs w:val="32"/>
          <w:lang w:val="zh-CN"/>
        </w:rPr>
        <w:t xml:space="preserve">万元，1—12月预算执行总体进度为 </w:t>
      </w:r>
      <w:r>
        <w:rPr>
          <w:rFonts w:hint="eastAsia" w:eastAsia="仿宋_GB2312"/>
          <w:sz w:val="32"/>
          <w:szCs w:val="32"/>
          <w:lang w:val="en-US" w:eastAsia="zh-CN"/>
        </w:rPr>
        <w:t>0</w:t>
      </w:r>
      <w:r>
        <w:rPr>
          <w:rFonts w:hint="eastAsia" w:eastAsia="仿宋_GB2312"/>
          <w:sz w:val="32"/>
          <w:szCs w:val="32"/>
          <w:lang w:val="zh-CN"/>
        </w:rPr>
        <w:t>%，其中：预算结余率大于10%的项目共计</w:t>
      </w:r>
      <w:r>
        <w:rPr>
          <w:rFonts w:hint="eastAsia" w:eastAsia="仿宋_GB2312"/>
          <w:sz w:val="32"/>
          <w:szCs w:val="32"/>
          <w:lang w:val="en-US" w:eastAsia="zh-CN"/>
        </w:rPr>
        <w:t>0</w:t>
      </w:r>
      <w:r>
        <w:rPr>
          <w:rFonts w:hint="eastAsia" w:eastAsia="仿宋_GB2312"/>
          <w:sz w:val="32"/>
          <w:szCs w:val="32"/>
          <w:lang w:val="zh-CN"/>
        </w:rPr>
        <w:t>个。</w:t>
      </w:r>
    </w:p>
    <w:p>
      <w:pPr>
        <w:ind w:firstLine="640" w:firstLineChars="200"/>
        <w:rPr>
          <w:rFonts w:eastAsia="仿宋_GB2312"/>
          <w:sz w:val="32"/>
          <w:szCs w:val="32"/>
          <w:lang w:val="zh-CN"/>
        </w:rPr>
      </w:pPr>
      <w:r>
        <w:rPr>
          <w:rFonts w:hint="eastAsia" w:eastAsia="仿宋_GB2312"/>
          <w:sz w:val="32"/>
          <w:szCs w:val="32"/>
          <w:lang w:val="zh-CN"/>
        </w:rPr>
        <w:t>阶段（一次性）项目绩效分析。该类项目总数</w:t>
      </w:r>
      <w:r>
        <w:rPr>
          <w:rFonts w:hint="eastAsia" w:eastAsia="仿宋_GB2312"/>
          <w:sz w:val="32"/>
          <w:szCs w:val="32"/>
          <w:lang w:val="en-US" w:eastAsia="zh-CN"/>
        </w:rPr>
        <w:t>0</w:t>
      </w:r>
      <w:r>
        <w:rPr>
          <w:rFonts w:hint="eastAsia" w:eastAsia="仿宋_GB2312"/>
          <w:sz w:val="32"/>
          <w:szCs w:val="32"/>
          <w:lang w:val="zh-CN"/>
        </w:rPr>
        <w:t>个，涉及预算总金额</w:t>
      </w:r>
      <w:r>
        <w:rPr>
          <w:rFonts w:hint="eastAsia" w:eastAsia="仿宋_GB2312"/>
          <w:sz w:val="32"/>
          <w:szCs w:val="32"/>
          <w:lang w:val="en-US" w:eastAsia="zh-CN"/>
        </w:rPr>
        <w:t>0</w:t>
      </w:r>
      <w:r>
        <w:rPr>
          <w:rFonts w:hint="eastAsia" w:eastAsia="仿宋_GB2312"/>
          <w:sz w:val="32"/>
          <w:szCs w:val="32"/>
          <w:lang w:val="zh-CN"/>
        </w:rPr>
        <w:t>万元，1—12月预算执行总体进度为</w:t>
      </w:r>
      <w:r>
        <w:rPr>
          <w:rFonts w:hint="eastAsia" w:eastAsia="仿宋_GB2312"/>
          <w:sz w:val="32"/>
          <w:szCs w:val="32"/>
          <w:lang w:val="en-US" w:eastAsia="zh-CN"/>
        </w:rPr>
        <w:t>0</w:t>
      </w:r>
      <w:r>
        <w:rPr>
          <w:rFonts w:hint="eastAsia" w:eastAsia="仿宋_GB2312"/>
          <w:sz w:val="32"/>
          <w:szCs w:val="32"/>
          <w:lang w:val="zh-CN"/>
        </w:rPr>
        <w:t>%，其中：预算结余率大于10%的项目共计</w:t>
      </w:r>
      <w:r>
        <w:rPr>
          <w:rFonts w:hint="eastAsia" w:eastAsia="仿宋_GB2312"/>
          <w:sz w:val="32"/>
          <w:szCs w:val="32"/>
          <w:lang w:val="en-US" w:eastAsia="zh-CN"/>
        </w:rPr>
        <w:t>0</w:t>
      </w:r>
      <w:r>
        <w:rPr>
          <w:rFonts w:hint="eastAsia" w:eastAsia="仿宋_GB2312"/>
          <w:sz w:val="32"/>
          <w:szCs w:val="32"/>
          <w:lang w:val="zh-CN"/>
        </w:rPr>
        <w:t xml:space="preserve"> 个。</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_GB2312" w:eastAsia="楷体_GB2312"/>
          <w:b/>
          <w:sz w:val="32"/>
          <w:szCs w:val="32"/>
        </w:rPr>
      </w:pPr>
      <w:r>
        <w:rPr>
          <w:rFonts w:hint="eastAsia" w:ascii="楷体_GB2312" w:eastAsia="楷体_GB2312"/>
          <w:b/>
          <w:sz w:val="32"/>
          <w:szCs w:val="32"/>
        </w:rPr>
        <w:t>（三）重点领域绩效分析。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eastAsia="仿宋_GB2312"/>
          <w:sz w:val="32"/>
          <w:szCs w:val="32"/>
          <w:lang w:val="zh-CN"/>
        </w:rPr>
      </w:pPr>
      <w:r>
        <w:rPr>
          <w:rFonts w:hint="eastAsia" w:eastAsia="仿宋_GB2312"/>
          <w:sz w:val="32"/>
          <w:szCs w:val="32"/>
          <w:lang w:val="en-US" w:eastAsia="zh-CN"/>
        </w:rPr>
        <w:t>我单位</w:t>
      </w:r>
      <w:r>
        <w:rPr>
          <w:rFonts w:hint="eastAsia" w:eastAsia="仿宋_GB2312"/>
          <w:sz w:val="32"/>
          <w:szCs w:val="32"/>
          <w:lang w:val="zh-CN"/>
        </w:rPr>
        <w:t>2023年度</w:t>
      </w:r>
      <w:r>
        <w:rPr>
          <w:rFonts w:hint="eastAsia" w:eastAsia="仿宋_GB2312"/>
          <w:sz w:val="32"/>
          <w:szCs w:val="32"/>
          <w:lang w:val="en-US" w:eastAsia="zh-CN"/>
        </w:rPr>
        <w:t>不</w:t>
      </w:r>
      <w:r>
        <w:rPr>
          <w:rFonts w:hint="eastAsia" w:eastAsia="仿宋_GB2312"/>
          <w:sz w:val="32"/>
          <w:szCs w:val="32"/>
          <w:lang w:val="zh-CN"/>
        </w:rPr>
        <w:t>涉及国有资本、行政事业性国有资产、债券资金、政府采购和政府购买服务等重点领域。</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楷体_GB2312" w:eastAsia="楷体_GB2312"/>
          <w:b/>
          <w:sz w:val="32"/>
          <w:szCs w:val="32"/>
        </w:rPr>
      </w:pPr>
      <w:r>
        <w:rPr>
          <w:rFonts w:hint="eastAsia" w:ascii="楷体_GB2312" w:eastAsia="楷体_GB2312"/>
          <w:b/>
          <w:sz w:val="32"/>
          <w:szCs w:val="32"/>
        </w:rPr>
        <w:t>（四）绩效结果应用情况。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eastAsia="仿宋_GB2312"/>
          <w:sz w:val="32"/>
          <w:szCs w:val="32"/>
          <w:lang w:val="zh-CN"/>
        </w:rPr>
      </w:pPr>
      <w:r>
        <w:rPr>
          <w:rFonts w:hint="eastAsia" w:ascii="仿宋_GB2312" w:hAnsi="仿宋_GB2312" w:eastAsia="仿宋_GB2312" w:cs="仿宋_GB2312"/>
          <w:color w:val="auto"/>
          <w:sz w:val="32"/>
          <w:szCs w:val="32"/>
          <w:shd w:val="clear" w:color="auto" w:fill="FFFFFF"/>
          <w:lang w:val="en-US" w:eastAsia="zh-CN"/>
        </w:rPr>
        <w:t>我单位</w:t>
      </w:r>
      <w:r>
        <w:rPr>
          <w:rFonts w:hint="eastAsia" w:ascii="仿宋_GB2312" w:hAnsi="仿宋_GB2312" w:eastAsia="仿宋_GB2312" w:cs="仿宋_GB2312"/>
          <w:color w:val="auto"/>
          <w:sz w:val="32"/>
          <w:szCs w:val="32"/>
          <w:shd w:val="clear" w:color="auto" w:fill="FFFFFF"/>
          <w:lang w:val="zh-CN" w:eastAsia="zh-CN"/>
        </w:rPr>
        <w:t>按绩效自评公开要求将相关绩效信息随同决算公开，针对绩效管理过程中提出的问题进行全面整改，在规定时间内向财政部门反馈问题整改及绩效结果应用报告，问题整改到位、结果应用充分。</w:t>
      </w:r>
    </w:p>
    <w:p>
      <w:pPr>
        <w:ind w:firstLine="640" w:firstLineChars="200"/>
        <w:rPr>
          <w:rFonts w:ascii="黑体" w:hAnsi="黑体" w:eastAsia="黑体"/>
          <w:sz w:val="32"/>
          <w:szCs w:val="32"/>
        </w:rPr>
      </w:pPr>
      <w:r>
        <w:rPr>
          <w:rFonts w:hint="eastAsia" w:ascii="黑体" w:hAnsi="黑体" w:eastAsia="黑体"/>
          <w:sz w:val="32"/>
          <w:szCs w:val="32"/>
        </w:rPr>
        <w:t>四、评价结论及建议</w:t>
      </w:r>
    </w:p>
    <w:p>
      <w:pPr>
        <w:ind w:firstLine="643" w:firstLineChars="200"/>
        <w:rPr>
          <w:rFonts w:hint="eastAsia" w:ascii="楷体_GB2312" w:eastAsia="楷体_GB2312"/>
          <w:b/>
          <w:sz w:val="32"/>
          <w:szCs w:val="32"/>
        </w:rPr>
      </w:pPr>
      <w:r>
        <w:rPr>
          <w:rFonts w:hint="eastAsia" w:ascii="楷体_GB2312" w:eastAsia="楷体_GB2312"/>
          <w:b/>
          <w:sz w:val="32"/>
          <w:szCs w:val="32"/>
        </w:rPr>
        <w:t>（一）评价结论。</w:t>
      </w:r>
    </w:p>
    <w:p>
      <w:pPr>
        <w:ind w:firstLine="640" w:firstLineChars="200"/>
        <w:rPr>
          <w:rFonts w:eastAsia="仿宋_GB2312"/>
          <w:sz w:val="32"/>
          <w:szCs w:val="32"/>
          <w:lang w:val="zh-CN"/>
        </w:rPr>
      </w:pPr>
      <w:r>
        <w:rPr>
          <w:rFonts w:hint="eastAsia" w:ascii="仿宋_GB2312" w:hAnsi="仿宋_GB2312" w:eastAsia="仿宋_GB2312" w:cs="仿宋_GB2312"/>
          <w:color w:val="auto"/>
          <w:sz w:val="32"/>
          <w:szCs w:val="32"/>
          <w:shd w:val="clear" w:color="auto" w:fill="FFFFFF"/>
          <w:lang w:val="zh-CN" w:eastAsia="zh-CN"/>
        </w:rPr>
        <w:t>截止202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val="zh-CN" w:eastAsia="zh-CN"/>
        </w:rPr>
        <w:t>年12月底，我单位整体绩效目标制定、目标完成、预算编制情况等均准确合理，支出控制、预算动态调整、执行进度、预算完成情况良好，无任何违规违纪等情况，</w:t>
      </w:r>
      <w:r>
        <w:rPr>
          <w:rFonts w:hint="eastAsia" w:ascii="仿宋_GB2312" w:hAnsi="仿宋_GB2312" w:eastAsia="仿宋_GB2312" w:cs="仿宋_GB2312"/>
          <w:color w:val="auto"/>
          <w:sz w:val="32"/>
          <w:szCs w:val="32"/>
          <w:shd w:val="clear" w:color="auto" w:fill="FFFFFF"/>
          <w:lang w:val="en-US" w:eastAsia="zh-CN"/>
        </w:rPr>
        <w:t>部门整体绩效自评得分93分，部门预算项目自评得分100分</w:t>
      </w:r>
      <w:r>
        <w:rPr>
          <w:rFonts w:hint="eastAsia" w:ascii="仿宋_GB2312" w:hAnsi="仿宋_GB2312" w:eastAsia="仿宋_GB2312" w:cs="仿宋_GB2312"/>
          <w:color w:val="auto"/>
          <w:sz w:val="32"/>
          <w:szCs w:val="32"/>
          <w:shd w:val="clear" w:color="auto" w:fill="FFFFFF"/>
          <w:lang w:val="zh-CN" w:eastAsia="zh-CN"/>
        </w:rPr>
        <w:t>。</w:t>
      </w:r>
    </w:p>
    <w:p>
      <w:pPr>
        <w:ind w:firstLine="643" w:firstLineChars="200"/>
        <w:rPr>
          <w:rFonts w:hint="eastAsia" w:ascii="楷体_GB2312" w:eastAsia="楷体_GB2312"/>
          <w:b/>
          <w:sz w:val="32"/>
          <w:szCs w:val="32"/>
        </w:rPr>
      </w:pPr>
      <w:r>
        <w:rPr>
          <w:rFonts w:hint="eastAsia" w:ascii="楷体_GB2312" w:eastAsia="楷体_GB2312"/>
          <w:b/>
          <w:sz w:val="32"/>
          <w:szCs w:val="32"/>
        </w:rPr>
        <w:t>（二）存在问题。</w:t>
      </w:r>
    </w:p>
    <w:p>
      <w:pPr>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无。</w:t>
      </w:r>
    </w:p>
    <w:p>
      <w:pPr>
        <w:ind w:firstLine="643" w:firstLineChars="200"/>
        <w:rPr>
          <w:rFonts w:hint="eastAsia" w:ascii="楷体_GB2312" w:eastAsia="楷体_GB2312"/>
          <w:b/>
          <w:sz w:val="32"/>
          <w:szCs w:val="32"/>
        </w:rPr>
      </w:pPr>
      <w:r>
        <w:rPr>
          <w:rFonts w:hint="eastAsia" w:ascii="楷体_GB2312" w:eastAsia="楷体_GB2312"/>
          <w:b/>
          <w:sz w:val="32"/>
          <w:szCs w:val="32"/>
        </w:rPr>
        <w:t>（三）改进建议。</w:t>
      </w:r>
    </w:p>
    <w:p>
      <w:pPr>
        <w:ind w:firstLine="640" w:firstLineChars="200"/>
        <w:rPr>
          <w:rFonts w:eastAsia="仿宋_GB2312"/>
          <w:sz w:val="32"/>
          <w:szCs w:val="32"/>
          <w:lang w:val="zh-CN"/>
        </w:rPr>
      </w:pPr>
      <w:r>
        <w:rPr>
          <w:rFonts w:hint="eastAsia" w:ascii="仿宋_GB2312" w:hAnsi="仿宋_GB2312" w:eastAsia="仿宋_GB2312" w:cs="仿宋_GB2312"/>
          <w:color w:val="auto"/>
          <w:sz w:val="32"/>
          <w:szCs w:val="32"/>
          <w:shd w:val="clear" w:color="auto" w:fill="FFFFFF"/>
          <w:lang w:val="en-US" w:eastAsia="zh-CN"/>
        </w:rPr>
        <w:t>无</w:t>
      </w:r>
      <w:r>
        <w:rPr>
          <w:rFonts w:hint="eastAsia" w:ascii="仿宋_GB2312" w:hAnsi="仿宋_GB2312" w:eastAsia="仿宋_GB2312" w:cs="仿宋_GB2312"/>
          <w:color w:val="auto"/>
          <w:sz w:val="32"/>
          <w:szCs w:val="32"/>
          <w:shd w:val="clear" w:color="auto" w:fill="FFFFFF"/>
          <w:lang w:val="zh-CN" w:eastAsia="zh-CN"/>
        </w:rPr>
        <w:t>。</w:t>
      </w:r>
    </w:p>
    <w:p>
      <w:pPr>
        <w:ind w:firstLine="640" w:firstLineChars="200"/>
        <w:rPr>
          <w:rFonts w:eastAsia="仿宋_GB2312"/>
          <w:sz w:val="32"/>
          <w:szCs w:val="32"/>
          <w:lang w:val="zh-CN"/>
        </w:rPr>
      </w:pPr>
    </w:p>
    <w:p>
      <w:pPr>
        <w:ind w:firstLine="640" w:firstLineChars="20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附表：</w:t>
      </w:r>
      <w:r>
        <w:rPr>
          <w:rFonts w:hint="eastAsia" w:asciiTheme="minorEastAsia" w:hAnsiTheme="minorEastAsia" w:eastAsiaTheme="minorEastAsia"/>
          <w:sz w:val="32"/>
          <w:szCs w:val="32"/>
        </w:rPr>
        <w:t>部门</w:t>
      </w:r>
      <w:r>
        <w:rPr>
          <w:rFonts w:hint="eastAsia" w:asciiTheme="minorEastAsia" w:hAnsiTheme="minorEastAsia" w:eastAsiaTheme="minorEastAsia"/>
          <w:sz w:val="32"/>
          <w:szCs w:val="32"/>
          <w:lang w:val="zh-CN"/>
        </w:rPr>
        <w:t>预算项目支出绩效自评表（2023年度）</w:t>
      </w:r>
    </w:p>
    <w:p/>
    <w:p>
      <w:pPr>
        <w:pStyle w:val="2"/>
        <w:jc w:val="center"/>
        <w:rPr>
          <w:rFonts w:ascii="黑体" w:hAnsi="黑体" w:eastAsia="黑体"/>
        </w:rPr>
      </w:pPr>
      <w:bookmarkStart w:id="78" w:name="_Toc30437"/>
      <w:r>
        <w:rPr>
          <w:rFonts w:hint="eastAsia" w:ascii="黑体" w:hAnsi="黑体" w:eastAsia="黑体"/>
        </w:rPr>
        <w:t>第五部分 附表</w:t>
      </w:r>
      <w:bookmarkEnd w:id="78"/>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6A4568-F73B-42CB-85F4-561ED794F1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72B9C873-DC69-413B-97F3-6102488F22B6}"/>
  </w:font>
  <w:font w:name="Cambria">
    <w:panose1 w:val="02040503050406030204"/>
    <w:charset w:val="00"/>
    <w:family w:val="roman"/>
    <w:pitch w:val="default"/>
    <w:sig w:usb0="E00006FF" w:usb1="400004FF" w:usb2="00000000" w:usb3="00000000" w:csb0="2000019F" w:csb1="00000000"/>
    <w:embedRegular r:id="rId3" w:fontKey="{5FDB1E9F-4E22-4007-86D1-A7A7CC6D1ED7}"/>
  </w:font>
  <w:font w:name="仿宋_GB2312">
    <w:panose1 w:val="02010609030101010101"/>
    <w:charset w:val="86"/>
    <w:family w:val="modern"/>
    <w:pitch w:val="default"/>
    <w:sig w:usb0="00000000" w:usb1="00000000" w:usb2="00000000" w:usb3="00000000" w:csb0="00000000" w:csb1="00000000"/>
    <w:embedRegular r:id="rId4" w:fontKey="{1005E9E2-0DD2-4024-A923-E735D8F473B7}"/>
  </w:font>
  <w:font w:name="仿宋">
    <w:panose1 w:val="02010609060101010101"/>
    <w:charset w:val="86"/>
    <w:family w:val="modern"/>
    <w:pitch w:val="default"/>
    <w:sig w:usb0="800002BF" w:usb1="38CF7CFA" w:usb2="00000016" w:usb3="00000000" w:csb0="00040001" w:csb1="00000000"/>
    <w:embedRegular r:id="rId5" w:fontKey="{46A90360-F351-4916-901A-04B5DD36BD70}"/>
  </w:font>
  <w:font w:name="??">
    <w:altName w:val="Times New Roman"/>
    <w:panose1 w:val="00000000000000000000"/>
    <w:charset w:val="00"/>
    <w:family w:val="roman"/>
    <w:pitch w:val="default"/>
    <w:sig w:usb0="00000000" w:usb1="00000000" w:usb2="00000000" w:usb3="00000000" w:csb0="00000000" w:csb1="00000000"/>
  </w:font>
  <w:font w:name="方正小标宋简体">
    <w:altName w:val="仿宋_GB2312"/>
    <w:panose1 w:val="02010601030101010101"/>
    <w:charset w:val="86"/>
    <w:family w:val="script"/>
    <w:pitch w:val="default"/>
    <w:sig w:usb0="00000000" w:usb1="00000000" w:usb2="00000000" w:usb3="00000000" w:csb0="00040000" w:csb1="00000000"/>
    <w:embedRegular r:id="rId6" w:fontKey="{62172DEE-38EA-4B30-935E-2347E7A088CE}"/>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embedRegular r:id="rId7" w:fontKey="{CC6F1F53-22C8-4C2B-9A42-26B3372B9C78}"/>
  </w:font>
  <w:font w:name="楷体_GB2312">
    <w:panose1 w:val="02010609030101010101"/>
    <w:charset w:val="86"/>
    <w:family w:val="auto"/>
    <w:pitch w:val="default"/>
    <w:sig w:usb0="00000000" w:usb1="00000000" w:usb2="00000000" w:usb3="00000000" w:csb0="00000000" w:csb1="00000000"/>
    <w:embedRegular r:id="rId8" w:fontKey="{7858B16D-0761-436B-88FB-E38B9C85ED8B}"/>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23</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F8C1AC12"/>
    <w:multiLevelType w:val="singleLevel"/>
    <w:tmpl w:val="F8C1AC12"/>
    <w:lvl w:ilvl="0" w:tentative="0">
      <w:start w:val="2"/>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DCC4284"/>
    <w:multiLevelType w:val="singleLevel"/>
    <w:tmpl w:val="5DCC428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NGRiYzdkMzc2NWZjMDI2NDQ0NmVlMzdhYzk2ZWU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1F80A87"/>
    <w:rsid w:val="02FEBE30"/>
    <w:rsid w:val="036F8141"/>
    <w:rsid w:val="066E0107"/>
    <w:rsid w:val="07996F6E"/>
    <w:rsid w:val="07DFD8BA"/>
    <w:rsid w:val="0A2032A3"/>
    <w:rsid w:val="0C4F508F"/>
    <w:rsid w:val="0D35B1ED"/>
    <w:rsid w:val="0E747874"/>
    <w:rsid w:val="0E7ED1F5"/>
    <w:rsid w:val="0F98263C"/>
    <w:rsid w:val="101860EC"/>
    <w:rsid w:val="10C055FF"/>
    <w:rsid w:val="118107EC"/>
    <w:rsid w:val="13D50BC4"/>
    <w:rsid w:val="13F5616D"/>
    <w:rsid w:val="16BB723D"/>
    <w:rsid w:val="17F9714D"/>
    <w:rsid w:val="1918F934"/>
    <w:rsid w:val="1A1656B7"/>
    <w:rsid w:val="1BE8440E"/>
    <w:rsid w:val="1D155CEE"/>
    <w:rsid w:val="1DFBC4B3"/>
    <w:rsid w:val="1E740ACF"/>
    <w:rsid w:val="1F19C781"/>
    <w:rsid w:val="1F33FCE5"/>
    <w:rsid w:val="1F7F7398"/>
    <w:rsid w:val="1FD2DB6F"/>
    <w:rsid w:val="1FF35744"/>
    <w:rsid w:val="1FF6BC77"/>
    <w:rsid w:val="1FF9236D"/>
    <w:rsid w:val="22831CF5"/>
    <w:rsid w:val="2333840E"/>
    <w:rsid w:val="23860B96"/>
    <w:rsid w:val="240371BF"/>
    <w:rsid w:val="257C638F"/>
    <w:rsid w:val="27E47234"/>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76B6AA6"/>
    <w:rsid w:val="376D39B2"/>
    <w:rsid w:val="37E16F03"/>
    <w:rsid w:val="37F53A3B"/>
    <w:rsid w:val="38D469F0"/>
    <w:rsid w:val="38F78389"/>
    <w:rsid w:val="3925695D"/>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ED60F71"/>
    <w:rsid w:val="4F7EA413"/>
    <w:rsid w:val="4FAB812F"/>
    <w:rsid w:val="4FE9BD67"/>
    <w:rsid w:val="4FEE4C07"/>
    <w:rsid w:val="4FFB052F"/>
    <w:rsid w:val="51827E68"/>
    <w:rsid w:val="537E6D0A"/>
    <w:rsid w:val="53AB6B88"/>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1CA71D5"/>
    <w:rsid w:val="627EE9EA"/>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2A3F67"/>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4412F3"/>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1.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1345.96</c:v>
                </c:pt>
                <c:pt idx="1">
                  <c:v>1173.39</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1345.96</c:v>
                </c:pt>
                <c:pt idx="1">
                  <c:v>1173.39</c:v>
                </c:pt>
              </c:numCache>
            </c:numRef>
          </c:val>
        </c:ser>
        <c:dLbls>
          <c:showLegendKey val="0"/>
          <c:showVal val="1"/>
          <c:showCatName val="0"/>
          <c:showSerName val="0"/>
          <c:showPercent val="0"/>
          <c:showBubbleSize val="0"/>
        </c:dLbls>
        <c:gapWidth val="246"/>
        <c:overlap val="-28"/>
        <c:axId val="996952904"/>
        <c:axId val="350417750"/>
      </c:barChart>
      <c:catAx>
        <c:axId val="9969529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0417750"/>
        <c:crosses val="autoZero"/>
        <c:auto val="1"/>
        <c:lblAlgn val="ctr"/>
        <c:lblOffset val="100"/>
        <c:noMultiLvlLbl val="0"/>
      </c:catAx>
      <c:valAx>
        <c:axId val="35041775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69529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一般公共预算财政收入</c:v>
                </c:pt>
                <c:pt idx="1">
                  <c:v>政府性基金预算收入</c:v>
                </c:pt>
                <c:pt idx="2">
                  <c:v>上级补助收入</c:v>
                </c:pt>
                <c:pt idx="3">
                  <c:v>事业收入</c:v>
                </c:pt>
              </c:strCache>
            </c:strRef>
          </c:cat>
          <c:val>
            <c:numRef>
              <c:f>Sheet1!$B$2:$B$5</c:f>
              <c:numCache>
                <c:formatCode>General</c:formatCode>
                <c:ptCount val="4"/>
                <c:pt idx="0">
                  <c:v>1173.39</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基本支出</c:v>
                </c:pt>
                <c:pt idx="1">
                  <c:v>项目支出</c:v>
                </c:pt>
                <c:pt idx="2">
                  <c:v>经营支出</c:v>
                </c:pt>
                <c:pt idx="3">
                  <c:v>补助支出</c:v>
                </c:pt>
              </c:strCache>
            </c:strRef>
          </c:cat>
          <c:val>
            <c:numRef>
              <c:f>Sheet1!$B$2:$B$5</c:f>
              <c:numCache>
                <c:formatCode>General</c:formatCode>
                <c:ptCount val="4"/>
                <c:pt idx="0">
                  <c:v>296.29</c:v>
                </c:pt>
                <c:pt idx="1">
                  <c:v>877.1</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支出</c:v>
                </c:pt>
                <c:pt idx="1">
                  <c:v>收入</c:v>
                </c:pt>
              </c:strCache>
            </c:strRef>
          </c:cat>
          <c:val>
            <c:numRef>
              <c:f>Sheet1!$B$2:$B$3</c:f>
              <c:numCache>
                <c:formatCode>General</c:formatCode>
                <c:ptCount val="2"/>
                <c:pt idx="0">
                  <c:v>1345.96</c:v>
                </c:pt>
                <c:pt idx="1">
                  <c:v>1345.96</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支出</c:v>
                </c:pt>
                <c:pt idx="1">
                  <c:v>收入</c:v>
                </c:pt>
              </c:strCache>
            </c:strRef>
          </c:cat>
          <c:val>
            <c:numRef>
              <c:f>Sheet1!$C$2:$C$3</c:f>
              <c:numCache>
                <c:formatCode>General</c:formatCode>
                <c:ptCount val="2"/>
                <c:pt idx="0">
                  <c:v>1173.39</c:v>
                </c:pt>
                <c:pt idx="1">
                  <c:v>1173.39</c:v>
                </c:pt>
              </c:numCache>
            </c:numRef>
          </c:val>
        </c:ser>
        <c:dLbls>
          <c:showLegendKey val="0"/>
          <c:showVal val="1"/>
          <c:showCatName val="0"/>
          <c:showSerName val="0"/>
          <c:showPercent val="0"/>
          <c:showBubbleSize val="0"/>
        </c:dLbls>
        <c:gapWidth val="246"/>
        <c:overlap val="-28"/>
        <c:axId val="569070198"/>
        <c:axId val="577206307"/>
      </c:barChart>
      <c:catAx>
        <c:axId val="5690701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7206307"/>
        <c:crosses val="autoZero"/>
        <c:auto val="1"/>
        <c:lblAlgn val="ctr"/>
        <c:lblOffset val="100"/>
        <c:noMultiLvlLbl val="0"/>
      </c:catAx>
      <c:valAx>
        <c:axId val="57720630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907019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c:v>
                </c:pt>
              </c:strCache>
            </c:strRef>
          </c:tx>
          <c:spPr>
            <a:solidFill>
              <a:schemeClr val="accent1"/>
            </a:solidFill>
            <a:ln>
              <a:noFill/>
            </a:ln>
            <a:effectLst/>
          </c:spPr>
          <c:invertIfNegative val="0"/>
          <c:dLbls>
            <c:delete val="1"/>
          </c:dLbls>
          <c:cat>
            <c:strRef>
              <c:f>Sheet1!$A$2:$A$3</c:f>
              <c:strCache>
                <c:ptCount val="2"/>
                <c:pt idx="0">
                  <c:v>2022年</c:v>
                </c:pt>
                <c:pt idx="1">
                  <c:v>2023年</c:v>
                </c:pt>
              </c:strCache>
            </c:strRef>
          </c:cat>
          <c:val>
            <c:numRef>
              <c:f>Sheet1!$B$2:$B$3</c:f>
              <c:numCache>
                <c:formatCode>General</c:formatCode>
                <c:ptCount val="2"/>
                <c:pt idx="0">
                  <c:v>1345.96</c:v>
                </c:pt>
                <c:pt idx="1">
                  <c:v>1173.39</c:v>
                </c:pt>
              </c:numCache>
            </c:numRef>
          </c:val>
        </c:ser>
        <c:dLbls>
          <c:showLegendKey val="0"/>
          <c:showVal val="0"/>
          <c:showCatName val="0"/>
          <c:showSerName val="0"/>
          <c:showPercent val="0"/>
          <c:showBubbleSize val="0"/>
        </c:dLbls>
        <c:gapWidth val="246"/>
        <c:overlap val="-28"/>
        <c:axId val="51837448"/>
        <c:axId val="689083468"/>
      </c:barChart>
      <c:catAx>
        <c:axId val="518374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083468"/>
        <c:crosses val="autoZero"/>
        <c:auto val="1"/>
        <c:lblAlgn val="ctr"/>
        <c:lblOffset val="100"/>
        <c:noMultiLvlLbl val="0"/>
      </c:catAx>
      <c:valAx>
        <c:axId val="68908346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374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一般公共预算财政拨款支出决算结构表</a:t>
            </a:r>
          </a:p>
        </c:rich>
      </c:tx>
      <c:layout/>
      <c:overlay val="0"/>
      <c:spPr>
        <a:noFill/>
        <a:ln>
          <a:noFill/>
        </a:ln>
        <a:effectLst/>
      </c:spPr>
    </c:title>
    <c:autoTitleDeleted val="0"/>
    <c:plotArea>
      <c:layout/>
      <c:pieChart>
        <c:varyColors val="1"/>
        <c:ser>
          <c:idx val="1"/>
          <c:order val="0"/>
          <c:tx>
            <c:strRef>
              <c:f>Sheet1!$B$1</c:f>
              <c:strCache>
                <c:ptCount val="1"/>
                <c:pt idx="0">
                  <c:v>一般公共预算财政拨款支出决算表</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一般公共服务</c:v>
                </c:pt>
                <c:pt idx="1">
                  <c:v>社会保障和就业</c:v>
                </c:pt>
                <c:pt idx="2">
                  <c:v>卫生健康</c:v>
                </c:pt>
                <c:pt idx="3">
                  <c:v>农林水</c:v>
                </c:pt>
                <c:pt idx="4">
                  <c:v>商业服务业</c:v>
                </c:pt>
                <c:pt idx="5">
                  <c:v>住房保障</c:v>
                </c:pt>
                <c:pt idx="6">
                  <c:v>其他支出</c:v>
                </c:pt>
              </c:strCache>
            </c:strRef>
          </c:cat>
          <c:val>
            <c:numRef>
              <c:f>Sheet1!$B$2:$B$8</c:f>
              <c:numCache>
                <c:formatCode>General</c:formatCode>
                <c:ptCount val="7"/>
                <c:pt idx="0">
                  <c:v>127.01</c:v>
                </c:pt>
                <c:pt idx="1">
                  <c:v>21.19</c:v>
                </c:pt>
                <c:pt idx="2">
                  <c:v>9.01</c:v>
                </c:pt>
                <c:pt idx="3">
                  <c:v>703.75</c:v>
                </c:pt>
                <c:pt idx="4">
                  <c:v>125.47</c:v>
                </c:pt>
                <c:pt idx="5">
                  <c:v>12.96</c:v>
                </c:pt>
                <c:pt idx="6">
                  <c:v>174.01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Sheet1!$A$2:$A$4</c:f>
              <c:strCache>
                <c:ptCount val="3"/>
                <c:pt idx="0">
                  <c:v>因公出国（境）费</c:v>
                </c:pt>
                <c:pt idx="1">
                  <c:v>公务用车购置及运行维护</c:v>
                </c:pt>
                <c:pt idx="2">
                  <c:v>公务接待费</c:v>
                </c:pt>
              </c:strCache>
            </c:strRef>
          </c:cat>
          <c:val>
            <c:numRef>
              <c:f>Sheet1!$B$2:$B$4</c:f>
              <c:numCache>
                <c:formatCode>General</c:formatCode>
                <c:ptCount val="3"/>
                <c:pt idx="0">
                  <c:v>0</c:v>
                </c:pt>
                <c:pt idx="1">
                  <c:v>0</c:v>
                </c:pt>
                <c:pt idx="2">
                  <c:v>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844</Words>
  <Characters>854</Characters>
  <Lines>72</Lines>
  <Paragraphs>20</Paragraphs>
  <TotalTime>5</TotalTime>
  <ScaleCrop>false</ScaleCrop>
  <LinksUpToDate>false</LinksUpToDate>
  <CharactersWithSpaces>863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Administrator</cp:lastModifiedBy>
  <cp:lastPrinted>2023-08-03T10:35:00Z</cp:lastPrinted>
  <dcterms:modified xsi:type="dcterms:W3CDTF">2024-11-15T01:25:53Z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y fmtid="{D5CDD505-2E9C-101B-9397-08002B2CF9AE}" pid="3" name="ICV">
    <vt:lpwstr>D18C5EDAC7EE4BA89A9E2F0B09F60139_12</vt:lpwstr>
  </property>
</Properties>
</file>