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7425"/>
      <w:bookmarkStart w:id="4" w:name="_Toc15378441"/>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7426"/>
      <w:bookmarkStart w:id="8" w:name="_Toc15396598"/>
      <w:bookmarkStart w:id="9" w:name="_Toc1539647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万源市旅游景区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管理中心</w:t>
      </w:r>
      <w:r>
        <w:rPr>
          <w:rFonts w:hint="eastAsia" w:ascii="方正小标宋简体" w:hAnsi="方正小标宋简体" w:eastAsia="方正小标宋简体" w:cs="方正小标宋简体"/>
          <w:sz w:val="72"/>
          <w:szCs w:val="72"/>
          <w:lang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rPr>
          <w:rFonts w:ascii="方正仿宋简体" w:hAnsi="方正仿宋简体" w:eastAsia="方正仿宋简体" w:cs="方正仿宋简体"/>
          <w:b/>
          <w:bCs/>
        </w:rPr>
      </w:pPr>
      <w:r>
        <w:rPr>
          <w:rFonts w:hint="eastAsia" w:ascii="方正仿宋简体" w:hAnsi="方正仿宋简体" w:eastAsia="方正仿宋简体" w:cs="方正仿宋简体"/>
          <w:b/>
          <w:bCs/>
        </w:rPr>
        <w:t>公开时间：2023年11月</w:t>
      </w:r>
      <w:r>
        <w:rPr>
          <w:rFonts w:hint="eastAsia" w:ascii="方正仿宋简体" w:hAnsi="方正仿宋简体" w:eastAsia="方正仿宋简体" w:cs="方正仿宋简体"/>
          <w:b/>
          <w:bCs/>
          <w:lang w:val="en-US" w:eastAsia="zh-CN"/>
        </w:rPr>
        <w:t>15</w:t>
      </w:r>
      <w:r>
        <w:rPr>
          <w:rFonts w:hint="eastAsia" w:ascii="方正仿宋简体" w:hAnsi="方正仿宋简体" w:eastAsia="方正仿宋简体" w:cs="方正仿宋简体"/>
          <w:b/>
          <w:bCs/>
        </w:rPr>
        <w:t>日</w:t>
      </w:r>
    </w:p>
    <w:p>
      <w:pPr>
        <w:rPr>
          <w:rFonts w:ascii="方正仿宋简体" w:hAnsi="方正仿宋简体" w:eastAsia="方正仿宋简体" w:cs="方正仿宋简体"/>
        </w:rPr>
      </w:pPr>
    </w:p>
    <w:p>
      <w:pPr>
        <w:pStyle w:val="12"/>
        <w:adjustRightInd w:val="0"/>
        <w:snapToGrid w:val="0"/>
        <w:spacing w:before="0" w:line="440" w:lineRule="exact"/>
        <w:jc w:val="left"/>
        <w:rPr>
          <w:rFonts w:ascii="方正黑体简体" w:eastAsia="方正黑体简体" w:cs="方正仿宋简体" w:hAnsiTheme="majorEastAsia"/>
          <w:sz w:val="32"/>
          <w:szCs w:val="32"/>
        </w:rPr>
      </w:pPr>
      <w:r>
        <w:rPr>
          <w:rFonts w:hint="eastAsia" w:ascii="方正黑体简体" w:eastAsia="方正黑体简体" w:cs="方正仿宋简体" w:hAnsiTheme="majorEastAsia"/>
          <w:sz w:val="32"/>
          <w:szCs w:val="32"/>
        </w:rPr>
        <w:t>第一部分单位概况（4）</w:t>
      </w:r>
      <w:bookmarkStart w:id="66" w:name="_GoBack"/>
      <w:bookmarkEnd w:id="66"/>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一、主要职责</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二、机构设置</w:t>
      </w:r>
    </w:p>
    <w:p>
      <w:pPr>
        <w:pStyle w:val="12"/>
        <w:adjustRightInd w:val="0"/>
        <w:snapToGrid w:val="0"/>
        <w:spacing w:before="0" w:line="440" w:lineRule="exact"/>
        <w:jc w:val="left"/>
        <w:rPr>
          <w:rFonts w:ascii="方正黑体简体" w:eastAsia="方正黑体简体" w:cs="方正仿宋简体" w:hAnsiTheme="majorEastAsia"/>
          <w:sz w:val="32"/>
          <w:szCs w:val="32"/>
        </w:rPr>
      </w:pPr>
      <w:r>
        <w:rPr>
          <w:rFonts w:hint="eastAsia" w:ascii="方正黑体简体" w:eastAsia="方正黑体简体" w:cs="方正仿宋简体" w:hAnsiTheme="majorEastAsia"/>
          <w:sz w:val="32"/>
          <w:szCs w:val="32"/>
        </w:rPr>
        <w:t>第二部分 2023年度单位决算情况说明（5-13）</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一、收入支出决算总体情况说明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二、收入决算情况说明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三、支出决算情况说明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四、财政拨款收入支出决算总体情况说明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五、一般公共预算财政拨款支出决算情况说明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六、一般公共预算财政拨款基本支出决算情况说明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七、财政拨款“三公”经费支出决算情况说明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八、政府性基金预算支出决算情况说明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九、国有资本经营预算支出决算情况说明</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十、其他重要事项的情况说明</w:t>
      </w:r>
    </w:p>
    <w:p>
      <w:pPr>
        <w:pStyle w:val="12"/>
        <w:adjustRightInd w:val="0"/>
        <w:snapToGrid w:val="0"/>
        <w:spacing w:before="0" w:line="440" w:lineRule="exact"/>
        <w:jc w:val="left"/>
        <w:rPr>
          <w:rFonts w:ascii="方正黑体简体" w:eastAsia="方正黑体简体" w:cs="方正仿宋简体" w:hAnsiTheme="majorEastAsia"/>
          <w:sz w:val="32"/>
          <w:szCs w:val="32"/>
        </w:rPr>
      </w:pPr>
      <w:r>
        <w:rPr>
          <w:rFonts w:hint="eastAsia" w:ascii="方正黑体简体" w:eastAsia="方正黑体简体" w:cs="方正仿宋简体" w:hAnsiTheme="majorEastAsia"/>
          <w:sz w:val="32"/>
          <w:szCs w:val="32"/>
        </w:rPr>
        <w:t>第三部分名词解释（14-16）</w:t>
      </w:r>
    </w:p>
    <w:p>
      <w:pPr>
        <w:pStyle w:val="12"/>
        <w:adjustRightInd w:val="0"/>
        <w:snapToGrid w:val="0"/>
        <w:spacing w:before="0" w:line="440" w:lineRule="exact"/>
        <w:jc w:val="left"/>
        <w:rPr>
          <w:rFonts w:hint="default" w:ascii="方正黑体简体" w:eastAsia="方正黑体简体" w:cs="方正仿宋简体" w:hAnsiTheme="majorEastAsia"/>
          <w:sz w:val="32"/>
          <w:szCs w:val="32"/>
          <w:lang w:val="en-US" w:eastAsia="zh-CN"/>
        </w:rPr>
      </w:pPr>
      <w:r>
        <w:rPr>
          <w:rFonts w:hint="eastAsia" w:ascii="方正黑体简体" w:eastAsia="方正黑体简体" w:cs="方正仿宋简体" w:hAnsiTheme="majorEastAsia"/>
          <w:sz w:val="32"/>
          <w:szCs w:val="32"/>
        </w:rPr>
        <w:t>第四部分附件</w:t>
      </w:r>
      <w:r>
        <w:rPr>
          <w:rFonts w:hint="eastAsia" w:ascii="方正黑体简体" w:eastAsia="方正黑体简体" w:cs="方正仿宋简体" w:hAnsiTheme="majorEastAsia"/>
          <w:sz w:val="32"/>
          <w:szCs w:val="32"/>
          <w:lang w:eastAsia="zh-CN"/>
        </w:rPr>
        <w:t>（</w:t>
      </w:r>
      <w:r>
        <w:rPr>
          <w:rFonts w:hint="eastAsia" w:ascii="方正黑体简体" w:eastAsia="方正黑体简体" w:cs="方正仿宋简体" w:hAnsiTheme="majorEastAsia"/>
          <w:sz w:val="32"/>
          <w:szCs w:val="32"/>
          <w:lang w:val="en-US" w:eastAsia="zh-CN"/>
        </w:rPr>
        <w:t>17-20）</w:t>
      </w:r>
    </w:p>
    <w:p>
      <w:pPr>
        <w:pStyle w:val="12"/>
        <w:adjustRightInd w:val="0"/>
        <w:snapToGrid w:val="0"/>
        <w:spacing w:before="0" w:line="440" w:lineRule="exact"/>
        <w:jc w:val="left"/>
        <w:rPr>
          <w:rFonts w:ascii="方正黑体简体" w:eastAsia="方正黑体简体" w:cs="方正仿宋简体" w:hAnsiTheme="majorEastAsia"/>
          <w:sz w:val="32"/>
          <w:szCs w:val="32"/>
        </w:rPr>
      </w:pPr>
      <w:r>
        <w:rPr>
          <w:rFonts w:hint="eastAsia" w:ascii="方正黑体简体" w:eastAsia="方正黑体简体" w:cs="方正仿宋简体" w:hAnsiTheme="majorEastAsia"/>
          <w:sz w:val="32"/>
          <w:szCs w:val="32"/>
        </w:rPr>
        <w:t>第五部分附表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一、收入支出决算总表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二、收入决算表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三、支出决算表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四、财政拨款收入支出决算总表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五、财政拨款支出决算明细表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六、一般公共预算财政拨款支出决算表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七、一般公共预算财政拨款支出决算明细表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八、一般公共预算财政拨款基本支出决算明细表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九、一般公共预算财政拨款项目支出决算表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十、政府性基金预算财政拨款收入支出决算表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十一、国有资本经营预算财政拨款收入支出决算表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十二、国有资本经营预算财政拨款支出决算表</w:t>
      </w:r>
    </w:p>
    <w:p>
      <w:pPr>
        <w:pStyle w:val="13"/>
        <w:adjustRightInd w:val="0"/>
        <w:snapToGrid w:val="0"/>
        <w:spacing w:line="440" w:lineRule="exact"/>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十三、财政拨款“三公”经费支出决算表</w:t>
      </w:r>
    </w:p>
    <w:p>
      <w:pPr>
        <w:widowControl/>
        <w:adjustRightInd w:val="0"/>
        <w:snapToGrid w:val="0"/>
        <w:spacing w:line="440" w:lineRule="exact"/>
        <w:ind w:firstLine="1760" w:firstLineChars="550"/>
        <w:jc w:val="left"/>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(注：请单位根据实际注明页码)</w:t>
      </w:r>
    </w:p>
    <w:p>
      <w:pPr>
        <w:widowControl/>
        <w:spacing w:line="440" w:lineRule="exact"/>
        <w:jc w:val="left"/>
        <w:rPr>
          <w:rFonts w:ascii="方正仿宋_GBK" w:hAnsi="方正仿宋简体" w:eastAsia="方正仿宋_GBK" w:cs="方正仿宋简体"/>
          <w:bCs/>
          <w:kern w:val="44"/>
          <w:sz w:val="24"/>
        </w:rPr>
      </w:pPr>
      <w:bookmarkStart w:id="12" w:name="_Toc15377196"/>
      <w:bookmarkStart w:id="13" w:name="_Toc15396599"/>
      <w:r>
        <w:rPr>
          <w:rFonts w:hint="eastAsia" w:ascii="方正仿宋_GBK" w:hAnsi="方正仿宋简体" w:eastAsia="方正仿宋_GBK" w:cs="方正仿宋简体"/>
          <w:sz w:val="24"/>
        </w:rPr>
        <w:br w:type="page"/>
      </w:r>
    </w:p>
    <w:p>
      <w:pPr>
        <w:pStyle w:val="3"/>
        <w:jc w:val="center"/>
        <w:rPr>
          <w:rStyle w:val="27"/>
          <w:rFonts w:ascii="黑体" w:hAnsi="黑体" w:eastAsia="黑体"/>
          <w:b w:val="0"/>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bookmarkStart w:id="14" w:name="_Toc15396600"/>
      <w:bookmarkStart w:id="15" w:name="_Toc15377197"/>
    </w:p>
    <w:p>
      <w:pPr>
        <w:pStyle w:val="3"/>
        <w:rPr>
          <w:rStyle w:val="28"/>
          <w:rFonts w:ascii="方正黑体简体" w:hAnsi="黑体" w:eastAsia="方正黑体简体" w:cs="Times New Roman"/>
          <w:b w:val="0"/>
          <w:bCs w:val="0"/>
          <w:kern w:val="44"/>
        </w:rPr>
      </w:pPr>
      <w:r>
        <w:rPr>
          <w:rStyle w:val="27"/>
          <w:rFonts w:hint="eastAsia" w:ascii="方正黑体简体" w:hAnsi="黑体" w:eastAsia="方正黑体简体"/>
          <w:b w:val="0"/>
          <w:bCs w:val="0"/>
          <w:sz w:val="32"/>
          <w:szCs w:val="32"/>
        </w:rPr>
        <w:t>一、</w:t>
      </w:r>
      <w:r>
        <w:rPr>
          <w:rStyle w:val="28"/>
          <w:rFonts w:hint="eastAsia" w:ascii="方正黑体简体" w:hAnsi="黑体" w:eastAsia="方正黑体简体"/>
          <w:b w:val="0"/>
          <w:bCs w:val="0"/>
        </w:rPr>
        <w:t>主要职责</w:t>
      </w:r>
    </w:p>
    <w:p>
      <w:pPr>
        <w:spacing w:line="578" w:lineRule="exact"/>
        <w:ind w:firstLine="640" w:firstLineChars="200"/>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主要职能。万源市八台山-龙潭河管理处于2012年5月成立，为市政府办公室代管的独立核算事业单位，副科级，核定事业编制数8人。2016年6月与市烟霞山-黑宝山风景旅游管理处、市大竹河风景区管理所整合，组建为市八台山-龙潭河景区管理委员会，为市旅游局管理的公益一类事业单位，不再保留市八-龙处、市烟黑处、大竹河管理所，相关资产由现单位接管；核定管委会事业编制15名，设4个内设机构。2016年8月经达州市批准更名为万源市八台山-龙潭河景区管理中心，正科级独立核算单位，2017年9月经万源市委机构编制委员会办公室批准更名为万源市旅游景区管理中心，其它机构编制保持不变，我单位年末实有在编人员11人。负责组织协调八台山-龙潭河旅游综合开发等旅游园区开发建设和管理工作；负责风景旅游园区对外宣传、市场营销、对外交流合作和旅游信息化建设；负责风景旅游园区的监测及统计；负责风景旅游园区综治、维稳、信访和精神文明建设；协助做好风景旅游园区招商引资、旅游商品开发和景区质量等级申报创建等工作。</w:t>
      </w:r>
    </w:p>
    <w:p>
      <w:pPr>
        <w:pStyle w:val="6"/>
        <w:adjustRightInd w:val="0"/>
        <w:snapToGrid w:val="0"/>
        <w:spacing w:before="93" w:line="600" w:lineRule="exact"/>
        <w:ind w:firstLine="672" w:firstLineChars="210"/>
        <w:outlineLvl w:val="2"/>
        <w:rPr>
          <w:rFonts w:ascii="方正仿宋_GBK" w:eastAsia="方正仿宋_GBK" w:hAnsiTheme="majorEastAsia"/>
        </w:rPr>
      </w:pPr>
      <w:r>
        <w:rPr>
          <w:rFonts w:hint="eastAsia" w:ascii="方正仿宋_GBK" w:eastAsia="方正仿宋_GBK" w:cs="方正仿宋简体" w:hAnsiTheme="majorEastAsia"/>
          <w:sz w:val="32"/>
          <w:szCs w:val="32"/>
        </w:rPr>
        <w:t>二、2023年重点工作完成情况。</w:t>
      </w:r>
      <w:r>
        <w:rPr>
          <w:rFonts w:hint="eastAsia" w:ascii="方正仿宋_GBK" w:eastAsia="方正仿宋_GBK" w:cs="方正仿宋简体" w:hAnsiTheme="majorEastAsia"/>
          <w:bCs/>
          <w:color w:val="000000"/>
          <w:sz w:val="32"/>
          <w:szCs w:val="32"/>
        </w:rPr>
        <w:t>圆满完成了2023年度各项工作任务，为万源经济社会发展做出了新的贡献。</w:t>
      </w: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1"/>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2023年度收、支总计均为</w:t>
      </w:r>
      <w:r>
        <w:rPr>
          <w:rFonts w:hint="eastAsia" w:ascii="方正仿宋_GBK" w:eastAsia="方正仿宋_GBK" w:hAnsiTheme="majorEastAsia"/>
          <w:bCs/>
          <w:sz w:val="32"/>
          <w:szCs w:val="32"/>
        </w:rPr>
        <w:t>191.6</w:t>
      </w:r>
      <w:r>
        <w:rPr>
          <w:rFonts w:hint="eastAsia" w:ascii="方正仿宋_GBK" w:eastAsia="方正仿宋_GBK" w:hAnsiTheme="majorEastAsia"/>
          <w:sz w:val="32"/>
          <w:szCs w:val="32"/>
        </w:rPr>
        <w:t>万元。与2022年度相比，收、支总计各增加7.16万元，增长3.8%。主要变动原因是养老保险、医疗保险等有调标。</w:t>
      </w:r>
    </w:p>
    <w:p>
      <w:pPr>
        <w:pStyle w:val="6"/>
        <w:spacing w:before="93"/>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1" locked="0" layoutInCell="1" allowOverlap="1">
            <wp:simplePos x="0" y="0"/>
            <wp:positionH relativeFrom="column">
              <wp:posOffset>538480</wp:posOffset>
            </wp:positionH>
            <wp:positionV relativeFrom="paragraph">
              <wp:posOffset>281940</wp:posOffset>
            </wp:positionV>
            <wp:extent cx="4585335" cy="2477770"/>
            <wp:effectExtent l="4445" t="4445" r="20320" b="13335"/>
            <wp:wrapTight wrapText="bothSides">
              <wp:wrapPolygon>
                <wp:start x="-21" y="-39"/>
                <wp:lineTo x="-21" y="21550"/>
                <wp:lineTo x="21516" y="21550"/>
                <wp:lineTo x="21516" y="-39"/>
                <wp:lineTo x="-21" y="-39"/>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（图1：收、支决算总计变动情况图）（柱状图）</w:t>
      </w:r>
    </w:p>
    <w:p>
      <w:pPr>
        <w:pStyle w:val="26"/>
        <w:numPr>
          <w:ilvl w:val="0"/>
          <w:numId w:val="1"/>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方正仿宋_GBK" w:eastAsia="方正仿宋_GBK" w:hAnsiTheme="majorEastAsia"/>
          <w:sz w:val="32"/>
          <w:szCs w:val="32"/>
        </w:rPr>
      </w:pPr>
      <w:r>
        <w:rPr>
          <w:rFonts w:hint="eastAsia" w:ascii="方正仿宋_GBK" w:eastAsia="方正仿宋_GBK" w:hAnsiTheme="majorEastAsia"/>
          <w:sz w:val="32"/>
          <w:szCs w:val="32"/>
        </w:rPr>
        <w:t>2023年度本年收入合计</w:t>
      </w:r>
      <w:r>
        <w:rPr>
          <w:rFonts w:hint="eastAsia" w:ascii="方正仿宋_GBK" w:eastAsia="方正仿宋_GBK" w:hAnsiTheme="majorEastAsia"/>
          <w:b/>
          <w:sz w:val="32"/>
          <w:szCs w:val="32"/>
        </w:rPr>
        <w:t>191.6</w:t>
      </w:r>
      <w:r>
        <w:rPr>
          <w:rFonts w:hint="eastAsia" w:ascii="方正仿宋_GBK" w:eastAsia="方正仿宋_GBK" w:hAnsiTheme="majorEastAsia"/>
          <w:sz w:val="32"/>
          <w:szCs w:val="32"/>
        </w:rPr>
        <w:t>万元，其中：一般公共预算财政拨款收入</w:t>
      </w:r>
      <w:r>
        <w:rPr>
          <w:rFonts w:hint="eastAsia" w:ascii="方正仿宋_GBK" w:eastAsia="方正仿宋_GBK" w:hAnsiTheme="majorEastAsia"/>
          <w:b/>
          <w:sz w:val="32"/>
          <w:szCs w:val="32"/>
        </w:rPr>
        <w:t>191.6</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100%</w:t>
      </w:r>
      <w:r>
        <w:rPr>
          <w:rFonts w:hint="eastAsia" w:ascii="方正仿宋_GBK" w:eastAsia="方正仿宋_GBK" w:hAnsiTheme="majorEastAsia"/>
          <w:sz w:val="32"/>
          <w:szCs w:val="32"/>
        </w:rPr>
        <w:t>；政府性基金预算财政拨款收入</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%；国有资本经营预算财政拨款收入</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%；上级补助收入</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万元，占0%；事业收入</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%；经营收入</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%；附属单位上缴收入</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%；其他收入</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w:t>
      </w:r>
    </w:p>
    <w:p>
      <w:pPr>
        <w:spacing w:line="600" w:lineRule="exact"/>
        <w:ind w:firstLine="640" w:firstLineChars="200"/>
        <w:outlineLvl w:val="1"/>
        <w:rPr>
          <w:rFonts w:ascii="方正仿宋_GBK" w:eastAsia="方正仿宋_GBK" w:cs="方正仿宋简体" w:hAnsiTheme="majorEastAsia"/>
          <w:bCs/>
          <w:sz w:val="32"/>
          <w:szCs w:val="32"/>
        </w:rPr>
      </w:pPr>
      <w:r>
        <w:rPr>
          <w:rFonts w:hint="eastAsia" w:ascii="方正仿宋_GBK" w:eastAsia="方正仿宋_GBK" w:cs="方正仿宋简体" w:hAnsiTheme="majorEastAsia"/>
          <w:bCs/>
          <w:sz w:val="32"/>
          <w:szCs w:val="32"/>
        </w:rPr>
        <w:t>（注：数据来源于财决01表，仅罗列本单位涉及的收入。）</w:t>
      </w:r>
    </w:p>
    <w:p>
      <w:pPr>
        <w:pStyle w:val="6"/>
        <w:spacing w:before="93"/>
        <w:rPr>
          <w:rFonts w:ascii="仿宋" w:hAnsi="仿宋" w:eastAsia="仿宋"/>
          <w:sz w:val="32"/>
          <w:szCs w:val="32"/>
        </w:rPr>
      </w:pPr>
      <w:r>
        <w:rPr>
          <w:rFonts w:hint="eastAsia" w:eastAsia="仿宋"/>
        </w:rPr>
        <w:drawing>
          <wp:inline distT="0" distB="0" distL="114300" distR="114300">
            <wp:extent cx="4033520" cy="2620010"/>
            <wp:effectExtent l="4445" t="5080" r="1968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（图2：收入决算结构图）（饼状图）</w:t>
      </w:r>
    </w:p>
    <w:p>
      <w:pPr>
        <w:pStyle w:val="26"/>
        <w:numPr>
          <w:ilvl w:val="0"/>
          <w:numId w:val="1"/>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方正仿宋_GBK" w:eastAsia="方正仿宋_GBK" w:hAnsiTheme="majorEastAsia"/>
          <w:sz w:val="32"/>
          <w:szCs w:val="32"/>
        </w:rPr>
      </w:pPr>
      <w:r>
        <w:rPr>
          <w:rFonts w:hint="eastAsia" w:ascii="方正仿宋_GBK" w:eastAsia="方正仿宋_GBK" w:hAnsiTheme="majorEastAsia"/>
          <w:sz w:val="32"/>
          <w:szCs w:val="32"/>
        </w:rPr>
        <w:t>2023年度本年支出合计</w:t>
      </w:r>
      <w:r>
        <w:rPr>
          <w:rFonts w:hint="eastAsia" w:ascii="方正仿宋_GBK" w:eastAsia="方正仿宋_GBK" w:hAnsiTheme="majorEastAsia"/>
          <w:b/>
          <w:sz w:val="32"/>
          <w:szCs w:val="32"/>
        </w:rPr>
        <w:t>191.6</w:t>
      </w:r>
      <w:r>
        <w:rPr>
          <w:rFonts w:hint="eastAsia" w:ascii="方正仿宋_GBK" w:eastAsia="方正仿宋_GBK" w:hAnsiTheme="majorEastAsia"/>
          <w:sz w:val="32"/>
          <w:szCs w:val="32"/>
        </w:rPr>
        <w:t>万元，其中：基本支出</w:t>
      </w:r>
      <w:r>
        <w:rPr>
          <w:rFonts w:hint="eastAsia" w:ascii="方正仿宋_GBK" w:eastAsia="方正仿宋_GBK" w:hAnsiTheme="majorEastAsia"/>
          <w:b/>
          <w:sz w:val="32"/>
          <w:szCs w:val="32"/>
        </w:rPr>
        <w:t>191.6</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100</w:t>
      </w:r>
      <w:r>
        <w:rPr>
          <w:rFonts w:hint="eastAsia" w:ascii="方正仿宋_GBK" w:eastAsia="方正仿宋_GBK" w:hAnsiTheme="majorEastAsia"/>
          <w:sz w:val="32"/>
          <w:szCs w:val="32"/>
        </w:rPr>
        <w:t>%；项目支出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%；上缴上级支出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%；经营支出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%；对附属单位补助支出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w:t>
      </w:r>
    </w:p>
    <w:p>
      <w:pPr>
        <w:spacing w:line="600" w:lineRule="exact"/>
        <w:ind w:firstLine="640" w:firstLineChars="200"/>
        <w:outlineLvl w:val="1"/>
        <w:rPr>
          <w:rFonts w:ascii="方正仿宋_GBK" w:eastAsia="方正仿宋_GBK" w:hAnsiTheme="majorEastAsia"/>
          <w:sz w:val="32"/>
          <w:szCs w:val="32"/>
        </w:rPr>
      </w:pPr>
      <w:r>
        <w:rPr>
          <w:rFonts w:hint="eastAsia" w:ascii="方正仿宋_GBK" w:eastAsia="方正仿宋_GBK" w:hAnsiTheme="majorEastAsia"/>
          <w:sz w:val="32"/>
          <w:szCs w:val="32"/>
        </w:rPr>
        <w:t>（注：数据来源于财决04表，仅罗列本单位涉及的支出。）</w:t>
      </w:r>
    </w:p>
    <w:p>
      <w:pPr>
        <w:pStyle w:val="6"/>
        <w:spacing w:before="93"/>
        <w:rPr>
          <w:rFonts w:ascii="仿宋" w:hAnsi="仿宋" w:eastAsia="仿宋"/>
          <w:sz w:val="32"/>
          <w:szCs w:val="32"/>
          <w:shd w:val="pct10" w:color="auto" w:fill="FFFFFF"/>
        </w:rPr>
      </w:pPr>
      <w:r>
        <w:rPr>
          <w:rFonts w:hint="eastAsia" w:ascii="仿宋" w:hAnsi="仿宋" w:eastAsia="仿宋"/>
          <w:b/>
          <w:sz w:val="32"/>
          <w:szCs w:val="32"/>
        </w:rPr>
        <w:drawing>
          <wp:inline distT="0" distB="0" distL="114300" distR="114300">
            <wp:extent cx="4004310" cy="2105025"/>
            <wp:effectExtent l="19050" t="0" r="1524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（图3：支出决算结构图）（饼状图）</w:t>
      </w: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ascii="方正仿宋_GBK" w:eastAsia="方正仿宋_GBK" w:hAnsiTheme="majorEastAsia"/>
          <w:sz w:val="32"/>
          <w:szCs w:val="32"/>
        </w:rPr>
      </w:pPr>
      <w:r>
        <w:rPr>
          <w:rFonts w:hint="eastAsia" w:ascii="方正仿宋_GBK" w:eastAsia="方正仿宋_GBK" w:hAnsiTheme="majorEastAsia"/>
          <w:sz w:val="32"/>
          <w:szCs w:val="32"/>
        </w:rPr>
        <w:t>2023年度财政拨款收、支总计均为</w:t>
      </w:r>
      <w:r>
        <w:rPr>
          <w:rFonts w:hint="eastAsia" w:ascii="方正仿宋_GBK" w:eastAsia="方正仿宋_GBK" w:hAnsiTheme="majorEastAsia"/>
          <w:bCs/>
          <w:sz w:val="32"/>
          <w:szCs w:val="32"/>
        </w:rPr>
        <w:t>191.6</w:t>
      </w:r>
      <w:r>
        <w:rPr>
          <w:rFonts w:hint="eastAsia" w:ascii="方正仿宋_GBK" w:eastAsia="方正仿宋_GBK" w:hAnsiTheme="majorEastAsia"/>
          <w:sz w:val="32"/>
          <w:szCs w:val="32"/>
        </w:rPr>
        <w:t>万元。与2022年度相比，财政拨款收、支总计各增加7.16万元，增长3.8%。主要变动原因是养老保险、医疗保险等有调标。</w:t>
      </w:r>
    </w:p>
    <w:p>
      <w:pPr>
        <w:spacing w:line="600" w:lineRule="exact"/>
        <w:ind w:firstLine="640"/>
        <w:rPr>
          <w:rFonts w:ascii="方正仿宋_GBK" w:eastAsia="方正仿宋_GBK" w:hAnsiTheme="majorEastAsia"/>
          <w:b/>
          <w:sz w:val="32"/>
          <w:szCs w:val="32"/>
        </w:rPr>
      </w:pPr>
      <w:r>
        <w:rPr>
          <w:rFonts w:hint="eastAsia" w:ascii="方正仿宋_GBK" w:eastAsia="方正仿宋_GBK" w:hAnsiTheme="majorEastAsia"/>
          <w:b/>
          <w:sz w:val="32"/>
          <w:szCs w:val="32"/>
        </w:rPr>
        <w:t>（注：数据来源于财决01-1表）</w:t>
      </w:r>
    </w:p>
    <w:p>
      <w:pPr>
        <w:pStyle w:val="6"/>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4137025" cy="2338705"/>
            <wp:effectExtent l="19050" t="0" r="15875" b="44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2023年度一般公共预算财政拨款支出</w:t>
      </w:r>
      <w:r>
        <w:rPr>
          <w:rFonts w:hint="eastAsia" w:ascii="方正仿宋_GBK" w:eastAsia="方正仿宋_GBK" w:hAnsiTheme="majorEastAsia"/>
          <w:bCs/>
          <w:sz w:val="32"/>
          <w:szCs w:val="32"/>
        </w:rPr>
        <w:t>191.6</w:t>
      </w:r>
      <w:r>
        <w:rPr>
          <w:rFonts w:hint="eastAsia" w:ascii="方正仿宋_GBK" w:eastAsia="方正仿宋_GBK" w:hAnsiTheme="majorEastAsia"/>
          <w:sz w:val="32"/>
          <w:szCs w:val="32"/>
        </w:rPr>
        <w:t>万元，占本年支出合计的</w:t>
      </w:r>
      <w:r>
        <w:rPr>
          <w:rFonts w:hint="eastAsia" w:ascii="方正仿宋_GBK" w:eastAsia="方正仿宋_GBK" w:hAnsiTheme="majorEastAsia"/>
          <w:bCs/>
          <w:sz w:val="32"/>
          <w:szCs w:val="32"/>
        </w:rPr>
        <w:t>100%。</w:t>
      </w:r>
      <w:r>
        <w:rPr>
          <w:rFonts w:hint="eastAsia" w:ascii="方正仿宋_GBK" w:eastAsia="方正仿宋_GBK" w:hAnsiTheme="majorEastAsia"/>
          <w:sz w:val="32"/>
          <w:szCs w:val="32"/>
        </w:rPr>
        <w:t>与2022年度相比，一般公共预算财政拨款支出增加7.16万元，增长3.8%。主要变动原因是养老保险、医疗保险等有调标。</w:t>
      </w:r>
    </w:p>
    <w:p>
      <w:pPr>
        <w:pStyle w:val="6"/>
        <w:spacing w:before="93"/>
        <w:rPr>
          <w:rFonts w:ascii="仿宋" w:hAnsi="仿宋" w:eastAsia="仿宋"/>
          <w:sz w:val="32"/>
          <w:szCs w:val="32"/>
        </w:rPr>
      </w:pPr>
      <w:r>
        <w:rPr>
          <w:rFonts w:hint="eastAsia" w:ascii="仿宋" w:hAnsi="仿宋" w:eastAsia="仿宋"/>
          <w:sz w:val="32"/>
          <w:szCs w:val="32"/>
        </w:rPr>
        <w:drawing>
          <wp:inline distT="0" distB="0" distL="114300" distR="114300">
            <wp:extent cx="3674745" cy="2038350"/>
            <wp:effectExtent l="19050" t="0" r="2095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方正仿宋_GBK" w:eastAsia="方正仿宋_GBK" w:hAnsiTheme="majorEastAsia"/>
          <w:b/>
          <w:sz w:val="32"/>
          <w:szCs w:val="32"/>
        </w:rPr>
      </w:pPr>
      <w:r>
        <w:rPr>
          <w:rFonts w:hint="eastAsia" w:ascii="方正仿宋_GBK" w:eastAsia="方正仿宋_GBK" w:hAnsiTheme="majorEastAsia"/>
          <w:sz w:val="32"/>
          <w:szCs w:val="32"/>
        </w:rPr>
        <w:t>2023年度一般公共预算财政拨款支出</w:t>
      </w:r>
      <w:r>
        <w:rPr>
          <w:rFonts w:hint="eastAsia" w:ascii="方正仿宋_GBK" w:eastAsia="方正仿宋_GBK" w:hAnsiTheme="majorEastAsia"/>
          <w:bCs/>
          <w:sz w:val="32"/>
          <w:szCs w:val="32"/>
        </w:rPr>
        <w:t>191.6</w:t>
      </w:r>
      <w:r>
        <w:rPr>
          <w:rFonts w:hint="eastAsia" w:ascii="方正仿宋_GBK" w:eastAsia="方正仿宋_GBK" w:hAnsiTheme="majorEastAsia"/>
          <w:sz w:val="32"/>
          <w:szCs w:val="32"/>
        </w:rPr>
        <w:t>万元，主要用于以下方面:一般公共服务</w:t>
      </w:r>
      <w:r>
        <w:rPr>
          <w:rFonts w:hint="eastAsia" w:ascii="方正仿宋_GBK" w:eastAsia="方正仿宋_GBK" w:hAnsiTheme="majorEastAsia"/>
          <w:bCs/>
          <w:sz w:val="32"/>
          <w:szCs w:val="32"/>
        </w:rPr>
        <w:t>支出</w:t>
      </w:r>
      <w:r>
        <w:rPr>
          <w:rFonts w:hint="eastAsia" w:ascii="方正仿宋_GBK" w:eastAsia="方正仿宋_GBK" w:hAnsiTheme="majorEastAsia"/>
          <w:sz w:val="32"/>
          <w:szCs w:val="32"/>
        </w:rPr>
        <w:t>163.10万元，占85%；教育支出0万元，占0%；科学技术</w:t>
      </w:r>
      <w:r>
        <w:rPr>
          <w:rFonts w:hint="eastAsia" w:ascii="方正仿宋_GBK" w:eastAsia="方正仿宋_GBK" w:hAnsiTheme="majorEastAsia"/>
          <w:bCs/>
          <w:sz w:val="32"/>
          <w:szCs w:val="32"/>
        </w:rPr>
        <w:t>支出</w:t>
      </w:r>
      <w:r>
        <w:rPr>
          <w:rFonts w:hint="eastAsia" w:ascii="方正仿宋_GBK" w:eastAsia="方正仿宋_GBK" w:hAnsiTheme="majorEastAsia"/>
          <w:sz w:val="32"/>
          <w:szCs w:val="32"/>
        </w:rPr>
        <w:t>0万元，占0%；</w:t>
      </w:r>
      <w:r>
        <w:rPr>
          <w:rFonts w:hint="eastAsia" w:ascii="方正仿宋_GBK" w:eastAsia="方正仿宋_GBK" w:hAnsiTheme="majorEastAsia"/>
          <w:bCs/>
          <w:sz w:val="32"/>
          <w:szCs w:val="32"/>
        </w:rPr>
        <w:t>文化旅游体育与传媒支出0万元，占0%</w:t>
      </w:r>
      <w:r>
        <w:rPr>
          <w:rFonts w:hint="eastAsia" w:ascii="方正仿宋_GBK" w:eastAsia="方正仿宋_GBK" w:hAnsiTheme="majorEastAsia"/>
          <w:sz w:val="32"/>
          <w:szCs w:val="32"/>
        </w:rPr>
        <w:t>；社会保障和就业</w:t>
      </w:r>
      <w:r>
        <w:rPr>
          <w:rFonts w:hint="eastAsia" w:ascii="方正仿宋_GBK" w:eastAsia="方正仿宋_GBK" w:hAnsiTheme="majorEastAsia"/>
          <w:bCs/>
          <w:sz w:val="32"/>
          <w:szCs w:val="32"/>
        </w:rPr>
        <w:t>支出</w:t>
      </w:r>
      <w:r>
        <w:rPr>
          <w:rFonts w:hint="eastAsia" w:ascii="方正仿宋_GBK" w:eastAsia="方正仿宋_GBK" w:hAnsiTheme="majorEastAsia"/>
          <w:sz w:val="32"/>
          <w:szCs w:val="32"/>
        </w:rPr>
        <w:t>13.09万元，占6.8%；</w:t>
      </w:r>
      <w:r>
        <w:rPr>
          <w:rFonts w:hint="eastAsia" w:ascii="方正仿宋_GBK" w:eastAsia="方正仿宋_GBK" w:hAnsiTheme="majorEastAsia"/>
          <w:bCs/>
          <w:sz w:val="32"/>
          <w:szCs w:val="32"/>
        </w:rPr>
        <w:t>卫生健康支出</w:t>
      </w:r>
      <w:r>
        <w:rPr>
          <w:rFonts w:hint="eastAsia" w:ascii="方正仿宋_GBK" w:eastAsia="方正仿宋_GBK" w:hAnsiTheme="majorEastAsia"/>
          <w:sz w:val="32"/>
          <w:szCs w:val="32"/>
        </w:rPr>
        <w:t>5.6万元，占2.9%；</w:t>
      </w:r>
      <w:r>
        <w:rPr>
          <w:rFonts w:hint="eastAsia" w:ascii="方正仿宋_GBK" w:eastAsia="方正仿宋_GBK" w:hAnsiTheme="majorEastAsia"/>
          <w:bCs/>
          <w:sz w:val="32"/>
          <w:szCs w:val="32"/>
        </w:rPr>
        <w:t>住房保障支出</w:t>
      </w:r>
      <w:r>
        <w:rPr>
          <w:rFonts w:hint="eastAsia" w:ascii="方正仿宋_GBK" w:eastAsia="方正仿宋_GBK" w:hAnsiTheme="majorEastAsia"/>
          <w:sz w:val="32"/>
          <w:szCs w:val="32"/>
        </w:rPr>
        <w:t>9.82万元，占5.3%。</w:t>
      </w:r>
    </w:p>
    <w:p>
      <w:pPr>
        <w:spacing w:line="600" w:lineRule="exact"/>
        <w:ind w:firstLine="640"/>
        <w:rPr>
          <w:rFonts w:ascii="方正仿宋_GBK" w:eastAsia="方正仿宋_GBK" w:cs="方正仿宋简体" w:hAnsiTheme="majorEastAsia"/>
          <w:bCs/>
          <w:sz w:val="32"/>
          <w:szCs w:val="32"/>
        </w:rPr>
      </w:pPr>
      <w:r>
        <w:rPr>
          <w:rFonts w:hint="eastAsia" w:ascii="方正仿宋_GBK" w:eastAsia="方正仿宋_GBK" w:cs="方正仿宋简体" w:hAnsiTheme="majorEastAsia"/>
          <w:bCs/>
          <w:sz w:val="32"/>
          <w:szCs w:val="32"/>
        </w:rPr>
        <w:t>（注：数据来源于财决01-1表，仅罗列本单位涉及的全部功能分类科目，至类级。）</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1" locked="0" layoutInCell="1" allowOverlap="1">
            <wp:simplePos x="0" y="0"/>
            <wp:positionH relativeFrom="column">
              <wp:posOffset>523875</wp:posOffset>
            </wp:positionH>
            <wp:positionV relativeFrom="paragraph">
              <wp:posOffset>87630</wp:posOffset>
            </wp:positionV>
            <wp:extent cx="4290695" cy="2239645"/>
            <wp:effectExtent l="4445" t="4445" r="10160" b="22860"/>
            <wp:wrapTight wrapText="bothSides">
              <wp:wrapPolygon>
                <wp:start x="-22" y="-43"/>
                <wp:lineTo x="-22" y="21453"/>
                <wp:lineTo x="21555" y="21453"/>
                <wp:lineTo x="21555" y="-43"/>
                <wp:lineTo x="-22" y="-43"/>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pStyle w:val="6"/>
        <w:spacing w:before="93"/>
        <w:rPr>
          <w:rFonts w:ascii="仿宋" w:hAnsi="仿宋" w:eastAsia="仿宋"/>
          <w:sz w:val="32"/>
          <w:szCs w:val="32"/>
        </w:rPr>
      </w:pPr>
    </w:p>
    <w:p>
      <w:pPr>
        <w:spacing w:line="600" w:lineRule="exact"/>
        <w:ind w:firstLine="640" w:firstLineChars="200"/>
        <w:rPr>
          <w:rFonts w:ascii="方正仿宋_GBK" w:eastAsia="方正仿宋_GBK" w:cs="方正仿宋简体" w:hAnsiTheme="majorEastAsia"/>
          <w:sz w:val="32"/>
          <w:szCs w:val="32"/>
        </w:rPr>
      </w:pPr>
      <w:r>
        <w:rPr>
          <w:rFonts w:hint="eastAsia" w:ascii="方正仿宋_GBK" w:eastAsia="方正仿宋_GBK" w:cs="方正仿宋简体" w:hAnsiTheme="majorEastAsia"/>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方正仿宋_GBK" w:eastAsia="方正仿宋_GBK" w:hAnsiTheme="majorEastAsia"/>
          <w:sz w:val="32"/>
          <w:szCs w:val="32"/>
        </w:rPr>
      </w:pPr>
      <w:bookmarkStart w:id="31" w:name="_Toc15377213"/>
      <w:bookmarkStart w:id="32" w:name="_Toc15378460"/>
      <w:bookmarkStart w:id="33" w:name="_Toc15377444"/>
      <w:r>
        <w:rPr>
          <w:rFonts w:hint="eastAsia" w:ascii="方正仿宋_GBK" w:eastAsia="方正仿宋_GBK" w:hAnsiTheme="majorEastAsia"/>
          <w:b/>
          <w:sz w:val="32"/>
          <w:szCs w:val="32"/>
        </w:rPr>
        <w:t>2023年度一般公共预算支出决算数为191.6</w:t>
      </w:r>
      <w:r>
        <w:rPr>
          <w:rFonts w:hint="eastAsia" w:ascii="方正仿宋_GBK" w:eastAsia="方正仿宋_GBK" w:hAnsiTheme="majorEastAsia"/>
          <w:sz w:val="32"/>
          <w:szCs w:val="32"/>
        </w:rPr>
        <w:t>，</w:t>
      </w:r>
      <w:r>
        <w:rPr>
          <w:rStyle w:val="17"/>
          <w:rFonts w:hint="eastAsia" w:ascii="方正仿宋_GBK" w:eastAsia="方正仿宋_GBK" w:hAnsiTheme="majorEastAsia"/>
          <w:bCs/>
          <w:sz w:val="32"/>
          <w:szCs w:val="32"/>
        </w:rPr>
        <w:t>完成预算100%。其中：</w:t>
      </w:r>
      <w:bookmarkEnd w:id="31"/>
      <w:bookmarkEnd w:id="32"/>
      <w:bookmarkEnd w:id="33"/>
    </w:p>
    <w:p>
      <w:pPr>
        <w:numPr>
          <w:ilvl w:val="0"/>
          <w:numId w:val="2"/>
        </w:numPr>
        <w:spacing w:line="600" w:lineRule="exact"/>
        <w:ind w:firstLine="643" w:firstLineChars="200"/>
        <w:rPr>
          <w:rStyle w:val="17"/>
          <w:rFonts w:ascii="方正仿宋_GBK" w:eastAsia="方正仿宋_GBK" w:hAnsiTheme="majorEastAsia"/>
          <w:b w:val="0"/>
          <w:bCs/>
          <w:color w:val="000000"/>
          <w:sz w:val="32"/>
          <w:szCs w:val="32"/>
        </w:rPr>
      </w:pPr>
      <w:r>
        <w:rPr>
          <w:rStyle w:val="17"/>
          <w:rFonts w:hint="eastAsia" w:ascii="方正仿宋_GBK" w:eastAsia="方正仿宋_GBK" w:hAnsiTheme="majorEastAsia"/>
          <w:bCs/>
          <w:color w:val="000000"/>
          <w:sz w:val="32"/>
          <w:szCs w:val="32"/>
        </w:rPr>
        <w:t>一般公共服务（类）政府办公厅（室）及相关机构事务（款）事业运行（项）:</w:t>
      </w:r>
      <w:r>
        <w:rPr>
          <w:rStyle w:val="17"/>
          <w:rFonts w:hint="eastAsia" w:ascii="方正仿宋_GBK" w:eastAsia="方正仿宋_GBK" w:hAnsiTheme="majorEastAsia"/>
          <w:b w:val="0"/>
          <w:bCs/>
          <w:color w:val="000000"/>
          <w:sz w:val="32"/>
          <w:szCs w:val="32"/>
        </w:rPr>
        <w:t xml:space="preserve"> 支出决算为163.10万元，完成预算100%。</w:t>
      </w:r>
    </w:p>
    <w:p>
      <w:pPr>
        <w:spacing w:line="600" w:lineRule="exact"/>
        <w:ind w:firstLine="643" w:firstLineChars="200"/>
        <w:rPr>
          <w:rFonts w:ascii="方正仿宋_GBK" w:eastAsia="方正仿宋_GBK" w:hAnsiTheme="majorEastAsia"/>
          <w:b/>
          <w:color w:val="000000"/>
          <w:sz w:val="32"/>
          <w:szCs w:val="32"/>
        </w:rPr>
      </w:pPr>
      <w:r>
        <w:rPr>
          <w:rStyle w:val="17"/>
          <w:rFonts w:hint="eastAsia" w:ascii="方正仿宋_GBK" w:eastAsia="方正仿宋_GBK" w:hAnsiTheme="majorEastAsia"/>
          <w:bCs/>
          <w:color w:val="000000"/>
          <w:sz w:val="32"/>
          <w:szCs w:val="32"/>
        </w:rPr>
        <w:t>2.社会保障和就业（类）行政事业单位养老支出（款）机关事业单位基本养老保险缴费支出（项）:</w:t>
      </w:r>
      <w:r>
        <w:rPr>
          <w:rStyle w:val="17"/>
          <w:rFonts w:hint="eastAsia" w:ascii="方正仿宋_GBK" w:eastAsia="方正仿宋_GBK" w:hAnsiTheme="majorEastAsia"/>
          <w:b w:val="0"/>
          <w:bCs/>
          <w:color w:val="000000"/>
          <w:sz w:val="32"/>
          <w:szCs w:val="32"/>
        </w:rPr>
        <w:t xml:space="preserve"> 支出决算为13.09万元，完成预算100%。</w:t>
      </w:r>
    </w:p>
    <w:p>
      <w:pPr>
        <w:spacing w:line="600" w:lineRule="exact"/>
        <w:ind w:firstLine="643" w:firstLineChars="200"/>
        <w:rPr>
          <w:rFonts w:ascii="方正仿宋_GBK" w:eastAsia="方正仿宋_GBK" w:hAnsiTheme="majorEastAsia"/>
          <w:b/>
          <w:color w:val="000000"/>
          <w:sz w:val="32"/>
          <w:szCs w:val="32"/>
        </w:rPr>
      </w:pPr>
      <w:r>
        <w:rPr>
          <w:rStyle w:val="17"/>
          <w:rFonts w:hint="eastAsia" w:ascii="方正仿宋_GBK" w:eastAsia="方正仿宋_GBK" w:hAnsiTheme="majorEastAsia"/>
          <w:bCs/>
          <w:color w:val="000000"/>
          <w:sz w:val="32"/>
          <w:szCs w:val="32"/>
        </w:rPr>
        <w:t>3.</w:t>
      </w:r>
      <w:r>
        <w:rPr>
          <w:rFonts w:hint="eastAsia" w:ascii="方正仿宋_GBK" w:eastAsia="方正仿宋_GBK" w:hAnsiTheme="majorEastAsia"/>
          <w:b/>
          <w:bCs/>
          <w:color w:val="000000"/>
          <w:sz w:val="32"/>
          <w:szCs w:val="32"/>
        </w:rPr>
        <w:t>卫生健康</w:t>
      </w:r>
      <w:r>
        <w:rPr>
          <w:rStyle w:val="17"/>
          <w:rFonts w:hint="eastAsia" w:ascii="方正仿宋_GBK" w:eastAsia="方正仿宋_GBK" w:hAnsiTheme="majorEastAsia"/>
          <w:bCs/>
          <w:color w:val="000000"/>
          <w:sz w:val="32"/>
          <w:szCs w:val="32"/>
        </w:rPr>
        <w:t>（类）行政事业单位医疗（款）事业单位医疗（项）:</w:t>
      </w:r>
      <w:r>
        <w:rPr>
          <w:rStyle w:val="17"/>
          <w:rFonts w:hint="eastAsia" w:ascii="方正仿宋_GBK" w:eastAsia="方正仿宋_GBK" w:hAnsiTheme="majorEastAsia"/>
          <w:b w:val="0"/>
          <w:bCs/>
          <w:color w:val="000000"/>
          <w:sz w:val="32"/>
          <w:szCs w:val="32"/>
        </w:rPr>
        <w:t>支出决算为5.6万元，完成预算100%。</w:t>
      </w:r>
    </w:p>
    <w:p>
      <w:pPr>
        <w:spacing w:line="600" w:lineRule="exact"/>
        <w:ind w:firstLine="643" w:firstLineChars="200"/>
        <w:rPr>
          <w:rStyle w:val="17"/>
          <w:rFonts w:ascii="方正仿宋_GBK" w:eastAsia="方正仿宋_GBK" w:hAnsiTheme="majorEastAsia"/>
          <w:b w:val="0"/>
          <w:bCs/>
          <w:color w:val="000000"/>
          <w:sz w:val="32"/>
          <w:szCs w:val="32"/>
        </w:rPr>
      </w:pPr>
      <w:r>
        <w:rPr>
          <w:rStyle w:val="17"/>
          <w:rFonts w:hint="eastAsia" w:ascii="方正仿宋_GBK" w:eastAsia="方正仿宋_GBK" w:hAnsiTheme="majorEastAsia"/>
          <w:bCs/>
          <w:color w:val="000000"/>
          <w:sz w:val="32"/>
          <w:szCs w:val="32"/>
        </w:rPr>
        <w:t>4.</w:t>
      </w:r>
      <w:r>
        <w:rPr>
          <w:rFonts w:hint="eastAsia" w:ascii="方正仿宋_GBK" w:eastAsia="方正仿宋_GBK" w:hAnsiTheme="majorEastAsia"/>
          <w:b/>
          <w:bCs/>
          <w:color w:val="000000"/>
          <w:sz w:val="32"/>
          <w:szCs w:val="32"/>
        </w:rPr>
        <w:t>住房保障</w:t>
      </w:r>
      <w:r>
        <w:rPr>
          <w:rStyle w:val="17"/>
          <w:rFonts w:hint="eastAsia" w:ascii="方正仿宋_GBK" w:eastAsia="方正仿宋_GBK" w:hAnsiTheme="majorEastAsia"/>
          <w:bCs/>
          <w:color w:val="000000"/>
          <w:sz w:val="32"/>
          <w:szCs w:val="32"/>
        </w:rPr>
        <w:t>（类）住房改革支出（款）住房公积金（项）:</w:t>
      </w:r>
      <w:r>
        <w:rPr>
          <w:rStyle w:val="17"/>
          <w:rFonts w:hint="eastAsia" w:ascii="方正仿宋_GBK" w:eastAsia="方正仿宋_GBK" w:hAnsiTheme="majorEastAsia"/>
          <w:b w:val="0"/>
          <w:bCs/>
          <w:color w:val="000000"/>
          <w:sz w:val="32"/>
          <w:szCs w:val="32"/>
        </w:rPr>
        <w:t>支出决算为9.82万元，完成预算100%。</w:t>
      </w:r>
    </w:p>
    <w:p>
      <w:pPr>
        <w:spacing w:line="600" w:lineRule="exact"/>
        <w:ind w:firstLine="640" w:firstLineChars="200"/>
        <w:rPr>
          <w:rFonts w:ascii="方正仿宋_GBK" w:eastAsia="方正仿宋_GBK" w:cs="方正仿宋简体" w:hAnsiTheme="majorEastAsia"/>
          <w:bCs/>
          <w:sz w:val="32"/>
          <w:szCs w:val="32"/>
        </w:rPr>
      </w:pPr>
      <w:r>
        <w:rPr>
          <w:rFonts w:hint="eastAsia" w:ascii="方正仿宋_GBK" w:eastAsia="方正仿宋_GBK" w:cs="方正仿宋简体" w:hAnsiTheme="majorEastAsia"/>
          <w:bCs/>
          <w:sz w:val="32"/>
          <w:szCs w:val="32"/>
        </w:rPr>
        <w:t>（注：数据来源于财决01-1表和财决08表，仅罗列本单位涉及的全部功能分类科目，至项级。上述“预算”口径为全年预算数。增减变动原因为决算数&lt;项级&gt;和全年预算数&lt;项级&gt;比较，与预算数持平可以不写原因。）</w:t>
      </w:r>
    </w:p>
    <w:p>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方正仿宋_GBK" w:eastAsia="方正仿宋_GBK" w:hAnsiTheme="majorEastAsia"/>
          <w:sz w:val="32"/>
          <w:szCs w:val="32"/>
        </w:rPr>
      </w:pPr>
      <w:r>
        <w:rPr>
          <w:rFonts w:hint="eastAsia" w:ascii="方正仿宋_GBK" w:eastAsia="方正仿宋_GBK" w:hAnsiTheme="majorEastAsia"/>
          <w:sz w:val="32"/>
          <w:szCs w:val="32"/>
        </w:rPr>
        <w:t>2023年度一般公共预算财政拨款基本支出</w:t>
      </w:r>
      <w:r>
        <w:rPr>
          <w:rFonts w:hint="eastAsia" w:ascii="方正仿宋_GBK" w:eastAsia="方正仿宋_GBK" w:hAnsiTheme="majorEastAsia"/>
          <w:bCs/>
          <w:sz w:val="32"/>
          <w:szCs w:val="32"/>
        </w:rPr>
        <w:t>191.6</w:t>
      </w:r>
      <w:r>
        <w:rPr>
          <w:rFonts w:hint="eastAsia" w:ascii="方正仿宋_GBK" w:eastAsia="方正仿宋_GBK" w:hAnsiTheme="majorEastAsia"/>
          <w:sz w:val="32"/>
          <w:szCs w:val="32"/>
        </w:rPr>
        <w:t>万元，其中：</w:t>
      </w:r>
    </w:p>
    <w:p>
      <w:pPr>
        <w:spacing w:line="600" w:lineRule="exact"/>
        <w:ind w:firstLine="645"/>
        <w:rPr>
          <w:rFonts w:ascii="方正仿宋_GBK" w:eastAsia="方正仿宋_GBK" w:hAnsiTheme="majorEastAsia"/>
          <w:sz w:val="32"/>
          <w:szCs w:val="32"/>
        </w:rPr>
      </w:pPr>
      <w:r>
        <w:rPr>
          <w:rFonts w:hint="eastAsia" w:ascii="方正仿宋_GBK" w:eastAsia="方正仿宋_GBK" w:hAnsiTheme="majorEastAsia"/>
          <w:sz w:val="32"/>
          <w:szCs w:val="32"/>
        </w:rPr>
        <w:t>人员经费</w:t>
      </w:r>
      <w:r>
        <w:rPr>
          <w:rFonts w:hint="eastAsia" w:ascii="方正仿宋_GBK" w:eastAsia="方正仿宋_GBK" w:hAnsiTheme="majorEastAsia"/>
          <w:bCs/>
          <w:sz w:val="32"/>
          <w:szCs w:val="32"/>
        </w:rPr>
        <w:t>172.64</w:t>
      </w:r>
      <w:r>
        <w:rPr>
          <w:rFonts w:hint="eastAsia" w:ascii="方正仿宋_GBK" w:eastAsia="方正仿宋_GBK" w:hAnsiTheme="majorEastAsia"/>
          <w:sz w:val="32"/>
          <w:szCs w:val="32"/>
        </w:rPr>
        <w:t>万元，主要包括：基本工资、津贴补贴、奖金、伙食补助费、绩效工资、机关事业单位基本养老保险缴费、职业年金缴费、其他社会保障缴费、其他工资福利支出、退休费、医疗费补助、住房公积金、其他对个人和家庭的补助支出等。</w:t>
      </w:r>
      <w:r>
        <w:rPr>
          <w:rFonts w:hint="eastAsia" w:ascii="方正仿宋_GBK" w:eastAsia="方正仿宋_GBK" w:hAnsiTheme="majorEastAsia"/>
          <w:sz w:val="32"/>
          <w:szCs w:val="32"/>
        </w:rPr>
        <w:br w:type="textWrapping"/>
      </w:r>
      <w:r>
        <w:rPr>
          <w:rFonts w:hint="eastAsia" w:ascii="方正仿宋_GBK" w:eastAsia="方正仿宋_GBK" w:hAnsiTheme="majorEastAsia"/>
          <w:sz w:val="32"/>
          <w:szCs w:val="32"/>
        </w:rPr>
        <w:t>　　公用经费</w:t>
      </w:r>
      <w:r>
        <w:rPr>
          <w:rFonts w:hint="eastAsia" w:ascii="方正仿宋_GBK" w:eastAsia="方正仿宋_GBK" w:hAnsiTheme="majorEastAsia"/>
          <w:bCs/>
          <w:sz w:val="32"/>
          <w:szCs w:val="32"/>
        </w:rPr>
        <w:t>18.96</w:t>
      </w:r>
      <w:r>
        <w:rPr>
          <w:rFonts w:hint="eastAsia" w:ascii="方正仿宋_GBK" w:eastAsia="方正仿宋_GBK" w:hAnsiTheme="majorEastAsia"/>
          <w:sz w:val="32"/>
          <w:szCs w:val="32"/>
        </w:rPr>
        <w:t>万元，主要包括：办公费、印刷费、水费、电费、邮电费、差旅费、维修（护）费、租赁费、会议费、培训费、公务接待费、劳务费、工会经费、公务用车运行维护费、其他交通费、税金及附加费用、其他商品和服务支出、专用设备购置、其他资本性支出等。</w:t>
      </w:r>
    </w:p>
    <w:p>
      <w:pPr>
        <w:spacing w:line="600" w:lineRule="exact"/>
        <w:ind w:firstLine="645"/>
        <w:rPr>
          <w:rFonts w:ascii="方正仿宋_GBK" w:eastAsia="方正仿宋_GBK" w:cs="方正仿宋简体" w:hAnsiTheme="majorEastAsia"/>
          <w:bCs/>
          <w:sz w:val="32"/>
          <w:szCs w:val="32"/>
        </w:rPr>
      </w:pPr>
      <w:r>
        <w:rPr>
          <w:rFonts w:hint="eastAsia" w:ascii="方正仿宋_GBK" w:eastAsia="方正仿宋_GBK" w:cs="方正仿宋简体" w:hAnsiTheme="majorEastAsia"/>
          <w:bCs/>
          <w:sz w:val="32"/>
          <w:szCs w:val="32"/>
        </w:rPr>
        <w:t>（注：数据来源于财决07表和财决08-1表，仅罗列本单位实际支出涉及的经济分类科目。）</w:t>
      </w:r>
    </w:p>
    <w:p>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方正仿宋_GBK" w:eastAsia="方正仿宋_GBK" w:hAnsiTheme="majorEastAsia"/>
          <w:sz w:val="32"/>
          <w:szCs w:val="32"/>
        </w:rPr>
      </w:pPr>
      <w:r>
        <w:rPr>
          <w:rFonts w:hint="eastAsia" w:ascii="方正仿宋_GBK" w:eastAsia="方正仿宋_GBK" w:hAnsiTheme="majorEastAsia"/>
          <w:sz w:val="32"/>
          <w:szCs w:val="32"/>
        </w:rPr>
        <w:t>2023年度“三公”经费财政拨款支出决算为</w:t>
      </w:r>
      <w:r>
        <w:rPr>
          <w:rFonts w:hint="eastAsia" w:ascii="方正仿宋_GBK" w:eastAsia="方正仿宋_GBK" w:hAnsiTheme="majorEastAsia"/>
          <w:bCs/>
          <w:sz w:val="32"/>
          <w:szCs w:val="32"/>
        </w:rPr>
        <w:t>3.4</w:t>
      </w:r>
      <w:r>
        <w:rPr>
          <w:rFonts w:hint="eastAsia" w:ascii="方正仿宋_GBK" w:eastAsia="方正仿宋_GBK" w:hAnsiTheme="majorEastAsia"/>
          <w:sz w:val="32"/>
          <w:szCs w:val="32"/>
        </w:rPr>
        <w:t>万元，完成预算</w:t>
      </w:r>
      <w:r>
        <w:rPr>
          <w:rFonts w:hint="eastAsia" w:ascii="方正仿宋_GBK" w:eastAsia="方正仿宋_GBK" w:hAnsiTheme="majorEastAsia"/>
          <w:bCs/>
          <w:sz w:val="32"/>
          <w:szCs w:val="32"/>
        </w:rPr>
        <w:t>100%，</w:t>
      </w:r>
      <w:r>
        <w:rPr>
          <w:rFonts w:hint="eastAsia" w:ascii="方正仿宋_GBK" w:eastAsia="方正仿宋_GBK" w:hAnsiTheme="majorEastAsia"/>
          <w:sz w:val="32"/>
          <w:szCs w:val="32"/>
        </w:rPr>
        <w:t>较上年度减少0.1万元，下降20%。决算数小于预算数（或与预算数持平）的主要原因是公务接待减少。</w:t>
      </w:r>
    </w:p>
    <w:p>
      <w:pPr>
        <w:spacing w:line="600" w:lineRule="exact"/>
        <w:ind w:firstLine="640"/>
        <w:rPr>
          <w:rFonts w:ascii="方正仿宋_GBK" w:eastAsia="方正仿宋_GBK" w:cs="方正仿宋简体" w:hAnsiTheme="majorEastAsia"/>
          <w:bCs/>
          <w:sz w:val="32"/>
          <w:szCs w:val="32"/>
        </w:rPr>
      </w:pPr>
      <w:r>
        <w:rPr>
          <w:rFonts w:hint="eastAsia" w:ascii="方正仿宋_GBK" w:eastAsia="方正仿宋_GBK" w:cs="方正仿宋简体" w:hAnsiTheme="majorEastAsia"/>
          <w:bCs/>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方正仿宋_GBK" w:eastAsia="方正仿宋_GBK" w:hAnsiTheme="majorEastAsia"/>
          <w:sz w:val="32"/>
          <w:szCs w:val="32"/>
        </w:rPr>
      </w:pPr>
      <w:r>
        <w:rPr>
          <w:rFonts w:hint="eastAsia" w:ascii="方正仿宋_GBK" w:eastAsia="方正仿宋_GBK" w:hAnsiTheme="majorEastAsia"/>
          <w:sz w:val="32"/>
          <w:szCs w:val="32"/>
        </w:rPr>
        <w:t>2023年度“三公”经费财政拨款支出决算中，因公出国（境）费支出决算</w:t>
      </w:r>
      <w:r>
        <w:rPr>
          <w:rFonts w:hint="eastAsia" w:ascii="方正仿宋_GBK" w:eastAsia="方正仿宋_GBK" w:hAnsiTheme="majorEastAsia"/>
          <w:bCs/>
          <w:sz w:val="32"/>
          <w:szCs w:val="32"/>
        </w:rPr>
        <w:t>0</w:t>
      </w:r>
      <w:r>
        <w:rPr>
          <w:rFonts w:hint="eastAsia" w:ascii="方正仿宋_GBK" w:eastAsia="方正仿宋_GBK" w:hAnsiTheme="majorEastAsia"/>
          <w:sz w:val="32"/>
          <w:szCs w:val="32"/>
        </w:rPr>
        <w:t>万元，占</w:t>
      </w:r>
      <w:r>
        <w:rPr>
          <w:rFonts w:hint="eastAsia" w:ascii="方正仿宋_GBK" w:eastAsia="方正仿宋_GBK" w:hAnsiTheme="majorEastAsia"/>
          <w:bCs/>
          <w:sz w:val="32"/>
          <w:szCs w:val="32"/>
        </w:rPr>
        <w:t>0%；</w:t>
      </w:r>
      <w:r>
        <w:rPr>
          <w:rFonts w:hint="eastAsia" w:ascii="方正仿宋_GBK" w:eastAsia="方正仿宋_GBK" w:hAnsiTheme="majorEastAsia"/>
          <w:sz w:val="32"/>
          <w:szCs w:val="32"/>
        </w:rPr>
        <w:t>公务用车购置及运行维护费支出决算</w:t>
      </w:r>
      <w:r>
        <w:rPr>
          <w:rFonts w:hint="eastAsia" w:ascii="方正仿宋_GBK" w:eastAsia="方正仿宋_GBK" w:hAnsiTheme="majorEastAsia"/>
          <w:bCs/>
          <w:sz w:val="32"/>
          <w:szCs w:val="32"/>
        </w:rPr>
        <w:t>2.9</w:t>
      </w:r>
      <w:r>
        <w:rPr>
          <w:rFonts w:hint="eastAsia" w:ascii="方正仿宋_GBK" w:eastAsia="方正仿宋_GBK" w:hAnsiTheme="majorEastAsia"/>
          <w:sz w:val="32"/>
          <w:szCs w:val="32"/>
        </w:rPr>
        <w:t>万元，占</w:t>
      </w:r>
      <w:r>
        <w:rPr>
          <w:rFonts w:hint="eastAsia" w:ascii="方正仿宋_GBK" w:eastAsia="方正仿宋_GBK" w:hAnsiTheme="majorEastAsia"/>
          <w:bCs/>
          <w:sz w:val="32"/>
          <w:szCs w:val="32"/>
        </w:rPr>
        <w:t>85.29%</w:t>
      </w:r>
      <w:r>
        <w:rPr>
          <w:rFonts w:hint="eastAsia" w:ascii="方正仿宋_GBK" w:eastAsia="方正仿宋_GBK" w:hAnsiTheme="majorEastAsia"/>
          <w:sz w:val="32"/>
          <w:szCs w:val="32"/>
        </w:rPr>
        <w:t>；公务接待费支出决算</w:t>
      </w:r>
      <w:r>
        <w:rPr>
          <w:rFonts w:hint="eastAsia" w:ascii="方正仿宋_GBK" w:eastAsia="方正仿宋_GBK" w:hAnsiTheme="majorEastAsia"/>
          <w:bCs/>
          <w:sz w:val="32"/>
          <w:szCs w:val="32"/>
        </w:rPr>
        <w:t>0.5</w:t>
      </w:r>
      <w:r>
        <w:rPr>
          <w:rFonts w:hint="eastAsia" w:ascii="方正仿宋_GBK" w:eastAsia="方正仿宋_GBK" w:hAnsiTheme="majorEastAsia"/>
          <w:sz w:val="32"/>
          <w:szCs w:val="32"/>
        </w:rPr>
        <w:t>万元，占</w:t>
      </w:r>
      <w:r>
        <w:rPr>
          <w:rFonts w:hint="eastAsia" w:ascii="方正仿宋_GBK" w:eastAsia="方正仿宋_GBK" w:hAnsiTheme="majorEastAsia"/>
          <w:bCs/>
          <w:sz w:val="32"/>
          <w:szCs w:val="32"/>
        </w:rPr>
        <w:t>14.7%。</w:t>
      </w:r>
      <w:r>
        <w:rPr>
          <w:rFonts w:hint="eastAsia" w:ascii="方正仿宋_GBK" w:eastAsia="方正仿宋_GBK" w:hAnsiTheme="majorEastAsia"/>
          <w:sz w:val="32"/>
          <w:szCs w:val="32"/>
        </w:rPr>
        <w:t>具体情况如下：</w:t>
      </w:r>
    </w:p>
    <w:p>
      <w:pPr>
        <w:pStyle w:val="6"/>
        <w:spacing w:before="93"/>
        <w:rPr>
          <w:rFonts w:ascii="仿宋" w:hAnsi="仿宋" w:eastAsia="仿宋"/>
          <w:sz w:val="32"/>
          <w:szCs w:val="32"/>
        </w:rPr>
      </w:pPr>
    </w:p>
    <w:p>
      <w:pPr>
        <w:pStyle w:val="6"/>
        <w:spacing w:before="93"/>
        <w:rPr>
          <w:rFonts w:ascii="仿宋" w:hAnsi="仿宋" w:eastAsia="仿宋"/>
          <w:sz w:val="32"/>
          <w:szCs w:val="32"/>
        </w:rPr>
      </w:pPr>
      <w:r>
        <w:rPr>
          <w:rFonts w:hint="eastAsia" w:ascii="仿宋" w:hAnsi="仿宋" w:eastAsia="仿宋"/>
          <w:sz w:val="32"/>
          <w:szCs w:val="32"/>
        </w:rPr>
        <w:drawing>
          <wp:inline distT="0" distB="0" distL="114300" distR="114300">
            <wp:extent cx="4156710" cy="2162810"/>
            <wp:effectExtent l="4445" t="4445" r="10795" b="234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方正仿宋_GBK" w:eastAsia="方正仿宋_GBK" w:hAnsiTheme="majorEastAsia"/>
          <w:sz w:val="32"/>
          <w:szCs w:val="32"/>
        </w:rPr>
      </w:pPr>
      <w:r>
        <w:rPr>
          <w:rFonts w:hint="eastAsia" w:ascii="方正仿宋_GBK" w:eastAsia="方正仿宋_GBK" w:cs="方正仿宋简体" w:hAnsiTheme="majorEastAsia"/>
          <w:sz w:val="32"/>
          <w:szCs w:val="32"/>
        </w:rPr>
        <w:t>（图7：“三公”经费财政拨款支出结构）（饼状图）</w:t>
      </w:r>
    </w:p>
    <w:p>
      <w:pPr>
        <w:spacing w:line="600" w:lineRule="exact"/>
        <w:ind w:firstLine="643" w:firstLineChars="200"/>
        <w:rPr>
          <w:rFonts w:ascii="方正仿宋_GBK" w:eastAsia="方正仿宋_GBK" w:hAnsiTheme="majorEastAsia"/>
          <w:sz w:val="32"/>
          <w:szCs w:val="32"/>
        </w:rPr>
      </w:pPr>
      <w:bookmarkStart w:id="40" w:name="_Toc15396610"/>
      <w:bookmarkStart w:id="41" w:name="_Toc15377218"/>
      <w:r>
        <w:rPr>
          <w:rFonts w:hint="eastAsia" w:ascii="方正仿宋_GBK" w:eastAsia="方正仿宋_GBK" w:hAnsiTheme="majorEastAsia"/>
          <w:b/>
          <w:sz w:val="32"/>
          <w:szCs w:val="32"/>
        </w:rPr>
        <w:t>1.因公出国（境）经费支出0</w:t>
      </w:r>
      <w:r>
        <w:rPr>
          <w:rFonts w:hint="eastAsia" w:ascii="方正仿宋_GBK" w:eastAsia="方正仿宋_GBK" w:hAnsiTheme="majorEastAsia"/>
          <w:sz w:val="32"/>
          <w:szCs w:val="32"/>
        </w:rPr>
        <w:t>万元，</w:t>
      </w:r>
      <w:r>
        <w:rPr>
          <w:rStyle w:val="17"/>
          <w:rFonts w:hint="eastAsia" w:ascii="方正仿宋_GBK" w:eastAsia="方正仿宋_GBK" w:hAnsiTheme="majorEastAsia"/>
          <w:b w:val="0"/>
          <w:bCs/>
          <w:sz w:val="32"/>
          <w:szCs w:val="32"/>
        </w:rPr>
        <w:t>完成预算</w:t>
      </w:r>
      <w:r>
        <w:rPr>
          <w:rStyle w:val="17"/>
          <w:rFonts w:hint="eastAsia" w:ascii="方正仿宋_GBK" w:eastAsia="方正仿宋_GBK" w:hAnsiTheme="majorEastAsia"/>
          <w:bCs/>
          <w:sz w:val="32"/>
          <w:szCs w:val="32"/>
        </w:rPr>
        <w:t>0</w:t>
      </w:r>
      <w:r>
        <w:rPr>
          <w:rStyle w:val="17"/>
          <w:rFonts w:hint="eastAsia" w:ascii="方正仿宋_GBK" w:eastAsia="方正仿宋_GBK" w:hAnsiTheme="majorEastAsia"/>
          <w:b w:val="0"/>
          <w:bCs/>
          <w:sz w:val="32"/>
          <w:szCs w:val="32"/>
        </w:rPr>
        <w:t>%。</w:t>
      </w:r>
      <w:r>
        <w:rPr>
          <w:rFonts w:hint="eastAsia" w:ascii="方正仿宋_GBK" w:eastAsia="方正仿宋_GBK" w:hAnsiTheme="majorEastAsia"/>
          <w:sz w:val="32"/>
          <w:szCs w:val="32"/>
        </w:rPr>
        <w:t>全年安排因公出国（境）团组</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次，出国（境）</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人</w:t>
      </w:r>
    </w:p>
    <w:p>
      <w:pPr>
        <w:spacing w:line="600" w:lineRule="exact"/>
        <w:ind w:firstLine="643" w:firstLineChars="200"/>
        <w:rPr>
          <w:rFonts w:ascii="方正仿宋_GBK" w:eastAsia="方正仿宋_GBK" w:hAnsiTheme="majorEastAsia"/>
          <w:b/>
          <w:sz w:val="32"/>
          <w:szCs w:val="32"/>
        </w:rPr>
      </w:pPr>
      <w:r>
        <w:rPr>
          <w:rFonts w:hint="eastAsia" w:ascii="方正仿宋_GBK" w:eastAsia="方正仿宋_GBK" w:hAnsiTheme="majorEastAsia"/>
          <w:b/>
          <w:sz w:val="32"/>
          <w:szCs w:val="32"/>
        </w:rPr>
        <w:t>2.公务用车购置及运行维护费支出2.9</w:t>
      </w:r>
      <w:r>
        <w:rPr>
          <w:rFonts w:hint="eastAsia" w:ascii="方正仿宋_GBK" w:eastAsia="方正仿宋_GBK" w:hAnsiTheme="majorEastAsia"/>
          <w:sz w:val="32"/>
          <w:szCs w:val="32"/>
        </w:rPr>
        <w:t>万元,</w:t>
      </w:r>
      <w:r>
        <w:rPr>
          <w:rStyle w:val="17"/>
          <w:rFonts w:hint="eastAsia" w:ascii="方正仿宋_GBK" w:eastAsia="方正仿宋_GBK" w:hAnsiTheme="majorEastAsia"/>
          <w:b w:val="0"/>
          <w:bCs/>
          <w:sz w:val="32"/>
          <w:szCs w:val="32"/>
        </w:rPr>
        <w:t>完成预算</w:t>
      </w:r>
      <w:r>
        <w:rPr>
          <w:rStyle w:val="17"/>
          <w:rFonts w:hint="eastAsia" w:ascii="方正仿宋_GBK" w:eastAsia="方正仿宋_GBK" w:hAnsiTheme="majorEastAsia"/>
          <w:bCs/>
          <w:sz w:val="32"/>
          <w:szCs w:val="32"/>
        </w:rPr>
        <w:t>96.66</w:t>
      </w:r>
      <w:r>
        <w:rPr>
          <w:rStyle w:val="17"/>
          <w:rFonts w:hint="eastAsia" w:ascii="方正仿宋_GBK" w:eastAsia="方正仿宋_GBK" w:hAnsiTheme="majorEastAsia"/>
          <w:b w:val="0"/>
          <w:bCs/>
          <w:sz w:val="32"/>
          <w:szCs w:val="32"/>
        </w:rPr>
        <w:t>%。</w:t>
      </w:r>
      <w:r>
        <w:rPr>
          <w:rFonts w:hint="eastAsia" w:ascii="方正仿宋_GBK" w:eastAsia="方正仿宋_GBK" w:hAnsiTheme="majorEastAsia"/>
          <w:sz w:val="32"/>
          <w:szCs w:val="32"/>
        </w:rPr>
        <w:t>公务用车购置及运行维护费支出决算比2022年度减少0.1万元，下降3%。主要原因是还有未支付款项。</w:t>
      </w:r>
    </w:p>
    <w:p>
      <w:pPr>
        <w:spacing w:line="600" w:lineRule="exact"/>
        <w:ind w:firstLine="640" w:firstLineChars="200"/>
        <w:rPr>
          <w:rFonts w:ascii="方正仿宋_GBK" w:eastAsia="方正仿宋_GBK" w:hAnsiTheme="majorEastAsia"/>
          <w:b/>
          <w:sz w:val="32"/>
          <w:szCs w:val="32"/>
        </w:rPr>
      </w:pPr>
      <w:r>
        <w:rPr>
          <w:rFonts w:hint="eastAsia" w:ascii="方正仿宋_GBK" w:eastAsia="方正仿宋_GBK" w:hAnsiTheme="majorEastAsia"/>
          <w:sz w:val="32"/>
          <w:szCs w:val="32"/>
        </w:rPr>
        <w:t>其中：</w:t>
      </w:r>
      <w:r>
        <w:rPr>
          <w:rFonts w:hint="eastAsia" w:ascii="方正仿宋_GBK" w:eastAsia="方正仿宋_GBK" w:hAnsiTheme="majorEastAsia"/>
          <w:b/>
          <w:sz w:val="32"/>
          <w:szCs w:val="32"/>
        </w:rPr>
        <w:t>公务用车购置支出0</w:t>
      </w:r>
      <w:r>
        <w:rPr>
          <w:rFonts w:hint="eastAsia" w:ascii="方正仿宋_GBK" w:eastAsia="方正仿宋_GBK" w:hAnsiTheme="majorEastAsia"/>
          <w:sz w:val="32"/>
          <w:szCs w:val="32"/>
        </w:rPr>
        <w:t>万元。</w:t>
      </w:r>
    </w:p>
    <w:p>
      <w:pPr>
        <w:spacing w:line="600" w:lineRule="exact"/>
        <w:ind w:firstLine="640"/>
        <w:rPr>
          <w:rFonts w:ascii="方正仿宋_GBK" w:eastAsia="方正仿宋_GBK" w:hAnsiTheme="majorEastAsia"/>
          <w:sz w:val="32"/>
          <w:szCs w:val="32"/>
        </w:rPr>
      </w:pPr>
      <w:r>
        <w:rPr>
          <w:rFonts w:hint="eastAsia" w:ascii="方正仿宋_GBK" w:eastAsia="方正仿宋_GBK" w:hAnsiTheme="majorEastAsia"/>
          <w:b/>
          <w:sz w:val="32"/>
          <w:szCs w:val="32"/>
        </w:rPr>
        <w:t>公务用车运行维护费支出2.9</w:t>
      </w:r>
      <w:r>
        <w:rPr>
          <w:rFonts w:hint="eastAsia" w:ascii="方正仿宋_GBK" w:eastAsia="方正仿宋_GBK" w:hAnsiTheme="majorEastAsia"/>
          <w:sz w:val="32"/>
          <w:szCs w:val="32"/>
        </w:rPr>
        <w:t>万元。主要用于景区安全检查等所需的公务用车燃料费、维修费、过路过桥费、保险费等支出。</w:t>
      </w:r>
    </w:p>
    <w:p>
      <w:pPr>
        <w:spacing w:line="600" w:lineRule="exact"/>
        <w:ind w:firstLine="640"/>
        <w:rPr>
          <w:rFonts w:ascii="方正仿宋_GBK" w:eastAsia="方正仿宋_GBK" w:hAnsiTheme="majorEastAsia"/>
          <w:sz w:val="32"/>
          <w:szCs w:val="32"/>
        </w:rPr>
      </w:pPr>
      <w:r>
        <w:rPr>
          <w:rFonts w:hint="eastAsia" w:ascii="方正仿宋_GBK" w:eastAsia="方正仿宋_GBK" w:hAnsiTheme="majorEastAsia"/>
          <w:b/>
          <w:sz w:val="32"/>
          <w:szCs w:val="32"/>
        </w:rPr>
        <w:t>3.公务接待费支出0.5</w:t>
      </w:r>
      <w:r>
        <w:rPr>
          <w:rFonts w:hint="eastAsia" w:ascii="方正仿宋_GBK" w:eastAsia="方正仿宋_GBK" w:hAnsiTheme="majorEastAsia"/>
          <w:sz w:val="32"/>
          <w:szCs w:val="32"/>
        </w:rPr>
        <w:t>万元，</w:t>
      </w:r>
      <w:r>
        <w:rPr>
          <w:rStyle w:val="17"/>
          <w:rFonts w:hint="eastAsia" w:ascii="方正仿宋_GBK" w:eastAsia="方正仿宋_GBK" w:hAnsiTheme="majorEastAsia"/>
          <w:b w:val="0"/>
          <w:bCs/>
          <w:sz w:val="32"/>
          <w:szCs w:val="32"/>
        </w:rPr>
        <w:t>完成预算100%。</w:t>
      </w:r>
      <w:r>
        <w:rPr>
          <w:rFonts w:hint="eastAsia" w:ascii="方正仿宋_GBK" w:eastAsia="方正仿宋_GBK" w:hAnsiTheme="majorEastAsia"/>
          <w:sz w:val="32"/>
          <w:szCs w:val="32"/>
        </w:rPr>
        <w:t>公务接待费支出决算比2022年度减少0.1万元，下降20%。主要原因是公务接待减少。其中：</w:t>
      </w:r>
    </w:p>
    <w:p>
      <w:pPr>
        <w:spacing w:line="600" w:lineRule="exact"/>
        <w:ind w:firstLine="640"/>
        <w:rPr>
          <w:rStyle w:val="17"/>
          <w:rFonts w:ascii="方正仿宋_GBK" w:eastAsia="方正仿宋_GBK" w:hAnsiTheme="majorEastAsia"/>
          <w:b w:val="0"/>
          <w:bCs/>
          <w:sz w:val="32"/>
          <w:szCs w:val="32"/>
        </w:rPr>
      </w:pPr>
      <w:r>
        <w:rPr>
          <w:rStyle w:val="17"/>
          <w:rFonts w:hint="eastAsia" w:ascii="方正仿宋_GBK" w:eastAsia="方正仿宋_GBK" w:hAnsiTheme="majorEastAsia"/>
          <w:b w:val="0"/>
          <w:bCs/>
          <w:sz w:val="32"/>
          <w:szCs w:val="32"/>
        </w:rPr>
        <w:t>国内公务接待支出0.5万元，主要用于景区调研等开展业务活动开支的交通费、住宿费、用餐费等)。国内公务接待19批次，171人次（不包括陪同人员），共计支出0.5万元。</w:t>
      </w:r>
    </w:p>
    <w:p>
      <w:pPr>
        <w:spacing w:line="600" w:lineRule="exact"/>
        <w:ind w:firstLine="643" w:firstLineChars="200"/>
        <w:rPr>
          <w:rFonts w:ascii="方正仿宋_GBK" w:eastAsia="方正仿宋_GBK" w:hAnsiTheme="majorEastAsia"/>
          <w:sz w:val="32"/>
          <w:szCs w:val="32"/>
        </w:rPr>
      </w:pPr>
      <w:r>
        <w:rPr>
          <w:rFonts w:hint="eastAsia" w:ascii="方正仿宋_GBK" w:eastAsia="方正仿宋_GBK" w:cs="方正仿宋简体" w:hAnsiTheme="majorEastAsia"/>
          <w:b/>
          <w:sz w:val="32"/>
          <w:szCs w:val="32"/>
        </w:rPr>
        <w:t>外事接待支出0</w:t>
      </w:r>
      <w:r>
        <w:rPr>
          <w:rFonts w:hint="eastAsia" w:ascii="方正仿宋_GBK" w:eastAsia="方正仿宋_GBK" w:hAnsiTheme="majorEastAsia"/>
          <w:sz w:val="32"/>
          <w:szCs w:val="32"/>
        </w:rPr>
        <w:t>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方正仿宋_GBK" w:eastAsia="方正仿宋_GBK" w:hAnsiTheme="majorEastAsia"/>
          <w:sz w:val="32"/>
          <w:szCs w:val="32"/>
        </w:rPr>
      </w:pPr>
      <w:r>
        <w:rPr>
          <w:rFonts w:hint="eastAsia" w:ascii="方正仿宋_GBK" w:eastAsia="方正仿宋_GBK" w:hAnsiTheme="majorEastAsia"/>
          <w:sz w:val="32"/>
          <w:szCs w:val="32"/>
        </w:rPr>
        <w:t>2023年度政府性基金预算财政拨款支出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w:t>
      </w:r>
    </w:p>
    <w:p>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pPr>
        <w:spacing w:line="600" w:lineRule="exact"/>
        <w:ind w:firstLine="640"/>
        <w:rPr>
          <w:rFonts w:ascii="方正仿宋_GBK" w:eastAsia="方正仿宋_GBK" w:cs="方正小标宋简体" w:hAnsiTheme="majorEastAsia"/>
          <w:sz w:val="44"/>
          <w:szCs w:val="44"/>
        </w:rPr>
      </w:pPr>
      <w:r>
        <w:rPr>
          <w:rFonts w:hint="eastAsia" w:ascii="方正仿宋_GBK" w:eastAsia="方正仿宋_GBK" w:hAnsiTheme="majorEastAsia"/>
          <w:sz w:val="32"/>
          <w:szCs w:val="32"/>
        </w:rPr>
        <w:t>2023年度国有资本经营预算财政拨款支出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w:t>
      </w:r>
    </w:p>
    <w:p>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2023年度，万源市旅游景区管理中心机关运行经费支出</w:t>
      </w:r>
      <w:r>
        <w:rPr>
          <w:rFonts w:hint="eastAsia" w:ascii="方正仿宋_GBK" w:eastAsia="方正仿宋_GBK" w:hAnsiTheme="majorEastAsia"/>
          <w:b/>
          <w:sz w:val="32"/>
          <w:szCs w:val="32"/>
        </w:rPr>
        <w:t>191.60</w:t>
      </w:r>
      <w:r>
        <w:rPr>
          <w:rFonts w:hint="eastAsia" w:ascii="方正仿宋_GBK" w:eastAsia="方正仿宋_GBK" w:hAnsiTheme="majorEastAsia"/>
          <w:sz w:val="32"/>
          <w:szCs w:val="32"/>
        </w:rPr>
        <w:t>万元，比2022年度增加7.16万元，增长3.8%。主要原因是养老保险、医疗保险等有调标。</w:t>
      </w:r>
    </w:p>
    <w:p>
      <w:pPr>
        <w:spacing w:line="600" w:lineRule="exact"/>
        <w:ind w:firstLine="640" w:firstLineChars="200"/>
        <w:rPr>
          <w:rFonts w:ascii="方正仿宋_GBK" w:hAnsi="方正仿宋简体" w:eastAsia="方正仿宋_GBK" w:cs="方正仿宋简体"/>
          <w:bCs/>
          <w:sz w:val="32"/>
          <w:szCs w:val="32"/>
        </w:rPr>
      </w:pPr>
      <w:r>
        <w:rPr>
          <w:rFonts w:hint="eastAsia" w:ascii="方正仿宋_GBK" w:hAnsi="方正仿宋简体" w:eastAsia="方正仿宋_GBK" w:cs="方正仿宋简体"/>
          <w:bCs/>
          <w:sz w:val="32"/>
          <w:szCs w:val="32"/>
        </w:rPr>
        <w:t>（注：数据来源于财决附03表）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2023年度，</w:t>
      </w:r>
      <w:r>
        <w:rPr>
          <w:rFonts w:hint="eastAsia" w:ascii="方正仿宋_GBK" w:eastAsia="方正仿宋_GBK" w:hAnsiTheme="majorEastAsia"/>
          <w:b/>
          <w:sz w:val="32"/>
          <w:szCs w:val="32"/>
        </w:rPr>
        <w:t>万源市旅游景区管理中心</w:t>
      </w:r>
      <w:r>
        <w:rPr>
          <w:rFonts w:hint="eastAsia" w:ascii="方正仿宋_GBK" w:eastAsia="方正仿宋_GBK" w:hAnsiTheme="majorEastAsia"/>
          <w:sz w:val="32"/>
          <w:szCs w:val="32"/>
        </w:rPr>
        <w:t>政府采购支出总额</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万元，其中：政府采购货物支出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万元、政府采购工程支出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万元、政府采购服务支出</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万元。主要用于…（具体工作）。授予中小企业合同金额</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万元，占政府采购支出总额的0%，其中：授予小微企业合同金额</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万元，占政府采购支出总额的</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w:t>
      </w:r>
    </w:p>
    <w:p>
      <w:pPr>
        <w:spacing w:line="600" w:lineRule="exact"/>
        <w:ind w:firstLine="640" w:firstLineChars="200"/>
        <w:rPr>
          <w:rFonts w:ascii="方正仿宋_GBK" w:eastAsia="方正仿宋_GBK" w:cs="方正仿宋简体" w:hAnsiTheme="majorEastAsia"/>
          <w:bCs/>
          <w:sz w:val="32"/>
          <w:szCs w:val="32"/>
        </w:rPr>
      </w:pPr>
      <w:r>
        <w:rPr>
          <w:rFonts w:hint="eastAsia" w:ascii="方正仿宋_GBK" w:eastAsia="方正仿宋_GBK" w:cs="方正仿宋简体" w:hAnsiTheme="majorEastAsia"/>
          <w:bCs/>
          <w:sz w:val="32"/>
          <w:szCs w:val="32"/>
        </w:rPr>
        <w:t>（注：数据来源于财决附03表）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方正仿宋_GBK" w:eastAsia="方正仿宋_GBK" w:hAnsiTheme="majorEastAsia"/>
          <w:sz w:val="32"/>
          <w:szCs w:val="32"/>
        </w:rPr>
      </w:pPr>
      <w:r>
        <w:rPr>
          <w:rFonts w:hint="eastAsia" w:ascii="方正仿宋_GBK" w:eastAsia="方正仿宋_GBK" w:hAnsiTheme="majorEastAsia"/>
          <w:sz w:val="32"/>
          <w:szCs w:val="32"/>
        </w:rPr>
        <w:t>截至2023年12月31日，万源市旅游景区管理中心共有车辆</w:t>
      </w:r>
      <w:r>
        <w:rPr>
          <w:rFonts w:hint="eastAsia" w:ascii="方正仿宋_GBK" w:eastAsia="方正仿宋_GBK" w:hAnsiTheme="majorEastAsia"/>
          <w:b/>
          <w:sz w:val="32"/>
          <w:szCs w:val="32"/>
        </w:rPr>
        <w:t>1</w:t>
      </w:r>
      <w:r>
        <w:rPr>
          <w:rFonts w:hint="eastAsia" w:ascii="方正仿宋_GBK" w:eastAsia="方正仿宋_GBK" w:hAnsiTheme="majorEastAsia"/>
          <w:sz w:val="32"/>
          <w:szCs w:val="32"/>
        </w:rPr>
        <w:t>辆，其中：应急保障用车1辆。单价100万元以上设备（不含车辆）</w:t>
      </w:r>
      <w:r>
        <w:rPr>
          <w:rFonts w:hint="eastAsia" w:ascii="方正仿宋_GBK" w:eastAsia="方正仿宋_GBK" w:hAnsiTheme="majorEastAsia"/>
          <w:b/>
          <w:sz w:val="32"/>
          <w:szCs w:val="32"/>
        </w:rPr>
        <w:t>0</w:t>
      </w:r>
      <w:r>
        <w:rPr>
          <w:rFonts w:hint="eastAsia" w:ascii="方正仿宋_GBK" w:eastAsia="方正仿宋_GBK" w:hAnsiTheme="majorEastAsia"/>
          <w:sz w:val="32"/>
          <w:szCs w:val="32"/>
        </w:rPr>
        <w:t>台（套）。</w:t>
      </w:r>
    </w:p>
    <w:p>
      <w:pPr>
        <w:autoSpaceDE w:val="0"/>
        <w:autoSpaceDN w:val="0"/>
        <w:adjustRightInd w:val="0"/>
        <w:spacing w:line="600" w:lineRule="exact"/>
        <w:ind w:firstLine="640" w:firstLineChars="200"/>
        <w:jc w:val="left"/>
        <w:rPr>
          <w:rFonts w:ascii="方正仿宋_GBK" w:hAnsi="方正仿宋简体" w:eastAsia="方正仿宋_GBK" w:cs="方正仿宋简体"/>
          <w:bCs/>
          <w:sz w:val="32"/>
          <w:szCs w:val="32"/>
        </w:rPr>
      </w:pPr>
      <w:r>
        <w:rPr>
          <w:rFonts w:hint="eastAsia" w:ascii="方正仿宋_GBK" w:eastAsia="方正仿宋_GBK" w:cs="方正仿宋简体" w:hAnsiTheme="majorEastAsia"/>
          <w:bCs/>
          <w:sz w:val="32"/>
          <w:szCs w:val="32"/>
        </w:rPr>
        <w:t>（注：数据来源于财决附03表，按单位决算报表填报数据罗列车辆情况。）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根据预算绩效管理要求，本单位在2023年度预算编制阶段，组织对项目（</w:t>
      </w:r>
      <w:r>
        <w:rPr>
          <w:rFonts w:hint="eastAsia" w:ascii="方正仿宋_GBK" w:eastAsia="方正仿宋_GBK"/>
          <w:sz w:val="32"/>
          <w:szCs w:val="32"/>
          <w:lang w:eastAsia="zh-CN"/>
        </w:rPr>
        <w:t>日常公用经费</w:t>
      </w:r>
      <w:r>
        <w:rPr>
          <w:rFonts w:hint="eastAsia" w:ascii="方正仿宋_GBK" w:eastAsia="方正仿宋_GBK"/>
          <w:sz w:val="32"/>
          <w:szCs w:val="32"/>
        </w:rPr>
        <w:t>）等</w:t>
      </w:r>
      <w:r>
        <w:rPr>
          <w:rFonts w:hint="eastAsia" w:ascii="方正仿宋_GBK" w:eastAsia="方正仿宋_GBK"/>
          <w:sz w:val="32"/>
          <w:szCs w:val="32"/>
          <w:lang w:val="en-US" w:eastAsia="zh-CN"/>
        </w:rPr>
        <w:t>19</w:t>
      </w:r>
      <w:r>
        <w:rPr>
          <w:rFonts w:hint="eastAsia" w:ascii="方正仿宋_GBK" w:eastAsia="方正仿宋_GBK"/>
          <w:sz w:val="32"/>
          <w:szCs w:val="32"/>
        </w:rPr>
        <w:t>个项目开展了预算事前绩效评估，对</w:t>
      </w:r>
      <w:r>
        <w:rPr>
          <w:rFonts w:hint="eastAsia" w:ascii="方正仿宋_GBK" w:eastAsia="方正仿宋_GBK"/>
          <w:sz w:val="32"/>
          <w:szCs w:val="32"/>
          <w:lang w:val="en-US" w:eastAsia="zh-CN"/>
        </w:rPr>
        <w:t>19</w:t>
      </w:r>
      <w:r>
        <w:rPr>
          <w:rFonts w:hint="eastAsia" w:ascii="方正仿宋_GBK" w:eastAsia="方正仿宋_GBK"/>
          <w:sz w:val="32"/>
          <w:szCs w:val="32"/>
        </w:rPr>
        <w:t>个项目编制了绩效目标，预算执行过程中，选取</w:t>
      </w:r>
      <w:r>
        <w:rPr>
          <w:rFonts w:hint="eastAsia" w:ascii="方正仿宋_GBK" w:eastAsia="方正仿宋_GBK"/>
          <w:sz w:val="32"/>
          <w:szCs w:val="32"/>
          <w:lang w:val="en-US" w:eastAsia="zh-CN"/>
        </w:rPr>
        <w:t>8</w:t>
      </w:r>
      <w:r>
        <w:rPr>
          <w:rFonts w:hint="eastAsia" w:ascii="方正仿宋_GBK" w:eastAsia="方正仿宋_GBK"/>
          <w:sz w:val="32"/>
          <w:szCs w:val="32"/>
        </w:rPr>
        <w:t>个项目开展绩效监控，组织对</w:t>
      </w:r>
      <w:r>
        <w:rPr>
          <w:rFonts w:hint="eastAsia" w:ascii="方正仿宋_GBK" w:eastAsia="方正仿宋_GBK"/>
          <w:sz w:val="32"/>
          <w:szCs w:val="32"/>
          <w:lang w:val="en-US" w:eastAsia="zh-CN"/>
        </w:rPr>
        <w:t>8</w:t>
      </w:r>
      <w:r>
        <w:rPr>
          <w:rFonts w:hint="eastAsia" w:ascii="方正仿宋_GBK" w:eastAsia="方正仿宋_GBK"/>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p>
    <w:p>
      <w:pPr>
        <w:spacing w:line="600" w:lineRule="exact"/>
        <w:jc w:val="left"/>
        <w:rPr>
          <w:rFonts w:ascii="宋体"/>
          <w:b/>
          <w:sz w:val="44"/>
          <w:szCs w:val="44"/>
        </w:rPr>
      </w:pP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1.财政拨款收入：指单位从同级财政部门取得的财政预算资金。</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2.事业收入：指事业单位开展专业业务活动及辅助活动取得的收入。如…（二级预算单位事业收入情况）等。</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4.其他收入：指单位取得的除上述收入以外的各项收入。主要是…（收入类型）等。</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5.使用非财政拨款结余：指事业单位使用以前年度积累的非财政拨款结余弥补当年收支差额的金额。</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6.年初结转和结余：指以前年度尚未完成、结转到本年按有关规定继续使用的资金。</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7.结余分配：指事业单位按照会计制度规定缴纳的所得税、提取的专用结余以及转入非财政拨款结余的金额等。</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8、年末结转和结余：指单位按有关规定结转到下年或以后年度继续使用的资金。</w:t>
      </w:r>
    </w:p>
    <w:p>
      <w:pPr>
        <w:ind w:firstLine="640" w:firstLineChars="200"/>
        <w:rPr>
          <w:rFonts w:ascii="方正仿宋_GBK" w:eastAsia="方正仿宋_GBK" w:hAnsiTheme="majorEastAsia"/>
          <w:color w:val="000000"/>
          <w:sz w:val="32"/>
          <w:szCs w:val="32"/>
        </w:rPr>
      </w:pPr>
      <w:r>
        <w:rPr>
          <w:rFonts w:hint="eastAsia" w:ascii="方正仿宋_GBK" w:eastAsia="方正仿宋_GBK" w:hAnsiTheme="majorEastAsia"/>
          <w:color w:val="000000"/>
          <w:sz w:val="32"/>
          <w:szCs w:val="32"/>
        </w:rPr>
        <w:t>9.一般公共服务（类）政府办公厅（室）及相关机构事务（款）事业运行（项）。</w:t>
      </w:r>
    </w:p>
    <w:p>
      <w:pPr>
        <w:ind w:firstLine="640" w:firstLineChars="200"/>
        <w:rPr>
          <w:rFonts w:ascii="方正仿宋_GBK" w:eastAsia="方正仿宋_GBK" w:hAnsiTheme="majorEastAsia"/>
          <w:color w:val="000000"/>
          <w:sz w:val="32"/>
          <w:szCs w:val="32"/>
        </w:rPr>
      </w:pPr>
      <w:r>
        <w:rPr>
          <w:rFonts w:hint="eastAsia" w:ascii="方正仿宋_GBK" w:eastAsia="方正仿宋_GBK" w:hAnsiTheme="majorEastAsia"/>
          <w:color w:val="000000"/>
          <w:sz w:val="32"/>
          <w:szCs w:val="32"/>
        </w:rPr>
        <w:t>10.社会保障和就业（类）行政事业单位养老支出（款）机关事业单位基本养老保险缴费支出（项）。</w:t>
      </w:r>
    </w:p>
    <w:p>
      <w:pPr>
        <w:ind w:firstLine="640" w:firstLineChars="200"/>
        <w:rPr>
          <w:rFonts w:ascii="方正仿宋_GBK" w:eastAsia="方正仿宋_GBK" w:hAnsiTheme="majorEastAsia"/>
          <w:color w:val="000000"/>
          <w:sz w:val="32"/>
          <w:szCs w:val="32"/>
        </w:rPr>
      </w:pPr>
      <w:r>
        <w:rPr>
          <w:rFonts w:hint="eastAsia" w:ascii="方正仿宋_GBK" w:eastAsia="方正仿宋_GBK" w:hAnsiTheme="majorEastAsia"/>
          <w:color w:val="000000"/>
          <w:sz w:val="32"/>
          <w:szCs w:val="32"/>
        </w:rPr>
        <w:t>11.医疗卫生与计划生育（类）行政事业单位医疗（款）事业单位医疗（项）。</w:t>
      </w:r>
    </w:p>
    <w:p>
      <w:pPr>
        <w:ind w:firstLine="640" w:firstLineChars="200"/>
        <w:rPr>
          <w:rFonts w:ascii="方正仿宋_GBK" w:eastAsia="方正仿宋_GBK" w:hAnsiTheme="majorEastAsia"/>
          <w:color w:val="000000"/>
          <w:sz w:val="32"/>
          <w:szCs w:val="32"/>
        </w:rPr>
      </w:pPr>
      <w:r>
        <w:rPr>
          <w:rFonts w:hint="eastAsia" w:ascii="方正仿宋_GBK" w:eastAsia="方正仿宋_GBK" w:hAnsiTheme="majorEastAsia"/>
          <w:color w:val="000000"/>
          <w:sz w:val="32"/>
          <w:szCs w:val="32"/>
        </w:rPr>
        <w:t>12.文化旅游体育与传媒支出（类）文化和旅游（款）文化活动（项）。</w:t>
      </w:r>
    </w:p>
    <w:p>
      <w:pPr>
        <w:ind w:firstLine="640" w:firstLineChars="200"/>
        <w:rPr>
          <w:rFonts w:ascii="方正仿宋_GBK" w:eastAsia="方正仿宋_GBK" w:hAnsiTheme="majorEastAsia"/>
          <w:color w:val="000000"/>
          <w:sz w:val="32"/>
          <w:szCs w:val="32"/>
        </w:rPr>
      </w:pPr>
      <w:r>
        <w:rPr>
          <w:rFonts w:hint="eastAsia" w:ascii="方正仿宋_GBK" w:eastAsia="方正仿宋_GBK" w:hAnsiTheme="majorEastAsia"/>
          <w:color w:val="000000"/>
          <w:sz w:val="32"/>
          <w:szCs w:val="32"/>
        </w:rPr>
        <w:t>13.住房保障（类）住房改革支出（款）住房公积金（项）。</w:t>
      </w:r>
    </w:p>
    <w:p>
      <w:pPr>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14.基本支出：指为保障机构正常运转、完成日常工作任务而发生的人员支出和公用支出。</w:t>
      </w:r>
    </w:p>
    <w:p>
      <w:pPr>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15.项目支出：指在基本支出之外为完成特定行政任务和事业发展目标所发生的支出。</w:t>
      </w:r>
    </w:p>
    <w:p>
      <w:pPr>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16.经营支出：指事业单位在专业业务活动及其辅助活动之外开展非独立核算经营活动发生的支出。</w:t>
      </w:r>
    </w:p>
    <w:p>
      <w:pPr>
        <w:pStyle w:val="25"/>
        <w:spacing w:line="560" w:lineRule="exact"/>
        <w:ind w:firstLine="640" w:firstLineChars="20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17.“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方正仿宋_GBK" w:eastAsia="方正仿宋_GBK"/>
          <w:color w:val="auto"/>
          <w:sz w:val="32"/>
          <w:szCs w:val="32"/>
        </w:rPr>
      </w:pPr>
      <w:r>
        <w:rPr>
          <w:rFonts w:hint="eastAsia" w:ascii="方正仿宋_GBK" w:eastAsia="方正仿宋_GBK" w:hAnsiTheme="majorEastAsia"/>
          <w:color w:val="auto"/>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49"/>
    <w:bookmarkEnd w:id="50"/>
    <w:p>
      <w:pPr>
        <w:spacing w:line="600" w:lineRule="exact"/>
        <w:ind w:firstLine="640"/>
        <w:rPr>
          <w:rFonts w:ascii="方正仿宋_GBK" w:eastAsia="方正仿宋_GBK" w:hAnsiTheme="majorEastAsia"/>
          <w:b/>
          <w:sz w:val="32"/>
          <w:szCs w:val="32"/>
        </w:rPr>
      </w:pPr>
      <w:r>
        <w:rPr>
          <w:rFonts w:hint="eastAsia" w:ascii="方正仿宋_GBK" w:eastAsia="方正仿宋_GBK" w:cs="方正仿宋简体" w:hAnsiTheme="majorEastAsia"/>
          <w:bCs/>
          <w:sz w:val="32"/>
          <w:szCs w:val="32"/>
        </w:rPr>
        <w:t>（解释本单位决算报表中涉及的全部功能分类科目至项级，不涉及的科目请自行删除。请参照《2023年政府收支分类科目》增减内容。）</w:t>
      </w:r>
    </w:p>
    <w:p>
      <w:pPr>
        <w:pStyle w:val="25"/>
        <w:spacing w:line="560" w:lineRule="exact"/>
        <w:ind w:firstLine="640" w:firstLineChars="200"/>
        <w:rPr>
          <w:rFonts w:ascii="方正仿宋_GBK" w:eastAsia="方正仿宋_GBK" w:cs="黑体"/>
          <w:color w:val="auto"/>
          <w:sz w:val="32"/>
          <w:szCs w:val="32"/>
        </w:rPr>
      </w:pPr>
    </w:p>
    <w:p>
      <w:pPr>
        <w:spacing w:line="600" w:lineRule="exact"/>
        <w:jc w:val="center"/>
        <w:outlineLvl w:val="0"/>
        <w:rPr>
          <w:rFonts w:hint="eastAsia" w:ascii="方正仿宋_GBK" w:eastAsia="方正仿宋_GBK"/>
          <w:b/>
          <w:sz w:val="44"/>
          <w:szCs w:val="44"/>
        </w:rPr>
      </w:pPr>
      <w:bookmarkStart w:id="51" w:name="_Toc15377226"/>
    </w:p>
    <w:p>
      <w:pPr>
        <w:pStyle w:val="3"/>
        <w:jc w:val="center"/>
        <w:rPr>
          <w:rFonts w:ascii="黑体" w:hAnsi="黑体" w:eastAsia="黑体"/>
          <w:b w:val="0"/>
        </w:rPr>
      </w:pPr>
      <w:r>
        <w:rPr>
          <w:rFonts w:hint="eastAsia" w:ascii="方正仿宋_GBK" w:eastAsia="方正仿宋_GBK"/>
          <w:b/>
          <w:sz w:val="44"/>
          <w:szCs w:val="44"/>
        </w:rPr>
        <w:br w:type="page"/>
      </w:r>
      <w:bookmarkStart w:id="52" w:name="_Toc15396618"/>
      <w:r>
        <w:rPr>
          <w:rFonts w:hint="eastAsia" w:ascii="黑体" w:hAnsi="黑体" w:eastAsia="黑体"/>
          <w:b w:val="0"/>
        </w:rPr>
        <w:t>第四部分 附件</w:t>
      </w:r>
    </w:p>
    <w:p/>
    <w:p>
      <w:pPr>
        <w:keepNext w:val="0"/>
        <w:keepLines w:val="0"/>
        <w:pageBreakBefore w:val="0"/>
        <w:widowControl/>
        <w:kinsoku/>
        <w:wordWrap/>
        <w:overflowPunct/>
        <w:topLinePunct w:val="0"/>
        <w:autoSpaceDE/>
        <w:autoSpaceDN/>
        <w:bidi w:val="0"/>
        <w:spacing w:line="578" w:lineRule="exact"/>
        <w:contextualSpacing/>
        <w:jc w:val="center"/>
        <w:textAlignment w:val="auto"/>
        <w:rPr>
          <w:rFonts w:hint="eastAsia" w:ascii="方正小标宋简体" w:hAnsi="方正小标宋简体" w:eastAsia="方正小标宋简体" w:cs="方正小标宋简体"/>
          <w:b w:val="0"/>
          <w:bCs/>
          <w:sz w:val="44"/>
          <w:szCs w:val="44"/>
          <w:shd w:val="clear" w:color="auto" w:fill="FFFFFF"/>
          <w:lang w:eastAsia="zh-CN"/>
        </w:rPr>
      </w:pPr>
      <w:r>
        <w:rPr>
          <w:rFonts w:hint="eastAsia" w:ascii="方正小标宋简体" w:hAnsi="方正小标宋简体" w:eastAsia="方正小标宋简体" w:cs="方正小标宋简体"/>
          <w:b w:val="0"/>
          <w:bCs/>
          <w:sz w:val="44"/>
          <w:szCs w:val="44"/>
          <w:shd w:val="clear" w:color="auto" w:fill="FFFFFF"/>
          <w:lang w:eastAsia="zh-CN"/>
        </w:rPr>
        <w:t>万源市旅游景区管理中心</w:t>
      </w:r>
    </w:p>
    <w:p>
      <w:pPr>
        <w:keepNext w:val="0"/>
        <w:keepLines w:val="0"/>
        <w:pageBreakBefore w:val="0"/>
        <w:widowControl/>
        <w:kinsoku/>
        <w:wordWrap/>
        <w:overflowPunct/>
        <w:topLinePunct w:val="0"/>
        <w:autoSpaceDE/>
        <w:autoSpaceDN/>
        <w:bidi w:val="0"/>
        <w:spacing w:line="578" w:lineRule="exact"/>
        <w:contextualSpacing/>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部门预算绩效评价报告</w:t>
      </w:r>
    </w:p>
    <w:p>
      <w:pPr>
        <w:pStyle w:val="14"/>
        <w:rPr>
          <w:rFonts w:hint="eastAsia"/>
        </w:rPr>
      </w:pP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kern w:val="0"/>
          <w:sz w:val="32"/>
          <w:szCs w:val="32"/>
          <w:shd w:val="clear" w:color="auto" w:fill="FFFFFF"/>
          <w:lang w:val="zh-CN"/>
        </w:rPr>
        <w:t>部门（单位）基本情况</w:t>
      </w:r>
    </w:p>
    <w:p>
      <w:pPr>
        <w:keepNext w:val="0"/>
        <w:keepLines w:val="0"/>
        <w:pageBreakBefore w:val="0"/>
        <w:widowControl w:val="0"/>
        <w:numPr>
          <w:ilvl w:val="0"/>
          <w:numId w:val="0"/>
        </w:numPr>
        <w:kinsoku/>
        <w:wordWrap/>
        <w:overflowPunct/>
        <w:topLinePunct w:val="0"/>
        <w:autoSpaceDE/>
        <w:autoSpaceDN/>
        <w:bidi w:val="0"/>
        <w:spacing w:line="578" w:lineRule="exact"/>
        <w:ind w:firstLine="321" w:firstLineChars="1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eastAsia="zh-CN"/>
        </w:rPr>
        <w:t>（一）基本职能。</w:t>
      </w:r>
      <w:r>
        <w:rPr>
          <w:rFonts w:hint="eastAsia" w:ascii="方正仿宋简体" w:hAnsi="方正仿宋简体" w:eastAsia="方正仿宋简体" w:cs="方正仿宋简体"/>
          <w:b w:val="0"/>
          <w:bCs w:val="0"/>
          <w:sz w:val="32"/>
          <w:szCs w:val="32"/>
          <w:lang w:val="en-US" w:eastAsia="zh-CN"/>
        </w:rPr>
        <w:t>万源市八台山-龙潭河管理处于2012年5月成立，为市政府办公室代管的独立核算事业单位，副科级，核定事业编制数8人。2016年6月与市烟霞山-黑宝山风景旅游管理处、市大竹河风景区管理所整合，组建为市八台山-龙潭河景区管理委员会，为市旅游局管理的公益一类事业单位，不再保留市八-龙处、市烟黑处、大竹河管理所，相关资产由现单位接管；核定管委会事业编制15名，设4个内设机构。2016年8月经达州市批准更名为万源市八台山-龙潭河景区管理中心，正科级独立核算单位，2017年9月经万源市委机构编制委员会办公室批准更名为万源市旅游景区管理中心，其它机构编制保持不变，2023年末我单位实有在编人员11人。</w:t>
      </w:r>
    </w:p>
    <w:p>
      <w:pPr>
        <w:keepNext w:val="0"/>
        <w:keepLines w:val="0"/>
        <w:pageBreakBefore w:val="0"/>
        <w:widowControl w:val="0"/>
        <w:numPr>
          <w:ilvl w:val="0"/>
          <w:numId w:val="0"/>
        </w:numPr>
        <w:kinsoku/>
        <w:wordWrap/>
        <w:overflowPunct/>
        <w:topLinePunct w:val="0"/>
        <w:autoSpaceDE/>
        <w:autoSpaceDN/>
        <w:bidi w:val="0"/>
        <w:snapToGrid w:val="0"/>
        <w:spacing w:line="578"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（二）主要职责。</w:t>
      </w:r>
      <w:r>
        <w:rPr>
          <w:rFonts w:hint="eastAsia" w:ascii="方正仿宋简体" w:hAnsi="方正仿宋简体" w:eastAsia="方正仿宋简体" w:cs="方正仿宋简体"/>
          <w:b w:val="0"/>
          <w:bCs w:val="0"/>
          <w:color w:val="000000"/>
          <w:sz w:val="32"/>
          <w:szCs w:val="32"/>
          <w:lang w:eastAsia="zh-CN"/>
        </w:rPr>
        <w:t>负责组织协调八台山</w:t>
      </w:r>
      <w:r>
        <w:rPr>
          <w:rFonts w:hint="eastAsia" w:ascii="方正仿宋简体" w:hAnsi="方正仿宋简体" w:eastAsia="方正仿宋简体" w:cs="方正仿宋简体"/>
          <w:b w:val="0"/>
          <w:bCs w:val="0"/>
          <w:color w:val="000000"/>
          <w:sz w:val="32"/>
          <w:szCs w:val="32"/>
          <w:lang w:val="en-US" w:eastAsia="zh-CN"/>
        </w:rPr>
        <w:t>-龙潭河旅游综合开发等旅游园区开发建设和管理工作；负责风景旅游园区对外宣传、市场营销、对外交流合作和旅游信息化建设；负责风景旅游园区的监测及统计；负责风景旅游园区综治、维稳、信访和精神文明建设；协助做好风景旅游园区招商引资、旅游商品开发和景区质量等级申报创建等工作。</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二、部门资金收支情况</w:t>
      </w:r>
    </w:p>
    <w:p>
      <w:pPr>
        <w:ind w:firstLine="643" w:firstLineChars="200"/>
        <w:rPr>
          <w:rFonts w:ascii="仿宋_GB2312" w:eastAsia="仿宋_GB2312"/>
          <w:sz w:val="32"/>
          <w:szCs w:val="32"/>
        </w:rPr>
      </w:pPr>
      <w:r>
        <w:rPr>
          <w:rFonts w:hint="eastAsia" w:ascii="方正仿宋简体" w:hAnsi="方正仿宋简体" w:eastAsia="方正仿宋简体" w:cs="方正仿宋简体"/>
          <w:b/>
          <w:bCs/>
          <w:color w:val="000000"/>
          <w:kern w:val="0"/>
          <w:sz w:val="32"/>
          <w:szCs w:val="32"/>
          <w:shd w:val="clear" w:color="auto" w:fill="FFFFFF"/>
          <w:lang w:val="zh-CN"/>
        </w:rPr>
        <w:t>（一）收入情况。</w:t>
      </w:r>
      <w:r>
        <w:rPr>
          <w:rFonts w:hint="eastAsia" w:eastAsia="方正仿宋简体"/>
          <w:sz w:val="32"/>
          <w:szCs w:val="32"/>
          <w:lang w:eastAsia="zh-CN"/>
        </w:rPr>
        <w:t>万源市旅游景区管理中心</w:t>
      </w:r>
      <w:r>
        <w:rPr>
          <w:rFonts w:hint="eastAsia" w:ascii="仿宋_GB2312" w:eastAsia="仿宋_GB2312"/>
          <w:sz w:val="32"/>
          <w:szCs w:val="32"/>
        </w:rPr>
        <w:t>2023年年初预算收入</w:t>
      </w:r>
      <w:r>
        <w:rPr>
          <w:rFonts w:hint="eastAsia" w:ascii="仿宋_GB2312" w:eastAsia="仿宋_GB2312"/>
          <w:sz w:val="32"/>
          <w:szCs w:val="32"/>
          <w:lang w:val="en-US" w:eastAsia="zh-CN"/>
        </w:rPr>
        <w:t>134.59万元</w:t>
      </w:r>
      <w:r>
        <w:rPr>
          <w:rFonts w:hint="eastAsia" w:ascii="仿宋_GB2312" w:eastAsia="仿宋_GB2312"/>
          <w:sz w:val="32"/>
          <w:szCs w:val="32"/>
        </w:rPr>
        <w:t>、决算报表收入</w:t>
      </w:r>
      <w:r>
        <w:rPr>
          <w:rFonts w:hint="eastAsia" w:ascii="仿宋_GB2312" w:eastAsia="仿宋_GB2312"/>
          <w:sz w:val="32"/>
          <w:szCs w:val="32"/>
          <w:lang w:val="en-US" w:eastAsia="zh-CN"/>
        </w:rPr>
        <w:t>191.60万元。</w:t>
      </w:r>
    </w:p>
    <w:p>
      <w:pPr>
        <w:ind w:firstLine="643" w:firstLineChars="200"/>
        <w:rPr>
          <w:rFonts w:hint="eastAsia" w:ascii="方正仿宋简体" w:hAnsi="方正仿宋简体" w:eastAsia="方正仿宋简体" w:cs="方正仿宋简体"/>
          <w:b/>
          <w:bCs/>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lang w:val="zh-CN"/>
        </w:rPr>
        <w:t>（二）支出情况。</w:t>
      </w:r>
      <w:r>
        <w:rPr>
          <w:rFonts w:hint="eastAsia" w:eastAsia="方正仿宋简体"/>
          <w:sz w:val="32"/>
          <w:szCs w:val="32"/>
          <w:lang w:eastAsia="zh-CN"/>
        </w:rPr>
        <w:t>万源市旅游景区管理中心</w:t>
      </w:r>
      <w:r>
        <w:rPr>
          <w:rFonts w:hint="eastAsia" w:ascii="仿宋_GB2312" w:eastAsia="仿宋_GB2312"/>
          <w:sz w:val="32"/>
          <w:szCs w:val="32"/>
        </w:rPr>
        <w:t>2023年年初预算支出</w:t>
      </w:r>
      <w:r>
        <w:rPr>
          <w:rFonts w:hint="eastAsia" w:ascii="仿宋_GB2312" w:eastAsia="仿宋_GB2312"/>
          <w:sz w:val="32"/>
          <w:szCs w:val="32"/>
          <w:lang w:val="en-US" w:eastAsia="zh-CN"/>
        </w:rPr>
        <w:t>134.59万元</w:t>
      </w:r>
      <w:r>
        <w:rPr>
          <w:rFonts w:hint="eastAsia" w:ascii="仿宋_GB2312" w:eastAsia="仿宋_GB2312"/>
          <w:sz w:val="32"/>
          <w:szCs w:val="32"/>
        </w:rPr>
        <w:t>、决算报表支出</w:t>
      </w:r>
      <w:r>
        <w:rPr>
          <w:rFonts w:hint="eastAsia" w:ascii="仿宋_GB2312" w:eastAsia="仿宋_GB2312"/>
          <w:sz w:val="32"/>
          <w:szCs w:val="32"/>
          <w:lang w:val="en-US" w:eastAsia="zh-CN"/>
        </w:rPr>
        <w:t>191.60万元</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lang w:val="zh-CN"/>
        </w:rPr>
        <w:t>（三）</w:t>
      </w:r>
      <w:r>
        <w:rPr>
          <w:rFonts w:hint="eastAsia" w:ascii="方正仿宋简体" w:hAnsi="方正仿宋简体" w:eastAsia="方正仿宋简体" w:cs="方正仿宋简体"/>
          <w:b/>
          <w:sz w:val="32"/>
          <w:szCs w:val="32"/>
        </w:rPr>
        <w:t>结余分配和结转结余情况。</w:t>
      </w:r>
      <w:r>
        <w:rPr>
          <w:rFonts w:hint="eastAsia" w:ascii="方正仿宋简体" w:hAnsi="方正仿宋简体" w:eastAsia="方正仿宋简体" w:cs="方正仿宋简体"/>
          <w:sz w:val="32"/>
          <w:szCs w:val="32"/>
          <w:lang w:eastAsia="zh-CN"/>
        </w:rPr>
        <w:t>万源市旅游景区管理中心</w:t>
      </w:r>
      <w:r>
        <w:rPr>
          <w:rFonts w:hint="eastAsia" w:ascii="方正仿宋简体" w:hAnsi="方正仿宋简体" w:eastAsia="方正仿宋简体" w:cs="方正仿宋简体"/>
          <w:sz w:val="32"/>
          <w:szCs w:val="32"/>
        </w:rPr>
        <w:t>2023年决算报表</w:t>
      </w:r>
      <w:r>
        <w:rPr>
          <w:rFonts w:hint="eastAsia" w:ascii="方正仿宋简体" w:hAnsi="方正仿宋简体" w:eastAsia="方正仿宋简体" w:cs="方正仿宋简体"/>
          <w:sz w:val="32"/>
          <w:szCs w:val="32"/>
          <w:lang w:eastAsia="zh-CN"/>
        </w:rPr>
        <w:t>无</w:t>
      </w:r>
      <w:r>
        <w:rPr>
          <w:rFonts w:hint="eastAsia" w:ascii="方正仿宋简体" w:hAnsi="方正仿宋简体" w:eastAsia="方正仿宋简体" w:cs="方正仿宋简体"/>
          <w:color w:val="000000"/>
          <w:kern w:val="0"/>
          <w:sz w:val="32"/>
          <w:szCs w:val="32"/>
          <w:shd w:val="clear" w:color="auto" w:fill="FFFFFF"/>
        </w:rPr>
        <w:t>结转结余。</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简体" w:hAnsi="方正黑体简体" w:eastAsia="方正黑体简体" w:cs="方正黑体简体"/>
          <w:color w:val="000000" w:themeColor="text1"/>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三、部门预算绩效分析</w:t>
      </w:r>
    </w:p>
    <w:p>
      <w:pPr>
        <w:keepNext w:val="0"/>
        <w:keepLines w:val="0"/>
        <w:pageBreakBefore w:val="0"/>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b/>
          <w:bCs/>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lang w:val="zh-CN"/>
        </w:rPr>
        <w:t>（一）部门预算总体绩效分析。</w:t>
      </w:r>
    </w:p>
    <w:p>
      <w:pPr>
        <w:keepNext w:val="0"/>
        <w:keepLines w:val="0"/>
        <w:pageBreakBefore w:val="0"/>
        <w:kinsoku/>
        <w:wordWrap/>
        <w:overflowPunct/>
        <w:topLinePunct w:val="0"/>
        <w:autoSpaceDE/>
        <w:autoSpaceDN/>
        <w:bidi w:val="0"/>
        <w:spacing w:line="578" w:lineRule="exact"/>
        <w:ind w:firstLine="716" w:firstLineChars="224"/>
        <w:textAlignment w:val="auto"/>
        <w:rPr>
          <w:rFonts w:hint="eastAsia" w:ascii="方正仿宋简体" w:hAnsi="方正仿宋简体" w:eastAsia="方正仿宋简体" w:cs="方正仿宋简体"/>
          <w:b w:val="0"/>
          <w:bCs/>
          <w:sz w:val="32"/>
          <w:szCs w:val="32"/>
          <w:lang w:val="zh-CN"/>
        </w:rPr>
      </w:pPr>
      <w:r>
        <w:rPr>
          <w:rFonts w:hint="eastAsia" w:ascii="方正仿宋简体" w:hAnsi="方正仿宋简体" w:eastAsia="方正仿宋简体" w:cs="方正仿宋简体"/>
          <w:b w:val="0"/>
          <w:bCs/>
          <w:sz w:val="32"/>
          <w:szCs w:val="32"/>
          <w:lang w:val="zh-CN"/>
        </w:rPr>
        <w:t>本年度部门预算支出绩效运行情况良好，完成</w:t>
      </w:r>
      <w:r>
        <w:rPr>
          <w:rFonts w:hint="eastAsia" w:ascii="方正仿宋简体" w:hAnsi="方正仿宋简体" w:eastAsia="方正仿宋简体" w:cs="方正仿宋简体"/>
          <w:b w:val="0"/>
          <w:bCs/>
          <w:sz w:val="32"/>
          <w:szCs w:val="32"/>
          <w:lang w:val="zh-CN" w:eastAsia="zh-CN"/>
        </w:rPr>
        <w:t>单位</w:t>
      </w:r>
      <w:r>
        <w:rPr>
          <w:rFonts w:hint="eastAsia" w:ascii="方正仿宋简体" w:hAnsi="方正仿宋简体" w:eastAsia="方正仿宋简体" w:cs="方正仿宋简体"/>
          <w:b w:val="0"/>
          <w:bCs/>
          <w:sz w:val="32"/>
          <w:szCs w:val="32"/>
          <w:lang w:val="zh-CN"/>
        </w:rPr>
        <w:t>发展总体目标任务。</w:t>
      </w:r>
    </w:p>
    <w:p>
      <w:pPr>
        <w:pStyle w:val="14"/>
        <w:keepNext w:val="0"/>
        <w:keepLines w:val="0"/>
        <w:pageBreakBefore w:val="0"/>
        <w:kinsoku/>
        <w:wordWrap/>
        <w:overflowPunct/>
        <w:topLinePunct w:val="0"/>
        <w:autoSpaceDE/>
        <w:autoSpaceDN/>
        <w:bidi w:val="0"/>
        <w:spacing w:line="578" w:lineRule="exact"/>
        <w:ind w:left="0" w:leftChars="0" w:firstLine="643" w:firstLineChars="200"/>
        <w:textAlignment w:val="auto"/>
        <w:rPr>
          <w:rFonts w:hint="eastAsia" w:ascii="方正仿宋简体" w:hAnsi="方正仿宋简体" w:eastAsia="方正仿宋简体" w:cs="方正仿宋简体"/>
          <w:b/>
          <w:bCs/>
          <w:sz w:val="32"/>
          <w:szCs w:val="32"/>
          <w:lang w:val="zh-CN"/>
        </w:rPr>
      </w:pPr>
      <w:r>
        <w:rPr>
          <w:rFonts w:hint="eastAsia" w:ascii="方正仿宋简体" w:hAnsi="方正仿宋简体" w:eastAsia="方正仿宋简体" w:cs="方正仿宋简体"/>
          <w:b/>
          <w:bCs/>
          <w:sz w:val="32"/>
          <w:szCs w:val="32"/>
          <w:lang w:val="zh-CN"/>
        </w:rPr>
        <w:t>1.履职效能。</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质量指标达到以下目标：按时发放职工工资、津补贴、绩效工资；按时交纳医保、社保、住房公积金等。</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社会效益指标达到以下目标：保证单位正常运转，单位工作顺利开展。</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满意度指标达到以下目标：景区宣传、管理处理投诉游客满意度95%。</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b/>
          <w:bCs/>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lang w:val="en-US" w:eastAsia="zh-CN"/>
        </w:rPr>
        <w:t>2.</w:t>
      </w:r>
      <w:r>
        <w:rPr>
          <w:rFonts w:hint="eastAsia" w:ascii="方正仿宋简体" w:hAnsi="方正仿宋简体" w:eastAsia="方正仿宋简体" w:cs="方正仿宋简体"/>
          <w:b/>
          <w:bCs/>
          <w:color w:val="000000"/>
          <w:kern w:val="0"/>
          <w:sz w:val="32"/>
          <w:szCs w:val="32"/>
          <w:shd w:val="clear" w:color="auto" w:fill="FFFFFF"/>
          <w:lang w:val="zh-CN"/>
        </w:rPr>
        <w:t>预算管理。</w:t>
      </w:r>
    </w:p>
    <w:p>
      <w:pPr>
        <w:pStyle w:val="14"/>
        <w:keepNext w:val="0"/>
        <w:keepLines w:val="0"/>
        <w:pageBreakBefore w:val="0"/>
        <w:numPr>
          <w:ilvl w:val="0"/>
          <w:numId w:val="0"/>
        </w:numPr>
        <w:kinsoku/>
        <w:wordWrap/>
        <w:overflowPunct/>
        <w:topLinePunct w:val="0"/>
        <w:autoSpaceDE/>
        <w:autoSpaceDN/>
        <w:bidi w:val="0"/>
        <w:spacing w:line="578" w:lineRule="exact"/>
        <w:ind w:firstLine="640" w:firstLineChars="20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我中心严格按照年初预算下达指标开展单位各项工作，按照支出执行进度支付，预算年终无结转结余。</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color w:val="000000"/>
          <w:kern w:val="0"/>
          <w:sz w:val="32"/>
          <w:szCs w:val="32"/>
          <w:shd w:val="clear" w:color="auto" w:fill="FFFFFF"/>
          <w:lang w:val="zh-CN"/>
        </w:rPr>
        <w:t>财务管理。</w:t>
      </w:r>
      <w:r>
        <w:rPr>
          <w:rFonts w:hint="eastAsia" w:ascii="方正仿宋简体" w:hAnsi="方正仿宋简体" w:eastAsia="方正仿宋简体" w:cs="方正仿宋简体"/>
          <w:color w:val="000000"/>
          <w:kern w:val="0"/>
          <w:sz w:val="32"/>
          <w:szCs w:val="32"/>
          <w:shd w:val="clear" w:color="auto" w:fill="FFFFFF"/>
          <w:lang w:val="zh-CN"/>
        </w:rPr>
        <w:t>我中心严格按照内部控制制度进行资金支付等，职工工资、津补贴、绩效工资、医保、社保、住房公积金按时交纳，未出现不按时发放职工工资及保险、公积金不按时交纳的情况，中心后勤保障工作顺利开展。中心景区宣传管理工作及处理游客投诉工作等顺利开展。</w:t>
      </w:r>
    </w:p>
    <w:p>
      <w:pPr>
        <w:keepNext w:val="0"/>
        <w:keepLines w:val="0"/>
        <w:pageBreakBefore w:val="0"/>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rPr>
        <w:t>4.</w:t>
      </w:r>
      <w:r>
        <w:rPr>
          <w:rFonts w:hint="eastAsia" w:ascii="方正仿宋简体" w:hAnsi="方正仿宋简体" w:eastAsia="方正仿宋简体" w:cs="方正仿宋简体"/>
          <w:b/>
          <w:bCs/>
          <w:color w:val="000000"/>
          <w:kern w:val="0"/>
          <w:sz w:val="32"/>
          <w:szCs w:val="32"/>
          <w:shd w:val="clear" w:color="auto" w:fill="FFFFFF"/>
          <w:lang w:val="zh-CN"/>
        </w:rPr>
        <w:t>资产管理。</w:t>
      </w:r>
      <w:r>
        <w:rPr>
          <w:rFonts w:hint="eastAsia" w:ascii="方正仿宋简体" w:hAnsi="方正仿宋简体" w:eastAsia="方正仿宋简体" w:cs="方正仿宋简体"/>
          <w:color w:val="000000"/>
          <w:kern w:val="0"/>
          <w:sz w:val="32"/>
          <w:szCs w:val="32"/>
          <w:shd w:val="clear" w:color="auto" w:fill="FFFFFF"/>
          <w:lang w:val="zh-CN"/>
        </w:rPr>
        <w:t>无。</w:t>
      </w:r>
    </w:p>
    <w:p>
      <w:pPr>
        <w:keepNext w:val="0"/>
        <w:keepLines w:val="0"/>
        <w:pageBreakBefore w:val="0"/>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rPr>
        <w:t>5.</w:t>
      </w:r>
      <w:r>
        <w:rPr>
          <w:rFonts w:hint="eastAsia" w:ascii="方正仿宋简体" w:hAnsi="方正仿宋简体" w:eastAsia="方正仿宋简体" w:cs="方正仿宋简体"/>
          <w:b/>
          <w:bCs/>
          <w:color w:val="000000"/>
          <w:kern w:val="0"/>
          <w:sz w:val="32"/>
          <w:szCs w:val="32"/>
          <w:shd w:val="clear" w:color="auto" w:fill="FFFFFF"/>
          <w:lang w:val="zh-CN"/>
        </w:rPr>
        <w:t>采购管理。</w:t>
      </w:r>
      <w:r>
        <w:rPr>
          <w:rFonts w:hint="eastAsia" w:ascii="方正仿宋简体" w:hAnsi="方正仿宋简体" w:eastAsia="方正仿宋简体" w:cs="方正仿宋简体"/>
          <w:color w:val="000000"/>
          <w:kern w:val="0"/>
          <w:sz w:val="32"/>
          <w:szCs w:val="32"/>
          <w:shd w:val="clear" w:color="auto" w:fill="FFFFFF"/>
          <w:lang w:val="zh-CN"/>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rPr>
      </w:pPr>
      <w:r>
        <w:rPr>
          <w:rFonts w:hint="eastAsia" w:ascii="方正仿宋简体" w:hAnsi="方正仿宋简体" w:eastAsia="方正仿宋简体" w:cs="方正仿宋简体"/>
          <w:b/>
          <w:bCs/>
          <w:color w:val="000000"/>
          <w:kern w:val="0"/>
          <w:sz w:val="32"/>
          <w:szCs w:val="32"/>
          <w:shd w:val="clear" w:color="auto" w:fill="FFFFFF"/>
          <w:lang w:val="zh-CN"/>
        </w:rPr>
        <w:t>（二）部门预算项目绩效分析。</w:t>
      </w:r>
    </w:p>
    <w:p>
      <w:pPr>
        <w:keepNext w:val="0"/>
        <w:keepLines w:val="0"/>
        <w:pageBreakBefore w:val="0"/>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color w:val="000000"/>
          <w:kern w:val="0"/>
          <w:sz w:val="32"/>
          <w:szCs w:val="32"/>
          <w:shd w:val="clear" w:color="auto" w:fill="FFFFFF"/>
        </w:rPr>
        <w:t>常年项目绩效分析。</w:t>
      </w:r>
      <w:r>
        <w:rPr>
          <w:rFonts w:hint="eastAsia" w:ascii="方正仿宋简体" w:hAnsi="方正仿宋简体" w:eastAsia="方正仿宋简体" w:cs="方正仿宋简体"/>
          <w:color w:val="000000"/>
          <w:kern w:val="0"/>
          <w:sz w:val="32"/>
          <w:szCs w:val="32"/>
          <w:shd w:val="clear" w:color="auto" w:fill="FFFFFF"/>
          <w:lang w:val="zh-CN"/>
        </w:rPr>
        <w:t>该类项目总数</w:t>
      </w:r>
      <w:r>
        <w:rPr>
          <w:rFonts w:hint="eastAsia" w:ascii="方正仿宋简体" w:hAnsi="方正仿宋简体" w:eastAsia="方正仿宋简体" w:cs="方正仿宋简体"/>
          <w:color w:val="000000"/>
          <w:kern w:val="0"/>
          <w:sz w:val="32"/>
          <w:szCs w:val="32"/>
          <w:shd w:val="clear" w:color="auto" w:fill="FFFFFF"/>
          <w:lang w:val="en-US" w:eastAsia="zh-CN"/>
        </w:rPr>
        <w:t>10</w:t>
      </w:r>
      <w:r>
        <w:rPr>
          <w:rFonts w:hint="eastAsia" w:ascii="方正仿宋简体" w:hAnsi="方正仿宋简体" w:eastAsia="方正仿宋简体" w:cs="方正仿宋简体"/>
          <w:color w:val="000000"/>
          <w:kern w:val="0"/>
          <w:sz w:val="32"/>
          <w:szCs w:val="32"/>
          <w:shd w:val="clear" w:color="auto" w:fill="FFFFFF"/>
          <w:lang w:val="zh-CN"/>
        </w:rPr>
        <w:t>个，涉及预算总金额</w:t>
      </w:r>
      <w:r>
        <w:rPr>
          <w:rFonts w:hint="eastAsia" w:ascii="方正仿宋简体" w:hAnsi="方正仿宋简体" w:eastAsia="方正仿宋简体" w:cs="方正仿宋简体"/>
          <w:color w:val="000000"/>
          <w:kern w:val="0"/>
          <w:sz w:val="32"/>
          <w:szCs w:val="32"/>
          <w:shd w:val="clear" w:color="auto" w:fill="FFFFFF"/>
          <w:lang w:val="en-US" w:eastAsia="zh-CN"/>
        </w:rPr>
        <w:t>134.6</w:t>
      </w:r>
      <w:r>
        <w:rPr>
          <w:rFonts w:hint="eastAsia" w:ascii="方正仿宋简体" w:hAnsi="方正仿宋简体" w:eastAsia="方正仿宋简体" w:cs="方正仿宋简体"/>
          <w:color w:val="000000"/>
          <w:kern w:val="0"/>
          <w:sz w:val="32"/>
          <w:szCs w:val="32"/>
          <w:shd w:val="clear" w:color="auto" w:fill="FFFFFF"/>
          <w:lang w:val="zh-CN"/>
        </w:rPr>
        <w:t>万元，1—1</w:t>
      </w:r>
      <w:r>
        <w:rPr>
          <w:rFonts w:hint="eastAsia" w:ascii="方正仿宋简体" w:hAnsi="方正仿宋简体" w:eastAsia="方正仿宋简体" w:cs="方正仿宋简体"/>
          <w:color w:val="000000"/>
          <w:kern w:val="0"/>
          <w:sz w:val="32"/>
          <w:szCs w:val="32"/>
          <w:shd w:val="clear" w:color="auto" w:fill="FFFFFF"/>
        </w:rPr>
        <w:t>2</w:t>
      </w:r>
      <w:r>
        <w:rPr>
          <w:rFonts w:hint="eastAsia" w:ascii="方正仿宋简体" w:hAnsi="方正仿宋简体" w:eastAsia="方正仿宋简体" w:cs="方正仿宋简体"/>
          <w:color w:val="000000"/>
          <w:kern w:val="0"/>
          <w:sz w:val="32"/>
          <w:szCs w:val="32"/>
          <w:shd w:val="clear" w:color="auto" w:fill="FFFFFF"/>
          <w:lang w:val="zh-CN"/>
        </w:rPr>
        <w:t>月预算执行总体进度为</w:t>
      </w:r>
      <w:r>
        <w:rPr>
          <w:rFonts w:hint="eastAsia" w:ascii="方正仿宋简体" w:hAnsi="方正仿宋简体" w:eastAsia="方正仿宋简体" w:cs="方正仿宋简体"/>
          <w:color w:val="000000"/>
          <w:kern w:val="0"/>
          <w:sz w:val="32"/>
          <w:szCs w:val="32"/>
          <w:shd w:val="clear" w:color="auto" w:fill="FFFFFF"/>
          <w:lang w:val="en-US" w:eastAsia="zh-CN"/>
        </w:rPr>
        <w:t>100</w:t>
      </w:r>
      <w:r>
        <w:rPr>
          <w:rFonts w:hint="eastAsia" w:ascii="方正仿宋简体" w:hAnsi="方正仿宋简体" w:eastAsia="方正仿宋简体" w:cs="方正仿宋简体"/>
          <w:color w:val="000000"/>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color w:val="000000"/>
          <w:kern w:val="0"/>
          <w:sz w:val="32"/>
          <w:szCs w:val="32"/>
          <w:shd w:val="clear" w:color="auto" w:fill="FFFFFF"/>
        </w:rPr>
        <w:t>阶段（一次性）项目绩效分析。</w:t>
      </w:r>
      <w:r>
        <w:rPr>
          <w:rFonts w:hint="eastAsia" w:ascii="方正仿宋简体" w:hAnsi="方正仿宋简体" w:eastAsia="方正仿宋简体" w:cs="方正仿宋简体"/>
          <w:color w:val="000000"/>
          <w:kern w:val="0"/>
          <w:sz w:val="32"/>
          <w:szCs w:val="32"/>
          <w:shd w:val="clear" w:color="auto" w:fill="FFFFFF"/>
          <w:lang w:val="zh-CN"/>
        </w:rPr>
        <w:t>该类项目总数</w:t>
      </w:r>
      <w:r>
        <w:rPr>
          <w:rFonts w:hint="eastAsia" w:ascii="方正仿宋简体" w:hAnsi="方正仿宋简体" w:eastAsia="方正仿宋简体" w:cs="方正仿宋简体"/>
          <w:color w:val="000000"/>
          <w:kern w:val="0"/>
          <w:sz w:val="32"/>
          <w:szCs w:val="32"/>
          <w:shd w:val="clear" w:color="auto" w:fill="FFFFFF"/>
          <w:lang w:val="en-US" w:eastAsia="zh-CN"/>
        </w:rPr>
        <w:t>9</w:t>
      </w:r>
      <w:r>
        <w:rPr>
          <w:rFonts w:hint="eastAsia" w:ascii="方正仿宋简体" w:hAnsi="方正仿宋简体" w:eastAsia="方正仿宋简体" w:cs="方正仿宋简体"/>
          <w:color w:val="000000"/>
          <w:kern w:val="0"/>
          <w:sz w:val="32"/>
          <w:szCs w:val="32"/>
          <w:shd w:val="clear" w:color="auto" w:fill="FFFFFF"/>
          <w:lang w:val="zh-CN"/>
        </w:rPr>
        <w:t>个，涉及预算总金额</w:t>
      </w:r>
      <w:r>
        <w:rPr>
          <w:rFonts w:hint="eastAsia" w:ascii="方正仿宋简体" w:hAnsi="方正仿宋简体" w:eastAsia="方正仿宋简体" w:cs="方正仿宋简体"/>
          <w:color w:val="000000"/>
          <w:kern w:val="0"/>
          <w:sz w:val="32"/>
          <w:szCs w:val="32"/>
          <w:shd w:val="clear" w:color="auto" w:fill="FFFFFF"/>
          <w:lang w:val="en-US" w:eastAsia="zh-CN"/>
        </w:rPr>
        <w:t>57</w:t>
      </w:r>
      <w:r>
        <w:rPr>
          <w:rFonts w:hint="eastAsia" w:ascii="方正仿宋简体" w:hAnsi="方正仿宋简体" w:eastAsia="方正仿宋简体" w:cs="方正仿宋简体"/>
          <w:color w:val="000000"/>
          <w:kern w:val="0"/>
          <w:sz w:val="32"/>
          <w:szCs w:val="32"/>
          <w:shd w:val="clear" w:color="auto" w:fill="FFFFFF"/>
          <w:lang w:val="zh-CN"/>
        </w:rPr>
        <w:t>万元，1—1</w:t>
      </w:r>
      <w:r>
        <w:rPr>
          <w:rFonts w:hint="eastAsia" w:ascii="方正仿宋简体" w:hAnsi="方正仿宋简体" w:eastAsia="方正仿宋简体" w:cs="方正仿宋简体"/>
          <w:color w:val="000000"/>
          <w:kern w:val="0"/>
          <w:sz w:val="32"/>
          <w:szCs w:val="32"/>
          <w:shd w:val="clear" w:color="auto" w:fill="FFFFFF"/>
        </w:rPr>
        <w:t>2</w:t>
      </w:r>
      <w:r>
        <w:rPr>
          <w:rFonts w:hint="eastAsia" w:ascii="方正仿宋简体" w:hAnsi="方正仿宋简体" w:eastAsia="方正仿宋简体" w:cs="方正仿宋简体"/>
          <w:color w:val="000000"/>
          <w:kern w:val="0"/>
          <w:sz w:val="32"/>
          <w:szCs w:val="32"/>
          <w:shd w:val="clear" w:color="auto" w:fill="FFFFFF"/>
          <w:lang w:val="zh-CN"/>
        </w:rPr>
        <w:t>月预算执行总体进度为</w:t>
      </w:r>
      <w:r>
        <w:rPr>
          <w:rFonts w:hint="eastAsia" w:ascii="方正仿宋简体" w:hAnsi="方正仿宋简体" w:eastAsia="方正仿宋简体" w:cs="方正仿宋简体"/>
          <w:color w:val="000000"/>
          <w:kern w:val="0"/>
          <w:sz w:val="32"/>
          <w:szCs w:val="32"/>
          <w:shd w:val="clear" w:color="auto" w:fill="FFFFFF"/>
          <w:lang w:val="en-US" w:eastAsia="zh-CN"/>
        </w:rPr>
        <w:t>100</w:t>
      </w:r>
      <w:r>
        <w:rPr>
          <w:rFonts w:hint="eastAsia" w:ascii="方正仿宋简体" w:hAnsi="方正仿宋简体" w:eastAsia="方正仿宋简体" w:cs="方正仿宋简体"/>
          <w:color w:val="000000"/>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rPr>
        <w:t>1.</w:t>
      </w:r>
      <w:r>
        <w:rPr>
          <w:rFonts w:hint="eastAsia" w:ascii="方正仿宋简体" w:hAnsi="方正仿宋简体" w:eastAsia="方正仿宋简体" w:cs="方正仿宋简体"/>
          <w:b/>
          <w:bCs/>
          <w:color w:val="000000"/>
          <w:kern w:val="0"/>
          <w:sz w:val="32"/>
          <w:szCs w:val="32"/>
          <w:shd w:val="clear" w:color="auto" w:fill="FFFFFF"/>
          <w:lang w:val="zh-CN"/>
        </w:rPr>
        <w:t>项目决策。</w:t>
      </w:r>
      <w:r>
        <w:rPr>
          <w:rFonts w:hint="eastAsia" w:ascii="方正仿宋简体" w:hAnsi="方正仿宋简体" w:eastAsia="方正仿宋简体" w:cs="方正仿宋简体"/>
          <w:color w:val="000000"/>
          <w:kern w:val="0"/>
          <w:sz w:val="32"/>
          <w:szCs w:val="32"/>
          <w:shd w:val="clear" w:color="auto" w:fill="FFFFFF"/>
          <w:lang w:val="zh-CN"/>
        </w:rPr>
        <w:t>确保八台山、龙潭河景区宣传管理工作落实到位及其他阶段性项目落实到位。</w:t>
      </w:r>
    </w:p>
    <w:p>
      <w:pPr>
        <w:keepNext w:val="0"/>
        <w:keepLines w:val="0"/>
        <w:pageBreakBefore w:val="0"/>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rPr>
        <w:t>2.项目执行</w:t>
      </w:r>
      <w:r>
        <w:rPr>
          <w:rFonts w:hint="eastAsia" w:ascii="方正仿宋简体" w:hAnsi="方正仿宋简体" w:eastAsia="方正仿宋简体" w:cs="方正仿宋简体"/>
          <w:b/>
          <w:bCs/>
          <w:color w:val="000000"/>
          <w:kern w:val="0"/>
          <w:sz w:val="32"/>
          <w:szCs w:val="32"/>
          <w:shd w:val="clear" w:color="auto" w:fill="FFFFFF"/>
          <w:lang w:val="zh-CN"/>
        </w:rPr>
        <w:t>。</w:t>
      </w:r>
      <w:r>
        <w:rPr>
          <w:rFonts w:hint="eastAsia" w:ascii="方正仿宋简体" w:hAnsi="方正仿宋简体" w:eastAsia="方正仿宋简体" w:cs="方正仿宋简体"/>
          <w:color w:val="000000"/>
          <w:kern w:val="0"/>
          <w:sz w:val="32"/>
          <w:szCs w:val="32"/>
          <w:shd w:val="clear" w:color="auto" w:fill="FFFFFF"/>
          <w:lang w:val="zh-CN"/>
        </w:rPr>
        <w:t>按时按质完成八台山、龙潭河景区宣传管理工作及其他阶段性项目。</w:t>
      </w:r>
    </w:p>
    <w:p>
      <w:pPr>
        <w:keepNext w:val="0"/>
        <w:keepLines w:val="0"/>
        <w:pageBreakBefore w:val="0"/>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rPr>
        <w:t>3.</w:t>
      </w:r>
      <w:r>
        <w:rPr>
          <w:rFonts w:hint="eastAsia" w:ascii="方正仿宋简体" w:hAnsi="方正仿宋简体" w:eastAsia="方正仿宋简体" w:cs="方正仿宋简体"/>
          <w:b/>
          <w:bCs/>
          <w:color w:val="000000"/>
          <w:kern w:val="0"/>
          <w:sz w:val="32"/>
          <w:szCs w:val="32"/>
          <w:shd w:val="clear" w:color="auto" w:fill="FFFFFF"/>
          <w:lang w:val="zh-CN"/>
        </w:rPr>
        <w:t>目标实现。</w:t>
      </w:r>
      <w:r>
        <w:rPr>
          <w:rFonts w:hint="eastAsia" w:ascii="方正仿宋简体" w:hAnsi="方正仿宋简体" w:eastAsia="方正仿宋简体" w:cs="方正仿宋简体"/>
          <w:color w:val="000000"/>
          <w:kern w:val="0"/>
          <w:sz w:val="32"/>
          <w:szCs w:val="32"/>
          <w:shd w:val="clear" w:color="auto" w:fill="FFFFFF"/>
          <w:lang w:val="zh-CN"/>
        </w:rPr>
        <w:t>通过对八台山、龙潭河景区宣传管理工作，加强了景区的管理，使景区的游客满意度提升。其他阶段性项目顺利完成。</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eastAsia="zh-CN"/>
        </w:rPr>
      </w:pPr>
      <w:r>
        <w:rPr>
          <w:rFonts w:hint="eastAsia" w:ascii="方正仿宋简体" w:hAnsi="方正仿宋简体" w:eastAsia="方正仿宋简体" w:cs="方正仿宋简体"/>
          <w:b/>
          <w:bCs/>
          <w:color w:val="000000"/>
          <w:kern w:val="0"/>
          <w:sz w:val="32"/>
          <w:szCs w:val="32"/>
          <w:shd w:val="clear" w:color="auto" w:fill="FFFFFF"/>
          <w:lang w:val="zh-CN"/>
        </w:rPr>
        <w:t>（三）重点领域绩效分析。</w:t>
      </w:r>
      <w:r>
        <w:rPr>
          <w:rFonts w:hint="eastAsia" w:ascii="方正仿宋简体" w:hAnsi="方正仿宋简体" w:eastAsia="方正仿宋简体" w:cs="方正仿宋简体"/>
          <w:b w:val="0"/>
          <w:bCs w:val="0"/>
          <w:sz w:val="32"/>
          <w:szCs w:val="32"/>
          <w:lang w:eastAsia="zh-CN"/>
        </w:rPr>
        <w:t>无</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3" w:firstLineChars="200"/>
        <w:textAlignment w:val="auto"/>
        <w:rPr>
          <w:rFonts w:hint="eastAsia" w:ascii="方正仿宋简体" w:hAnsi="方正仿宋简体" w:eastAsia="方正仿宋简体" w:cs="方正仿宋简体"/>
          <w:b w:val="0"/>
          <w:bCs w:val="0"/>
          <w:color w:val="000000"/>
          <w:kern w:val="0"/>
          <w:sz w:val="32"/>
          <w:szCs w:val="32"/>
          <w:shd w:val="clear" w:color="auto" w:fill="FFFFFF"/>
        </w:rPr>
      </w:pPr>
      <w:r>
        <w:rPr>
          <w:rFonts w:hint="eastAsia" w:ascii="方正仿宋简体" w:hAnsi="方正仿宋简体" w:eastAsia="方正仿宋简体" w:cs="方正仿宋简体"/>
          <w:b/>
          <w:bCs/>
          <w:sz w:val="32"/>
          <w:szCs w:val="32"/>
          <w:lang w:val="zh-CN"/>
        </w:rPr>
        <w:t>（四）绩效结果应用情况。</w:t>
      </w:r>
      <w:r>
        <w:rPr>
          <w:rFonts w:hint="eastAsia" w:ascii="方正仿宋简体" w:hAnsi="方正仿宋简体" w:eastAsia="方正仿宋简体" w:cs="方正仿宋简体"/>
          <w:b w:val="0"/>
          <w:bCs w:val="0"/>
          <w:sz w:val="32"/>
          <w:szCs w:val="32"/>
          <w:lang w:val="zh-CN"/>
        </w:rPr>
        <w:t>良好。</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仿宋简体" w:hAnsi="方正仿宋简体" w:eastAsia="方正仿宋简体" w:cs="方正仿宋简体"/>
          <w:b/>
          <w:bCs/>
          <w:color w:val="000000"/>
          <w:kern w:val="0"/>
          <w:sz w:val="32"/>
          <w:szCs w:val="32"/>
          <w:shd w:val="clear" w:color="auto" w:fill="FFFFFF"/>
          <w:lang w:val="zh-CN"/>
        </w:rPr>
      </w:pPr>
      <w:r>
        <w:rPr>
          <w:rFonts w:hint="eastAsia" w:ascii="方正仿宋简体" w:hAnsi="方正仿宋简体" w:eastAsia="方正仿宋简体" w:cs="方正仿宋简体"/>
          <w:b/>
          <w:bCs/>
          <w:color w:val="000000"/>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0" w:firstLineChars="200"/>
        <w:textAlignment w:val="auto"/>
        <w:rPr>
          <w:rFonts w:hint="eastAsia" w:ascii="方正仿宋简体" w:hAnsi="方正仿宋简体" w:eastAsia="方正仿宋简体" w:cs="方正仿宋简体"/>
          <w:b/>
          <w:bCs/>
          <w:color w:val="000000"/>
          <w:kern w:val="0"/>
          <w:sz w:val="32"/>
          <w:szCs w:val="32"/>
          <w:shd w:val="clear" w:color="auto" w:fill="FFFFFF"/>
        </w:rPr>
      </w:pPr>
      <w:r>
        <w:rPr>
          <w:rFonts w:hint="eastAsia" w:ascii="方正仿宋简体" w:hAnsi="方正仿宋简体" w:eastAsia="方正仿宋简体" w:cs="方正仿宋简体"/>
          <w:b w:val="0"/>
          <w:bCs/>
          <w:sz w:val="32"/>
          <w:szCs w:val="32"/>
          <w:lang w:val="en-US" w:eastAsia="zh-CN"/>
        </w:rPr>
        <w:t>本年度部门预算支出绩效情况良好，完成单位发展总体目标任务。</w:t>
      </w:r>
      <w:r>
        <w:rPr>
          <w:rFonts w:hint="eastAsia" w:ascii="方正仿宋简体" w:hAnsi="方正仿宋简体" w:eastAsia="方正仿宋简体" w:cs="方正仿宋简体"/>
          <w:kern w:val="0"/>
          <w:sz w:val="32"/>
          <w:szCs w:val="32"/>
        </w:rPr>
        <w:t>其中自评</w:t>
      </w:r>
      <w:r>
        <w:rPr>
          <w:rFonts w:hint="eastAsia" w:ascii="方正仿宋简体" w:hAnsi="方正仿宋简体" w:eastAsia="方正仿宋简体" w:cs="方正仿宋简体"/>
          <w:kern w:val="0"/>
          <w:sz w:val="32"/>
          <w:szCs w:val="32"/>
          <w:lang w:val="en-US" w:eastAsia="zh-CN"/>
        </w:rPr>
        <w:t>98</w:t>
      </w:r>
      <w:r>
        <w:rPr>
          <w:rFonts w:hint="eastAsia" w:ascii="方正仿宋简体" w:hAnsi="方正仿宋简体" w:eastAsia="方正仿宋简体" w:cs="方正仿宋简体"/>
          <w:kern w:val="0"/>
          <w:sz w:val="32"/>
          <w:szCs w:val="32"/>
        </w:rPr>
        <w:t>得分。</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3"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bCs/>
          <w:color w:val="000000"/>
          <w:kern w:val="0"/>
          <w:sz w:val="32"/>
          <w:szCs w:val="32"/>
          <w:shd w:val="clear" w:color="auto" w:fill="FFFFFF"/>
          <w:lang w:val="zh-CN"/>
        </w:rPr>
        <w:t>（二）存在问题。</w:t>
      </w:r>
      <w:r>
        <w:rPr>
          <w:rFonts w:hint="eastAsia" w:ascii="方正仿宋简体" w:hAnsi="方正仿宋简体" w:eastAsia="方正仿宋简体" w:cs="方正仿宋简体"/>
          <w:b w:val="0"/>
          <w:bCs/>
          <w:sz w:val="32"/>
          <w:szCs w:val="32"/>
          <w:lang w:val="en-US" w:eastAsia="zh-CN"/>
        </w:rPr>
        <w:t>各相关股室对绩效评价的认识有待进一步提高；支出绩效评价指标体系不完善，给考核评价及评分工作带来一定的困难。</w:t>
      </w:r>
    </w:p>
    <w:p>
      <w:pPr>
        <w:keepNext w:val="0"/>
        <w:keepLines w:val="0"/>
        <w:pageBreakBefore w:val="0"/>
        <w:widowControl w:val="0"/>
        <w:kinsoku/>
        <w:wordWrap/>
        <w:overflowPunct/>
        <w:topLinePunct w:val="0"/>
        <w:autoSpaceDE/>
        <w:autoSpaceDN/>
        <w:bidi w:val="0"/>
        <w:adjustRightInd w:val="0"/>
        <w:snapToGrid w:val="0"/>
        <w:spacing w:after="0" w:line="578" w:lineRule="exact"/>
        <w:ind w:firstLine="643" w:firstLineChars="200"/>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bCs/>
          <w:color w:val="000000"/>
          <w:kern w:val="0"/>
          <w:sz w:val="32"/>
          <w:szCs w:val="32"/>
          <w:shd w:val="clear" w:color="auto" w:fill="FFFFFF"/>
          <w:lang w:val="zh-CN"/>
        </w:rPr>
        <w:t>（三）改进建议。</w:t>
      </w:r>
      <w:r>
        <w:rPr>
          <w:rFonts w:hint="eastAsia" w:ascii="方正仿宋简体" w:hAnsi="方正仿宋简体" w:eastAsia="方正仿宋简体" w:cs="方正仿宋简体"/>
          <w:b w:val="0"/>
          <w:bCs/>
          <w:sz w:val="32"/>
          <w:szCs w:val="32"/>
          <w:lang w:val="en-US" w:eastAsia="zh-CN"/>
        </w:rPr>
        <w:t>加强各股室对绩效评价的认识；在实施阶段，做好监督，跟踪管理；实施后及时总结自评。</w:t>
      </w:r>
    </w:p>
    <w:p>
      <w:pPr>
        <w:keepNext w:val="0"/>
        <w:keepLines w:val="0"/>
        <w:pageBreakBefore w:val="0"/>
        <w:kinsoku/>
        <w:wordWrap/>
        <w:overflowPunct/>
        <w:topLinePunct w:val="0"/>
        <w:autoSpaceDE/>
        <w:autoSpaceDN/>
        <w:bidi w:val="0"/>
        <w:spacing w:line="578" w:lineRule="exact"/>
        <w:contextualSpacing/>
        <w:textAlignment w:val="auto"/>
        <w:rPr>
          <w:rFonts w:hint="eastAsia" w:ascii="方正仿宋简体" w:hAnsi="方正仿宋简体" w:eastAsia="方正仿宋简体" w:cs="方正仿宋简体"/>
          <w:sz w:val="32"/>
          <w:szCs w:val="32"/>
        </w:rPr>
      </w:pPr>
    </w:p>
    <w:p>
      <w:pPr>
        <w:spacing w:line="600" w:lineRule="exact"/>
        <w:jc w:val="center"/>
        <w:outlineLvl w:val="0"/>
        <w:rPr>
          <w:rFonts w:hint="eastAsia" w:ascii="黑体" w:hAnsi="黑体" w:eastAsia="黑体"/>
          <w:sz w:val="44"/>
          <w:szCs w:val="44"/>
        </w:rPr>
      </w:pPr>
      <w:r>
        <w:rPr>
          <w:rFonts w:hint="eastAsia" w:ascii="方正仿宋简体" w:hAnsi="方正仿宋简体" w:eastAsia="方正仿宋简体" w:cs="方正仿宋简体"/>
          <w:sz w:val="32"/>
          <w:szCs w:val="32"/>
          <w:lang w:val="zh-CN"/>
        </w:rPr>
        <w:t>附表：</w:t>
      </w:r>
      <w:r>
        <w:rPr>
          <w:rFonts w:hint="eastAsia" w:ascii="方正仿宋简体" w:hAnsi="方正仿宋简体" w:eastAsia="方正仿宋简体" w:cs="方正仿宋简体"/>
          <w:sz w:val="32"/>
          <w:szCs w:val="32"/>
        </w:rPr>
        <w:t>部门</w:t>
      </w:r>
      <w:r>
        <w:rPr>
          <w:rFonts w:hint="eastAsia" w:ascii="方正仿宋简体" w:hAnsi="方正仿宋简体" w:eastAsia="方正仿宋简体" w:cs="方正仿宋简体"/>
          <w:sz w:val="32"/>
          <w:szCs w:val="32"/>
          <w:lang w:val="zh-CN"/>
        </w:rPr>
        <w:t>预算项目支出绩效自评表（2023年度）</w:t>
      </w: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14"/>
        <w:rPr>
          <w:rFonts w:hint="eastAsia" w:ascii="黑体" w:hAnsi="黑体" w:eastAsia="黑体"/>
          <w:sz w:val="44"/>
          <w:szCs w:val="44"/>
        </w:rPr>
      </w:pPr>
    </w:p>
    <w:p>
      <w:pPr>
        <w:pStyle w:val="14"/>
        <w:rPr>
          <w:rFonts w:hint="eastAsia" w:ascii="黑体" w:hAnsi="黑体" w:eastAsia="黑体"/>
          <w:sz w:val="44"/>
          <w:szCs w:val="44"/>
        </w:rPr>
      </w:pPr>
    </w:p>
    <w:p>
      <w:pPr>
        <w:pStyle w:val="14"/>
        <w:rPr>
          <w:rFonts w:hint="eastAsia" w:ascii="黑体" w:hAnsi="黑体" w:eastAsia="黑体"/>
          <w:sz w:val="44"/>
          <w:szCs w:val="44"/>
        </w:rPr>
      </w:pPr>
    </w:p>
    <w:p>
      <w:pPr>
        <w:pStyle w:val="14"/>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rPr>
      </w:pPr>
    </w:p>
    <w:p>
      <w:pPr>
        <w:pStyle w:val="14"/>
        <w:rPr>
          <w:rFonts w:hint="eastAsia"/>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2"/>
      <w:bookmarkStart w:id="53" w:name="_Toc15396619"/>
    </w:p>
    <w:p>
      <w:pPr>
        <w:pStyle w:val="4"/>
        <w:rPr>
          <w:rFonts w:ascii="方正仿宋_GBK" w:eastAsia="方正仿宋_GBK" w:cs="方正仿宋简体" w:hAnsiTheme="majorEastAsia"/>
        </w:rPr>
      </w:pPr>
      <w:r>
        <w:rPr>
          <w:rFonts w:hint="eastAsia" w:ascii="方正仿宋_GBK" w:eastAsia="方正仿宋_GBK" w:cs="方正仿宋简体" w:hAnsiTheme="majorEastAsia"/>
          <w:b w:val="0"/>
        </w:rPr>
        <w:t>一、收</w:t>
      </w:r>
      <w:r>
        <w:rPr>
          <w:rStyle w:val="28"/>
          <w:rFonts w:hint="eastAsia" w:ascii="方正仿宋_GBK" w:eastAsia="方正仿宋_GBK" w:cs="方正仿宋简体" w:hAnsiTheme="majorEastAsia"/>
          <w:b w:val="0"/>
          <w:bCs w:val="0"/>
        </w:rPr>
        <w:t>入支出决算总表</w:t>
      </w:r>
      <w:bookmarkEnd w:id="53"/>
    </w:p>
    <w:p>
      <w:pPr>
        <w:pStyle w:val="4"/>
        <w:rPr>
          <w:rFonts w:ascii="方正仿宋_GBK" w:eastAsia="方正仿宋_GBK" w:cs="方正仿宋简体" w:hAnsiTheme="majorEastAsia"/>
        </w:rPr>
      </w:pPr>
      <w:bookmarkStart w:id="54" w:name="_Toc15396620"/>
      <w:r>
        <w:rPr>
          <w:rFonts w:hint="eastAsia" w:ascii="方正仿宋_GBK" w:eastAsia="方正仿宋_GBK" w:cs="方正仿宋简体" w:hAnsiTheme="majorEastAsia"/>
          <w:b w:val="0"/>
        </w:rPr>
        <w:t>二、收</w:t>
      </w:r>
      <w:r>
        <w:rPr>
          <w:rStyle w:val="28"/>
          <w:rFonts w:hint="eastAsia" w:ascii="方正仿宋_GBK" w:eastAsia="方正仿宋_GBK" w:cs="方正仿宋简体" w:hAnsiTheme="majorEastAsia"/>
          <w:b w:val="0"/>
          <w:bCs w:val="0"/>
        </w:rPr>
        <w:t>入决算表</w:t>
      </w:r>
      <w:bookmarkEnd w:id="54"/>
    </w:p>
    <w:p>
      <w:pPr>
        <w:pStyle w:val="4"/>
        <w:rPr>
          <w:rFonts w:ascii="方正仿宋_GBK" w:eastAsia="方正仿宋_GBK" w:cs="方正仿宋简体" w:hAnsiTheme="majorEastAsia"/>
        </w:rPr>
      </w:pPr>
      <w:bookmarkStart w:id="55" w:name="_Toc15396621"/>
      <w:r>
        <w:rPr>
          <w:rStyle w:val="28"/>
          <w:rFonts w:hint="eastAsia" w:ascii="方正仿宋_GBK" w:eastAsia="方正仿宋_GBK" w:cs="方正仿宋简体" w:hAnsiTheme="majorEastAsia"/>
          <w:b w:val="0"/>
          <w:bCs w:val="0"/>
        </w:rPr>
        <w:t>三、</w:t>
      </w:r>
      <w:r>
        <w:rPr>
          <w:rFonts w:hint="eastAsia" w:ascii="方正仿宋_GBK" w:eastAsia="方正仿宋_GBK" w:cs="方正仿宋简体" w:hAnsiTheme="majorEastAsia"/>
          <w:b w:val="0"/>
        </w:rPr>
        <w:t>支</w:t>
      </w:r>
      <w:r>
        <w:rPr>
          <w:rStyle w:val="28"/>
          <w:rFonts w:hint="eastAsia" w:ascii="方正仿宋_GBK" w:eastAsia="方正仿宋_GBK" w:cs="方正仿宋简体" w:hAnsiTheme="majorEastAsia"/>
          <w:b w:val="0"/>
          <w:bCs w:val="0"/>
        </w:rPr>
        <w:t>出决算表</w:t>
      </w:r>
      <w:bookmarkEnd w:id="55"/>
    </w:p>
    <w:p>
      <w:pPr>
        <w:pStyle w:val="4"/>
        <w:rPr>
          <w:rFonts w:ascii="方正仿宋_GBK" w:eastAsia="方正仿宋_GBK" w:cs="方正仿宋简体" w:hAnsiTheme="majorEastAsia"/>
          <w:b w:val="0"/>
        </w:rPr>
      </w:pPr>
      <w:bookmarkStart w:id="56" w:name="_Toc15396622"/>
      <w:r>
        <w:rPr>
          <w:rStyle w:val="28"/>
          <w:rFonts w:hint="eastAsia" w:ascii="方正仿宋_GBK" w:eastAsia="方正仿宋_GBK" w:cs="方正仿宋简体" w:hAnsiTheme="majorEastAsia"/>
          <w:b w:val="0"/>
          <w:bCs w:val="0"/>
        </w:rPr>
        <w:t>四、</w:t>
      </w:r>
      <w:r>
        <w:rPr>
          <w:rFonts w:hint="eastAsia" w:ascii="方正仿宋_GBK" w:eastAsia="方正仿宋_GBK" w:cs="方正仿宋简体" w:hAnsiTheme="majorEastAsia"/>
          <w:b w:val="0"/>
        </w:rPr>
        <w:t>财</w:t>
      </w:r>
      <w:r>
        <w:rPr>
          <w:rStyle w:val="28"/>
          <w:rFonts w:hint="eastAsia" w:ascii="方正仿宋_GBK" w:eastAsia="方正仿宋_GBK" w:cs="方正仿宋简体" w:hAnsiTheme="majorEastAsia"/>
          <w:b w:val="0"/>
          <w:bCs w:val="0"/>
        </w:rPr>
        <w:t>政拨款收入支出决算总表</w:t>
      </w:r>
      <w:bookmarkEnd w:id="56"/>
    </w:p>
    <w:p>
      <w:pPr>
        <w:pStyle w:val="4"/>
        <w:rPr>
          <w:rStyle w:val="28"/>
          <w:rFonts w:ascii="方正仿宋_GBK" w:eastAsia="方正仿宋_GBK" w:cs="方正仿宋简体" w:hAnsiTheme="majorEastAsia"/>
          <w:b w:val="0"/>
          <w:bCs w:val="0"/>
        </w:rPr>
      </w:pPr>
      <w:bookmarkStart w:id="57" w:name="_Toc15396623"/>
      <w:r>
        <w:rPr>
          <w:rStyle w:val="28"/>
          <w:rFonts w:hint="eastAsia" w:ascii="方正仿宋_GBK" w:eastAsia="方正仿宋_GBK" w:cs="方正仿宋简体" w:hAnsiTheme="majorEastAsia"/>
          <w:b w:val="0"/>
          <w:bCs w:val="0"/>
        </w:rPr>
        <w:t>五、</w:t>
      </w:r>
      <w:r>
        <w:rPr>
          <w:rFonts w:hint="eastAsia" w:ascii="方正仿宋_GBK" w:eastAsia="方正仿宋_GBK" w:cs="方正仿宋简体" w:hAnsiTheme="majorEastAsia"/>
          <w:b w:val="0"/>
        </w:rPr>
        <w:t>财</w:t>
      </w:r>
      <w:r>
        <w:rPr>
          <w:rStyle w:val="28"/>
          <w:rFonts w:hint="eastAsia" w:ascii="方正仿宋_GBK" w:eastAsia="方正仿宋_GBK" w:cs="方正仿宋简体" w:hAnsiTheme="majorEastAsia"/>
          <w:b w:val="0"/>
          <w:bCs w:val="0"/>
        </w:rPr>
        <w:t>政拨款支出决算明细表</w:t>
      </w:r>
      <w:bookmarkEnd w:id="57"/>
      <w:bookmarkStart w:id="58" w:name="_Toc15396624"/>
    </w:p>
    <w:p>
      <w:pPr>
        <w:pStyle w:val="4"/>
        <w:rPr>
          <w:rFonts w:ascii="方正仿宋_GBK" w:eastAsia="方正仿宋_GBK" w:cs="方正仿宋简体" w:hAnsiTheme="majorEastAsia"/>
        </w:rPr>
      </w:pPr>
      <w:r>
        <w:rPr>
          <w:rStyle w:val="28"/>
          <w:rFonts w:hint="eastAsia" w:ascii="方正仿宋_GBK" w:eastAsia="方正仿宋_GBK" w:cs="方正仿宋简体" w:hAnsiTheme="majorEastAsia"/>
          <w:b w:val="0"/>
          <w:bCs w:val="0"/>
        </w:rPr>
        <w:t>六、</w:t>
      </w:r>
      <w:r>
        <w:rPr>
          <w:rFonts w:hint="eastAsia" w:ascii="方正仿宋_GBK" w:eastAsia="方正仿宋_GBK" w:cs="方正仿宋简体" w:hAnsiTheme="majorEastAsia"/>
          <w:b w:val="0"/>
        </w:rPr>
        <w:t>一</w:t>
      </w:r>
      <w:r>
        <w:rPr>
          <w:rStyle w:val="28"/>
          <w:rFonts w:hint="eastAsia" w:ascii="方正仿宋_GBK" w:eastAsia="方正仿宋_GBK" w:cs="方正仿宋简体" w:hAnsiTheme="majorEastAsia"/>
          <w:b w:val="0"/>
          <w:bCs w:val="0"/>
        </w:rPr>
        <w:t>般公共预算财政拨款支出决算表</w:t>
      </w:r>
      <w:bookmarkEnd w:id="58"/>
    </w:p>
    <w:p>
      <w:pPr>
        <w:pStyle w:val="4"/>
        <w:rPr>
          <w:rFonts w:ascii="方正仿宋_GBK" w:eastAsia="方正仿宋_GBK" w:cs="方正仿宋简体" w:hAnsiTheme="majorEastAsia"/>
        </w:rPr>
      </w:pPr>
      <w:bookmarkStart w:id="59" w:name="_Toc15396625"/>
      <w:r>
        <w:rPr>
          <w:rStyle w:val="28"/>
          <w:rFonts w:hint="eastAsia" w:ascii="方正仿宋_GBK" w:eastAsia="方正仿宋_GBK" w:cs="方正仿宋简体" w:hAnsiTheme="majorEastAsia"/>
          <w:b w:val="0"/>
          <w:bCs w:val="0"/>
        </w:rPr>
        <w:t>七、</w:t>
      </w:r>
      <w:r>
        <w:rPr>
          <w:rFonts w:hint="eastAsia" w:ascii="方正仿宋_GBK" w:eastAsia="方正仿宋_GBK" w:cs="方正仿宋简体" w:hAnsiTheme="majorEastAsia"/>
          <w:b w:val="0"/>
        </w:rPr>
        <w:t>一</w:t>
      </w:r>
      <w:r>
        <w:rPr>
          <w:rStyle w:val="28"/>
          <w:rFonts w:hint="eastAsia" w:ascii="方正仿宋_GBK" w:eastAsia="方正仿宋_GBK" w:cs="方正仿宋简体" w:hAnsiTheme="majorEastAsia"/>
          <w:b w:val="0"/>
          <w:bCs w:val="0"/>
        </w:rPr>
        <w:t>般公共预算财政拨款支出决算明细表</w:t>
      </w:r>
      <w:bookmarkEnd w:id="59"/>
    </w:p>
    <w:p>
      <w:pPr>
        <w:pStyle w:val="4"/>
        <w:rPr>
          <w:rFonts w:ascii="方正仿宋_GBK" w:eastAsia="方正仿宋_GBK" w:cs="方正仿宋简体" w:hAnsiTheme="majorEastAsia"/>
        </w:rPr>
      </w:pPr>
      <w:bookmarkStart w:id="60" w:name="_Toc15396626"/>
      <w:r>
        <w:rPr>
          <w:rStyle w:val="28"/>
          <w:rFonts w:hint="eastAsia" w:ascii="方正仿宋_GBK" w:eastAsia="方正仿宋_GBK" w:cs="方正仿宋简体" w:hAnsiTheme="majorEastAsia"/>
          <w:b w:val="0"/>
          <w:bCs w:val="0"/>
        </w:rPr>
        <w:t>八、</w:t>
      </w:r>
      <w:r>
        <w:rPr>
          <w:rFonts w:hint="eastAsia" w:ascii="方正仿宋_GBK" w:eastAsia="方正仿宋_GBK" w:cs="方正仿宋简体" w:hAnsiTheme="majorEastAsia"/>
          <w:b w:val="0"/>
        </w:rPr>
        <w:t>一</w:t>
      </w:r>
      <w:r>
        <w:rPr>
          <w:rStyle w:val="28"/>
          <w:rFonts w:hint="eastAsia" w:ascii="方正仿宋_GBK" w:eastAsia="方正仿宋_GBK" w:cs="方正仿宋简体" w:hAnsiTheme="majorEastAsia"/>
          <w:b w:val="0"/>
          <w:bCs w:val="0"/>
        </w:rPr>
        <w:t>般公共预算财政拨款基本支出决算表</w:t>
      </w:r>
      <w:bookmarkEnd w:id="60"/>
    </w:p>
    <w:p>
      <w:pPr>
        <w:pStyle w:val="4"/>
        <w:rPr>
          <w:rFonts w:ascii="方正仿宋_GBK" w:eastAsia="方正仿宋_GBK" w:cs="方正仿宋简体" w:hAnsiTheme="majorEastAsia"/>
        </w:rPr>
      </w:pPr>
      <w:bookmarkStart w:id="61" w:name="_Toc15396627"/>
      <w:r>
        <w:rPr>
          <w:rStyle w:val="28"/>
          <w:rFonts w:hint="eastAsia" w:ascii="方正仿宋_GBK" w:eastAsia="方正仿宋_GBK" w:cs="方正仿宋简体" w:hAnsiTheme="majorEastAsia"/>
          <w:b w:val="0"/>
          <w:bCs w:val="0"/>
        </w:rPr>
        <w:t>九、</w:t>
      </w:r>
      <w:r>
        <w:rPr>
          <w:rFonts w:hint="eastAsia" w:ascii="方正仿宋_GBK" w:eastAsia="方正仿宋_GBK" w:cs="方正仿宋简体" w:hAnsiTheme="majorEastAsia"/>
          <w:b w:val="0"/>
        </w:rPr>
        <w:t>一</w:t>
      </w:r>
      <w:r>
        <w:rPr>
          <w:rStyle w:val="28"/>
          <w:rFonts w:hint="eastAsia" w:ascii="方正仿宋_GBK" w:eastAsia="方正仿宋_GBK" w:cs="方正仿宋简体" w:hAnsiTheme="majorEastAsia"/>
          <w:b w:val="0"/>
          <w:bCs w:val="0"/>
        </w:rPr>
        <w:t>般公共预算财政拨款项目支出决算表</w:t>
      </w:r>
      <w:bookmarkEnd w:id="61"/>
    </w:p>
    <w:p>
      <w:pPr>
        <w:pStyle w:val="4"/>
        <w:rPr>
          <w:rFonts w:ascii="方正仿宋_GBK" w:eastAsia="方正仿宋_GBK" w:cs="方正仿宋简体" w:hAnsiTheme="majorEastAsia"/>
        </w:rPr>
      </w:pPr>
      <w:bookmarkStart w:id="62" w:name="_Toc15396628"/>
      <w:r>
        <w:rPr>
          <w:rStyle w:val="28"/>
          <w:rFonts w:hint="eastAsia" w:ascii="方正仿宋_GBK" w:eastAsia="方正仿宋_GBK" w:cs="方正仿宋简体" w:hAnsiTheme="majorEastAsia"/>
          <w:b w:val="0"/>
          <w:bCs w:val="0"/>
        </w:rPr>
        <w:t>十、</w:t>
      </w:r>
      <w:bookmarkEnd w:id="62"/>
      <w:r>
        <w:rPr>
          <w:rFonts w:hint="eastAsia" w:ascii="方正仿宋_GBK" w:eastAsia="方正仿宋_GBK" w:cs="方正仿宋简体" w:hAnsiTheme="majorEastAsia"/>
          <w:b w:val="0"/>
        </w:rPr>
        <w:t>政</w:t>
      </w:r>
      <w:r>
        <w:rPr>
          <w:rStyle w:val="28"/>
          <w:rFonts w:hint="eastAsia" w:ascii="方正仿宋_GBK" w:eastAsia="方正仿宋_GBK" w:cs="方正仿宋简体" w:hAnsiTheme="majorEastAsia"/>
          <w:b w:val="0"/>
          <w:bCs w:val="0"/>
        </w:rPr>
        <w:t>府性基金预算财政拨款收入支出决算表</w:t>
      </w:r>
    </w:p>
    <w:p>
      <w:pPr>
        <w:pStyle w:val="4"/>
        <w:rPr>
          <w:rFonts w:ascii="方正仿宋_GBK" w:eastAsia="方正仿宋_GBK" w:cs="方正仿宋简体" w:hAnsiTheme="majorEastAsia"/>
        </w:rPr>
      </w:pPr>
      <w:bookmarkStart w:id="63" w:name="_Toc15396629"/>
      <w:r>
        <w:rPr>
          <w:rStyle w:val="28"/>
          <w:rFonts w:hint="eastAsia" w:ascii="方正仿宋_GBK" w:eastAsia="方正仿宋_GBK" w:cs="方正仿宋简体" w:hAnsiTheme="majorEastAsia"/>
          <w:b w:val="0"/>
          <w:bCs w:val="0"/>
        </w:rPr>
        <w:t>十一、</w:t>
      </w:r>
      <w:bookmarkEnd w:id="63"/>
      <w:r>
        <w:rPr>
          <w:rFonts w:hint="eastAsia" w:ascii="方正仿宋_GBK" w:eastAsia="方正仿宋_GBK" w:cs="方正仿宋简体" w:hAnsiTheme="majorEastAsia"/>
          <w:b w:val="0"/>
        </w:rPr>
        <w:t>国</w:t>
      </w:r>
      <w:r>
        <w:rPr>
          <w:rStyle w:val="28"/>
          <w:rFonts w:hint="eastAsia" w:ascii="方正仿宋_GBK" w:eastAsia="方正仿宋_GBK" w:cs="方正仿宋简体" w:hAnsiTheme="majorEastAsia"/>
          <w:b w:val="0"/>
          <w:bCs w:val="0"/>
        </w:rPr>
        <w:t>有资本经营预算财政拨款收入支出决算表</w:t>
      </w:r>
    </w:p>
    <w:p>
      <w:pPr>
        <w:pStyle w:val="4"/>
        <w:rPr>
          <w:rFonts w:ascii="方正仿宋_GBK" w:eastAsia="方正仿宋_GBK" w:cs="方正仿宋简体" w:hAnsiTheme="majorEastAsia"/>
        </w:rPr>
      </w:pPr>
      <w:bookmarkStart w:id="64" w:name="_Toc15396630"/>
      <w:r>
        <w:rPr>
          <w:rStyle w:val="28"/>
          <w:rFonts w:hint="eastAsia" w:ascii="方正仿宋_GBK" w:eastAsia="方正仿宋_GBK" w:cs="方正仿宋简体" w:hAnsiTheme="majorEastAsia"/>
          <w:b w:val="0"/>
          <w:bCs w:val="0"/>
        </w:rPr>
        <w:t>十二、</w:t>
      </w:r>
      <w:bookmarkEnd w:id="64"/>
      <w:r>
        <w:rPr>
          <w:rStyle w:val="28"/>
          <w:rFonts w:hint="eastAsia" w:ascii="方正仿宋_GBK" w:eastAsia="方正仿宋_GBK" w:cs="方正仿宋简体" w:hAnsiTheme="majorEastAsia"/>
          <w:b w:val="0"/>
          <w:bCs w:val="0"/>
        </w:rPr>
        <w:t>国有资本经营预算财政拨款支出决算表</w:t>
      </w:r>
    </w:p>
    <w:p>
      <w:pPr>
        <w:pStyle w:val="4"/>
        <w:rPr>
          <w:rFonts w:ascii="方正仿宋_GBK" w:eastAsia="方正仿宋_GBK" w:cs="方正仿宋简体" w:hAnsiTheme="majorEastAsia"/>
        </w:rPr>
      </w:pPr>
      <w:bookmarkStart w:id="65" w:name="_Toc15396631"/>
      <w:r>
        <w:rPr>
          <w:rStyle w:val="28"/>
          <w:rFonts w:hint="eastAsia" w:ascii="方正仿宋_GBK" w:eastAsia="方正仿宋_GBK" w:cs="方正仿宋简体" w:hAnsiTheme="majorEastAsia"/>
          <w:b w:val="0"/>
          <w:bCs w:val="0"/>
        </w:rPr>
        <w:t>十三、</w:t>
      </w:r>
      <w:bookmarkEnd w:id="65"/>
      <w:r>
        <w:rPr>
          <w:rStyle w:val="28"/>
          <w:rFonts w:hint="eastAsia" w:ascii="方正仿宋_GBK" w:eastAsia="方正仿宋_GBK" w:cs="方正仿宋简体" w:hAnsiTheme="majorEastAsia"/>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6F0605"/>
    <w:multiLevelType w:val="singleLevel"/>
    <w:tmpl w:val="DE6F0605"/>
    <w:lvl w:ilvl="0" w:tentative="0">
      <w:start w:val="1"/>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E85F9F8B"/>
    <w:multiLevelType w:val="singleLevel"/>
    <w:tmpl w:val="E85F9F8B"/>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wZTg4Y2EzNmQ1YjJkOWQwYjQ1MjQ5NjRiZDI2YjQifQ=="/>
    <w:docVar w:name="KSO_WPS_MARK_KEY" w:val="04b8fe19-6527-411c-a32f-6891059c1227"/>
  </w:docVars>
  <w:rsids>
    <w:rsidRoot w:val="00F1361C"/>
    <w:rsid w:val="00017879"/>
    <w:rsid w:val="000222C6"/>
    <w:rsid w:val="0002549F"/>
    <w:rsid w:val="000468DB"/>
    <w:rsid w:val="000522B1"/>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3108"/>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547"/>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B7D4D"/>
    <w:rsid w:val="004E0A2D"/>
    <w:rsid w:val="004E206B"/>
    <w:rsid w:val="004E2A97"/>
    <w:rsid w:val="004E6DF7"/>
    <w:rsid w:val="004F0FBD"/>
    <w:rsid w:val="00505A47"/>
    <w:rsid w:val="00512FDA"/>
    <w:rsid w:val="00520DA0"/>
    <w:rsid w:val="005533CF"/>
    <w:rsid w:val="00556D7B"/>
    <w:rsid w:val="005664BB"/>
    <w:rsid w:val="00566FFA"/>
    <w:rsid w:val="0057481D"/>
    <w:rsid w:val="0058443A"/>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361BF"/>
    <w:rsid w:val="00641B8E"/>
    <w:rsid w:val="006440E4"/>
    <w:rsid w:val="00655FC5"/>
    <w:rsid w:val="0066343B"/>
    <w:rsid w:val="00664777"/>
    <w:rsid w:val="00671ABB"/>
    <w:rsid w:val="006748A4"/>
    <w:rsid w:val="00681A31"/>
    <w:rsid w:val="00683E73"/>
    <w:rsid w:val="006A3141"/>
    <w:rsid w:val="006A5E34"/>
    <w:rsid w:val="006B2422"/>
    <w:rsid w:val="006B2B9A"/>
    <w:rsid w:val="006C1937"/>
    <w:rsid w:val="006F020C"/>
    <w:rsid w:val="0071021A"/>
    <w:rsid w:val="007127B7"/>
    <w:rsid w:val="0071798E"/>
    <w:rsid w:val="0072067D"/>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6BF1"/>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5A1D"/>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5C27"/>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B6BC2"/>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0FC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2312"/>
    <w:rsid w:val="00F36D8F"/>
    <w:rsid w:val="00F417B1"/>
    <w:rsid w:val="00F45853"/>
    <w:rsid w:val="00F602DF"/>
    <w:rsid w:val="00F754A1"/>
    <w:rsid w:val="00F81FD9"/>
    <w:rsid w:val="00F841AA"/>
    <w:rsid w:val="00F84A94"/>
    <w:rsid w:val="00F87E96"/>
    <w:rsid w:val="00FA23E8"/>
    <w:rsid w:val="00FD3CC1"/>
    <w:rsid w:val="00FF1E02"/>
    <w:rsid w:val="00FF30B4"/>
    <w:rsid w:val="01654B19"/>
    <w:rsid w:val="02E56C17"/>
    <w:rsid w:val="03DC2831"/>
    <w:rsid w:val="081B5E94"/>
    <w:rsid w:val="083907CB"/>
    <w:rsid w:val="088C23A8"/>
    <w:rsid w:val="08B528CA"/>
    <w:rsid w:val="0992798D"/>
    <w:rsid w:val="0A2032A3"/>
    <w:rsid w:val="0B352E26"/>
    <w:rsid w:val="0B8A37D8"/>
    <w:rsid w:val="0D471AAB"/>
    <w:rsid w:val="0DE53820"/>
    <w:rsid w:val="0F5FFB2F"/>
    <w:rsid w:val="0FA850FC"/>
    <w:rsid w:val="0FFFCF60"/>
    <w:rsid w:val="1009325B"/>
    <w:rsid w:val="10C055FF"/>
    <w:rsid w:val="118107EC"/>
    <w:rsid w:val="11DD6519"/>
    <w:rsid w:val="123C33A1"/>
    <w:rsid w:val="12EB4B56"/>
    <w:rsid w:val="14300457"/>
    <w:rsid w:val="150B0085"/>
    <w:rsid w:val="162E7A29"/>
    <w:rsid w:val="1699609C"/>
    <w:rsid w:val="16BB723D"/>
    <w:rsid w:val="16FE7C3E"/>
    <w:rsid w:val="17671F2C"/>
    <w:rsid w:val="17723A3F"/>
    <w:rsid w:val="17930C2B"/>
    <w:rsid w:val="17DB7D2E"/>
    <w:rsid w:val="18015F3F"/>
    <w:rsid w:val="184112C2"/>
    <w:rsid w:val="19045E27"/>
    <w:rsid w:val="1BE8440E"/>
    <w:rsid w:val="1D155CEE"/>
    <w:rsid w:val="1E0A7206"/>
    <w:rsid w:val="1EEF04C0"/>
    <w:rsid w:val="1F1528FD"/>
    <w:rsid w:val="1FDBBF84"/>
    <w:rsid w:val="201474FC"/>
    <w:rsid w:val="20F57F95"/>
    <w:rsid w:val="22B46FD5"/>
    <w:rsid w:val="23F47AC3"/>
    <w:rsid w:val="240371BF"/>
    <w:rsid w:val="244D2425"/>
    <w:rsid w:val="25711CC6"/>
    <w:rsid w:val="25C741E6"/>
    <w:rsid w:val="276F80C0"/>
    <w:rsid w:val="27842671"/>
    <w:rsid w:val="27AB0B9E"/>
    <w:rsid w:val="29FD04D3"/>
    <w:rsid w:val="2ABE7A3E"/>
    <w:rsid w:val="2AFF09B6"/>
    <w:rsid w:val="2B4314A7"/>
    <w:rsid w:val="2CA234A8"/>
    <w:rsid w:val="2CD015A9"/>
    <w:rsid w:val="2E2F405B"/>
    <w:rsid w:val="2EFA178C"/>
    <w:rsid w:val="2EFDF86C"/>
    <w:rsid w:val="2F9D17E1"/>
    <w:rsid w:val="2FA11911"/>
    <w:rsid w:val="30B46D73"/>
    <w:rsid w:val="30E752E0"/>
    <w:rsid w:val="31462C59"/>
    <w:rsid w:val="319F7F4E"/>
    <w:rsid w:val="31EE4BBF"/>
    <w:rsid w:val="35203CE0"/>
    <w:rsid w:val="3526777C"/>
    <w:rsid w:val="356A28F1"/>
    <w:rsid w:val="357C035A"/>
    <w:rsid w:val="363501BF"/>
    <w:rsid w:val="368E000D"/>
    <w:rsid w:val="383C477A"/>
    <w:rsid w:val="383D272C"/>
    <w:rsid w:val="39AE70AB"/>
    <w:rsid w:val="3A4DCE41"/>
    <w:rsid w:val="3BCB56FA"/>
    <w:rsid w:val="3C0C0783"/>
    <w:rsid w:val="3C631CAC"/>
    <w:rsid w:val="3EE7C2F4"/>
    <w:rsid w:val="3F371B56"/>
    <w:rsid w:val="3F792ED8"/>
    <w:rsid w:val="3F9F3A96"/>
    <w:rsid w:val="3FECA4B2"/>
    <w:rsid w:val="3FF58C48"/>
    <w:rsid w:val="400F5CEF"/>
    <w:rsid w:val="40C708DC"/>
    <w:rsid w:val="40DB5718"/>
    <w:rsid w:val="412F404B"/>
    <w:rsid w:val="420853EF"/>
    <w:rsid w:val="42563AFC"/>
    <w:rsid w:val="42FF6694"/>
    <w:rsid w:val="43336751"/>
    <w:rsid w:val="46152C7B"/>
    <w:rsid w:val="47081630"/>
    <w:rsid w:val="47A22ADD"/>
    <w:rsid w:val="48BF60AB"/>
    <w:rsid w:val="493C27E9"/>
    <w:rsid w:val="496F39ED"/>
    <w:rsid w:val="49BC1417"/>
    <w:rsid w:val="49F72944"/>
    <w:rsid w:val="49FF41D3"/>
    <w:rsid w:val="4A0C632D"/>
    <w:rsid w:val="4A7A730F"/>
    <w:rsid w:val="4BE068DB"/>
    <w:rsid w:val="4BF6002B"/>
    <w:rsid w:val="4BFFC6BE"/>
    <w:rsid w:val="4C190EF0"/>
    <w:rsid w:val="4D74254E"/>
    <w:rsid w:val="4D9A1BE5"/>
    <w:rsid w:val="4ECE2238"/>
    <w:rsid w:val="51DB4B86"/>
    <w:rsid w:val="51F64DB0"/>
    <w:rsid w:val="52425D15"/>
    <w:rsid w:val="55333C3E"/>
    <w:rsid w:val="595F2076"/>
    <w:rsid w:val="5AAA5E73"/>
    <w:rsid w:val="5B2B6D6B"/>
    <w:rsid w:val="5B306CC5"/>
    <w:rsid w:val="5C802E59"/>
    <w:rsid w:val="5DE3359A"/>
    <w:rsid w:val="5E2B110A"/>
    <w:rsid w:val="5EB65F99"/>
    <w:rsid w:val="5F67802D"/>
    <w:rsid w:val="5F7DC4F2"/>
    <w:rsid w:val="5FB36814"/>
    <w:rsid w:val="5FBB8E56"/>
    <w:rsid w:val="5FC71BEC"/>
    <w:rsid w:val="5FFB5535"/>
    <w:rsid w:val="6034009E"/>
    <w:rsid w:val="636C6699"/>
    <w:rsid w:val="641A488A"/>
    <w:rsid w:val="64B05114"/>
    <w:rsid w:val="64CA39A1"/>
    <w:rsid w:val="6630652B"/>
    <w:rsid w:val="6676095F"/>
    <w:rsid w:val="69630ADE"/>
    <w:rsid w:val="69BD5F13"/>
    <w:rsid w:val="69FB0B4B"/>
    <w:rsid w:val="6ADD2651"/>
    <w:rsid w:val="6BFFE1FB"/>
    <w:rsid w:val="6C4A05C8"/>
    <w:rsid w:val="6D3B1A89"/>
    <w:rsid w:val="6DB7D8A3"/>
    <w:rsid w:val="6EC78701"/>
    <w:rsid w:val="6F7A5481"/>
    <w:rsid w:val="6FA06050"/>
    <w:rsid w:val="6FFE07A9"/>
    <w:rsid w:val="7058049F"/>
    <w:rsid w:val="70A94A88"/>
    <w:rsid w:val="71BF4EC2"/>
    <w:rsid w:val="72734D90"/>
    <w:rsid w:val="72D12394"/>
    <w:rsid w:val="73E75B71"/>
    <w:rsid w:val="7412278C"/>
    <w:rsid w:val="74FE51C8"/>
    <w:rsid w:val="75DDCDA9"/>
    <w:rsid w:val="75FF44B1"/>
    <w:rsid w:val="762244C1"/>
    <w:rsid w:val="76643CCB"/>
    <w:rsid w:val="76E84E42"/>
    <w:rsid w:val="77670518"/>
    <w:rsid w:val="777FA627"/>
    <w:rsid w:val="77DF1B5F"/>
    <w:rsid w:val="77EF2D9D"/>
    <w:rsid w:val="7958299E"/>
    <w:rsid w:val="79E7B28D"/>
    <w:rsid w:val="7ACFF0C2"/>
    <w:rsid w:val="7AEC7817"/>
    <w:rsid w:val="7AFB9108"/>
    <w:rsid w:val="7BD5340C"/>
    <w:rsid w:val="7BFB19D2"/>
    <w:rsid w:val="7BFD1750"/>
    <w:rsid w:val="7BFDAA1B"/>
    <w:rsid w:val="7CD16858"/>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D77CB"/>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a:t>
            </a:r>
            <a:r>
              <a:rPr lang="en-US" altLang="zh-CN"/>
              <a:t>2023</a:t>
            </a:r>
            <a:r>
              <a:rPr altLang="en-US"/>
              <a:t>年度收、支总计变动表</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delete val="1"/>
          </c:dLbls>
          <c:cat>
            <c:strRef>
              <c:f>Sheet1!$A$2:$A$5</c:f>
              <c:strCache>
                <c:ptCount val="4"/>
                <c:pt idx="0">
                  <c:v>收、支总计</c:v>
                </c:pt>
              </c:strCache>
            </c:strRef>
          </c:cat>
          <c:val>
            <c:numRef>
              <c:f>Sheet1!$B$2:$B$5</c:f>
              <c:numCache>
                <c:formatCode>General</c:formatCode>
                <c:ptCount val="4"/>
                <c:pt idx="0">
                  <c:v>184.44</c:v>
                </c:pt>
              </c:numCache>
            </c:numRef>
          </c:val>
        </c:ser>
        <c:ser>
          <c:idx val="1"/>
          <c:order val="1"/>
          <c:tx>
            <c:strRef>
              <c:f>Sheet1!$C$1</c:f>
              <c:strCache>
                <c:ptCount val="1"/>
                <c:pt idx="0">
                  <c:v>2023年度</c:v>
                </c:pt>
              </c:strCache>
            </c:strRef>
          </c:tx>
          <c:spPr>
            <a:solidFill>
              <a:schemeClr val="accent2"/>
            </a:solidFill>
            <a:ln>
              <a:noFill/>
            </a:ln>
            <a:effectLst/>
          </c:spPr>
          <c:invertIfNegative val="0"/>
          <c:dLbls>
            <c:delete val="1"/>
          </c:dLbls>
          <c:cat>
            <c:strRef>
              <c:f>Sheet1!$A$2:$A$5</c:f>
              <c:strCache>
                <c:ptCount val="4"/>
                <c:pt idx="0">
                  <c:v>收、支总计</c:v>
                </c:pt>
              </c:strCache>
            </c:strRef>
          </c:cat>
          <c:val>
            <c:numRef>
              <c:f>Sheet1!$C$2:$C$5</c:f>
              <c:numCache>
                <c:formatCode>General</c:formatCode>
                <c:ptCount val="4"/>
                <c:pt idx="0">
                  <c:v>191.6</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收、支总计</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12588032"/>
        <c:axId val="212589568"/>
      </c:barChart>
      <c:catAx>
        <c:axId val="2125880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589568"/>
        <c:crosses val="autoZero"/>
        <c:auto val="1"/>
        <c:lblAlgn val="ctr"/>
        <c:lblOffset val="100"/>
        <c:noMultiLvlLbl val="0"/>
      </c:catAx>
      <c:valAx>
        <c:axId val="212589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588032"/>
        <c:crosses val="autoZero"/>
        <c:crossBetween val="between"/>
      </c:valAx>
      <c:spPr>
        <a:noFill/>
        <a:ln>
          <a:noFill/>
        </a:ln>
        <a:effectLst/>
      </c:spPr>
    </c:plotArea>
    <c:legend>
      <c:legendPos val="b"/>
      <c:layout>
        <c:manualLayout>
          <c:xMode val="edge"/>
          <c:yMode val="edge"/>
          <c:x val="0.3655"/>
          <c:y val="0.909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2023年度</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一般公共预算财政拨款收入</c:v>
                </c:pt>
              </c:strCache>
            </c:strRef>
          </c:cat>
          <c:val>
            <c:numRef>
              <c:f>Sheet1!$B$2:$B$5</c:f>
              <c:numCache>
                <c:formatCode>General</c:formatCode>
                <c:ptCount val="4"/>
                <c:pt idx="0">
                  <c:v>191.6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2023年支出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c:v>
                </c:pt>
                <c:pt idx="1">
                  <c:v>项目支出</c:v>
                </c:pt>
              </c:strCache>
            </c:strRef>
          </c:cat>
          <c:val>
            <c:numRef>
              <c:f>Sheet1!$B$2:$B$5</c:f>
              <c:numCache>
                <c:formatCode>General</c:formatCode>
                <c:ptCount val="4"/>
                <c:pt idx="0">
                  <c:v>191.6</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a:t>
            </a:r>
            <a:r>
              <a:rPr lang="en-US" altLang="zh-CN"/>
              <a:t>2023</a:t>
            </a:r>
            <a:r>
              <a:rPr altLang="en-US"/>
              <a:t>年度财政拨款收、支总计图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财政拨款收、支总计</c:v>
                </c:pt>
              </c:strCache>
            </c:strRef>
          </c:cat>
          <c:val>
            <c:numRef>
              <c:f>Sheet1!$B$2:$B$5</c:f>
              <c:numCache>
                <c:formatCode>General</c:formatCode>
                <c:ptCount val="4"/>
                <c:pt idx="0">
                  <c:v>184.44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财政拨款收、支总计</c:v>
                </c:pt>
              </c:strCache>
            </c:strRef>
          </c:cat>
          <c:val>
            <c:numRef>
              <c:f>Sheet1!$C$2:$C$5</c:f>
              <c:numCache>
                <c:formatCode>General</c:formatCode>
                <c:ptCount val="4"/>
                <c:pt idx="0">
                  <c:v>191.6</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财政拨款收、支总计</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12495744"/>
        <c:axId val="212530304"/>
      </c:barChart>
      <c:catAx>
        <c:axId val="2124957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530304"/>
        <c:crosses val="autoZero"/>
        <c:auto val="1"/>
        <c:lblAlgn val="ctr"/>
        <c:lblOffset val="100"/>
        <c:noMultiLvlLbl val="0"/>
      </c:catAx>
      <c:valAx>
        <c:axId val="212530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495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a:t>
            </a:r>
            <a:r>
              <a:rPr lang="en-US" altLang="zh-CN"/>
              <a:t>2023</a:t>
            </a:r>
            <a:r>
              <a:rPr altLang="en-US"/>
              <a:t>年度一般公共预算财政拨款</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支出</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2022年度</c:v>
                </c:pt>
              </c:strCache>
            </c:strRef>
          </c:tx>
          <c:spPr>
            <a:solidFill>
              <a:schemeClr val="accent1"/>
            </a:solidFill>
            <a:ln>
              <a:noFill/>
            </a:ln>
            <a:effectLst/>
          </c:spPr>
          <c:invertIfNegative val="0"/>
          <c:dLbls>
            <c:delete val="1"/>
          </c:dLbls>
          <c:cat>
            <c:strRef>
              <c:f>Sheet1!$A$2:$A$5</c:f>
              <c:strCache>
                <c:ptCount val="4"/>
                <c:pt idx="0">
                  <c:v>一般公共财政拨款支出</c:v>
                </c:pt>
              </c:strCache>
            </c:strRef>
          </c:cat>
          <c:val>
            <c:numRef>
              <c:f>Sheet1!$B$2:$B$5</c:f>
              <c:numCache>
                <c:formatCode>General</c:formatCode>
                <c:ptCount val="4"/>
                <c:pt idx="0">
                  <c:v>184.44</c:v>
                </c:pt>
              </c:numCache>
            </c:numRef>
          </c:val>
        </c:ser>
        <c:ser>
          <c:idx val="1"/>
          <c:order val="1"/>
          <c:tx>
            <c:strRef>
              <c:f>Sheet1!$C$1</c:f>
              <c:strCache>
                <c:ptCount val="1"/>
                <c:pt idx="0">
                  <c:v>2023年度</c:v>
                </c:pt>
              </c:strCache>
            </c:strRef>
          </c:tx>
          <c:spPr>
            <a:solidFill>
              <a:schemeClr val="accent2"/>
            </a:solidFill>
            <a:ln>
              <a:noFill/>
            </a:ln>
            <a:effectLst/>
          </c:spPr>
          <c:invertIfNegative val="0"/>
          <c:dLbls>
            <c:delete val="1"/>
          </c:dLbls>
          <c:cat>
            <c:strRef>
              <c:f>Sheet1!$A$2:$A$5</c:f>
              <c:strCache>
                <c:ptCount val="4"/>
                <c:pt idx="0">
                  <c:v>一般公共财政拨款支出</c:v>
                </c:pt>
              </c:strCache>
            </c:strRef>
          </c:cat>
          <c:val>
            <c:numRef>
              <c:f>Sheet1!$C$2:$C$5</c:f>
              <c:numCache>
                <c:formatCode>General</c:formatCode>
                <c:ptCount val="4"/>
                <c:pt idx="0">
                  <c:v>191.6</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一般公共财政拨款支出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12707584"/>
        <c:axId val="212713472"/>
      </c:barChart>
      <c:catAx>
        <c:axId val="212707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713472"/>
        <c:crosses val="autoZero"/>
        <c:auto val="1"/>
        <c:lblAlgn val="ctr"/>
        <c:lblOffset val="100"/>
        <c:noMultiLvlLbl val="0"/>
      </c:catAx>
      <c:valAx>
        <c:axId val="212713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707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2023年一般公共预算财政拨款支出</a:t>
            </a:r>
          </a:p>
        </c:rich>
      </c:tx>
      <c:layout/>
      <c:overlay val="0"/>
      <c:spPr>
        <a:noFill/>
        <a:ln>
          <a:noFill/>
        </a:ln>
        <a:effectLst/>
      </c:spPr>
    </c:title>
    <c:autoTitleDeleted val="0"/>
    <c:plotArea>
      <c:layout/>
      <c:pieChart>
        <c:varyColors val="1"/>
        <c:ser>
          <c:idx val="0"/>
          <c:order val="0"/>
          <c:tx>
            <c:strRef>
              <c:f>Sheet1!$B$1</c:f>
              <c:strCache>
                <c:ptCount val="1"/>
                <c:pt idx="0">
                  <c:v>2023年</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163.1</c:v>
                </c:pt>
                <c:pt idx="1">
                  <c:v>13.09</c:v>
                </c:pt>
                <c:pt idx="2">
                  <c:v>5.6</c:v>
                </c:pt>
                <c:pt idx="3">
                  <c:v>9.82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2023年“三公”经费财政拨款支出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公务用车购置及运行维护费</c:v>
                </c:pt>
                <c:pt idx="1">
                  <c:v>公务接待费</c:v>
                </c:pt>
              </c:strCache>
            </c:strRef>
          </c:cat>
          <c:val>
            <c:numRef>
              <c:f>Sheet1!$B$2:$B$5</c:f>
              <c:numCache>
                <c:formatCode>General</c:formatCode>
                <c:ptCount val="4"/>
                <c:pt idx="0">
                  <c:v>2.9</c:v>
                </c:pt>
                <c:pt idx="1">
                  <c:v>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6345</Words>
  <Characters>6799</Characters>
  <Lines>45</Lines>
  <Paragraphs>12</Paragraphs>
  <TotalTime>69</TotalTime>
  <ScaleCrop>false</ScaleCrop>
  <LinksUpToDate>false</LinksUpToDate>
  <CharactersWithSpaces>6809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2024-11-05T07:21:00Z</dcterms:created>
  <dc:creator>曹颖</dc:creator>
  <cp:lastModifiedBy>Administrator</cp:lastModifiedBy>
  <cp:lastPrinted>2023-08-03T02:35:00Z</cp:lastPrinted>
  <dcterms:modified xsi:type="dcterms:W3CDTF">2024-11-25T07:02:06Z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538825202_btnclosed</vt:lpwstr>
  </property>
  <property fmtid="{D5CDD505-2E9C-101B-9397-08002B2CF9AE}" pid="4" name="ICV">
    <vt:lpwstr>A3B82C4578A54D6AB101C4E5EFC513FD_12</vt:lpwstr>
  </property>
</Properties>
</file>