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1B9A0">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65A4BABF">
      <w:pPr>
        <w:spacing w:line="600" w:lineRule="exact"/>
        <w:jc w:val="center"/>
        <w:outlineLvl w:val="0"/>
        <w:rPr>
          <w:rFonts w:ascii="方正小标宋简体" w:hAnsi="宋体" w:eastAsia="方正小标宋简体"/>
          <w:color w:val="auto"/>
          <w:sz w:val="72"/>
          <w:szCs w:val="72"/>
          <w:highlight w:val="none"/>
        </w:rPr>
      </w:pPr>
    </w:p>
    <w:p w14:paraId="07F5D5BB">
      <w:pPr>
        <w:spacing w:line="600" w:lineRule="exact"/>
        <w:jc w:val="center"/>
        <w:outlineLvl w:val="0"/>
        <w:rPr>
          <w:rFonts w:ascii="方正小标宋简体" w:hAnsi="宋体" w:eastAsia="方正小标宋简体"/>
          <w:color w:val="auto"/>
          <w:sz w:val="72"/>
          <w:szCs w:val="72"/>
          <w:highlight w:val="none"/>
        </w:rPr>
      </w:pPr>
    </w:p>
    <w:p w14:paraId="7D1DC204">
      <w:pPr>
        <w:spacing w:line="600" w:lineRule="exact"/>
        <w:jc w:val="center"/>
        <w:outlineLvl w:val="0"/>
        <w:rPr>
          <w:rFonts w:ascii="方正小标宋简体" w:hAnsi="宋体" w:eastAsia="方正小标宋简体"/>
          <w:color w:val="auto"/>
          <w:sz w:val="72"/>
          <w:szCs w:val="72"/>
          <w:highlight w:val="none"/>
        </w:rPr>
      </w:pPr>
    </w:p>
    <w:p w14:paraId="6E97C0D6">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bookmarkStart w:id="1" w:name="_Toc15378441"/>
      <w:bookmarkStart w:id="2" w:name="_Toc15377193"/>
      <w:bookmarkStart w:id="3" w:name="_Toc15396597"/>
      <w:bookmarkStart w:id="4" w:name="_Toc15396475"/>
      <w:bookmarkStart w:id="5" w:name="_Toc15377425"/>
      <w:r>
        <w:rPr>
          <w:rFonts w:hint="eastAsia" w:ascii="方正小标宋简体" w:hAnsi="方正小标宋简体" w:eastAsia="方正小标宋简体" w:cs="方正小标宋简体"/>
          <w:b/>
          <w:bCs/>
          <w:color w:val="auto"/>
          <w:sz w:val="72"/>
          <w:szCs w:val="72"/>
          <w:highlight w:val="none"/>
        </w:rPr>
        <w:t>20</w:t>
      </w:r>
      <w:r>
        <w:rPr>
          <w:rFonts w:hint="eastAsia" w:ascii="方正小标宋简体" w:hAnsi="方正小标宋简体" w:eastAsia="方正小标宋简体" w:cs="方正小标宋简体"/>
          <w:b/>
          <w:bCs/>
          <w:color w:val="auto"/>
          <w:sz w:val="72"/>
          <w:szCs w:val="72"/>
          <w:highlight w:val="none"/>
          <w:lang w:val="en-US" w:eastAsia="zh-CN"/>
        </w:rPr>
        <w:t>23</w:t>
      </w:r>
      <w:r>
        <w:rPr>
          <w:rFonts w:hint="eastAsia" w:ascii="方正小标宋简体" w:hAnsi="方正小标宋简体" w:eastAsia="方正小标宋简体" w:cs="方正小标宋简体"/>
          <w:b/>
          <w:bCs/>
          <w:color w:val="auto"/>
          <w:sz w:val="72"/>
          <w:szCs w:val="72"/>
          <w:highlight w:val="none"/>
        </w:rPr>
        <w:t>年度</w:t>
      </w:r>
      <w:bookmarkEnd w:id="1"/>
      <w:bookmarkEnd w:id="2"/>
      <w:bookmarkEnd w:id="3"/>
      <w:bookmarkEnd w:id="4"/>
      <w:bookmarkEnd w:id="5"/>
    </w:p>
    <w:p w14:paraId="448C4A88">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lang w:eastAsia="zh-CN"/>
        </w:rPr>
      </w:pPr>
      <w:bookmarkStart w:id="6" w:name="_Toc15396598"/>
      <w:bookmarkStart w:id="7" w:name="_Toc15378442"/>
      <w:bookmarkStart w:id="8" w:name="_Toc15377194"/>
      <w:bookmarkStart w:id="9" w:name="_Toc15396476"/>
      <w:bookmarkStart w:id="10" w:name="_Toc15377426"/>
      <w:r>
        <w:rPr>
          <w:rFonts w:hint="eastAsia" w:ascii="方正小标宋简体" w:hAnsi="方正小标宋简体" w:eastAsia="方正小标宋简体" w:cs="方正小标宋简体"/>
          <w:b/>
          <w:bCs/>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b/>
          <w:bCs/>
          <w:color w:val="auto"/>
          <w:sz w:val="72"/>
          <w:szCs w:val="72"/>
          <w:highlight w:val="none"/>
          <w:lang w:eastAsia="zh-CN"/>
        </w:rPr>
        <w:t>万源市公路养护</w:t>
      </w:r>
    </w:p>
    <w:p w14:paraId="3854E57C">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r>
        <w:rPr>
          <w:rFonts w:hint="eastAsia" w:ascii="方正小标宋简体" w:hAnsi="方正小标宋简体" w:eastAsia="方正小标宋简体" w:cs="方正小标宋简体"/>
          <w:b/>
          <w:bCs/>
          <w:color w:val="auto"/>
          <w:sz w:val="72"/>
          <w:szCs w:val="72"/>
          <w:highlight w:val="none"/>
          <w:lang w:eastAsia="zh-CN"/>
        </w:rPr>
        <w:t>管理二段</w:t>
      </w:r>
      <w:r>
        <w:rPr>
          <w:rFonts w:hint="eastAsia" w:ascii="方正小标宋简体" w:hAnsi="方正小标宋简体" w:eastAsia="方正小标宋简体" w:cs="方正小标宋简体"/>
          <w:b/>
          <w:bCs/>
          <w:color w:val="auto"/>
          <w:sz w:val="72"/>
          <w:szCs w:val="72"/>
          <w:highlight w:val="none"/>
        </w:rPr>
        <w:t>决算</w:t>
      </w:r>
      <w:bookmarkEnd w:id="6"/>
      <w:bookmarkEnd w:id="7"/>
      <w:bookmarkEnd w:id="8"/>
      <w:bookmarkEnd w:id="9"/>
      <w:bookmarkEnd w:id="10"/>
      <w:bookmarkEnd w:id="11"/>
    </w:p>
    <w:p w14:paraId="31DA8528">
      <w:pPr>
        <w:widowControl/>
        <w:jc w:val="center"/>
        <w:rPr>
          <w:rFonts w:hint="eastAsia" w:ascii="黑体" w:hAnsi="黑体" w:eastAsia="黑体"/>
          <w:color w:val="auto"/>
          <w:sz w:val="48"/>
          <w:szCs w:val="48"/>
          <w:highlight w:val="none"/>
        </w:rPr>
      </w:pPr>
    </w:p>
    <w:p w14:paraId="3D5B719E">
      <w:pPr>
        <w:widowControl/>
        <w:jc w:val="center"/>
        <w:rPr>
          <w:rFonts w:hint="eastAsia" w:ascii="黑体" w:hAnsi="黑体" w:eastAsia="黑体"/>
          <w:color w:val="auto"/>
          <w:sz w:val="48"/>
          <w:szCs w:val="48"/>
          <w:highlight w:val="none"/>
        </w:rPr>
      </w:pPr>
    </w:p>
    <w:p w14:paraId="24FB28E8">
      <w:pPr>
        <w:widowControl/>
        <w:jc w:val="center"/>
        <w:rPr>
          <w:rFonts w:hint="eastAsia" w:ascii="黑体" w:hAnsi="黑体" w:eastAsia="黑体"/>
          <w:color w:val="auto"/>
          <w:sz w:val="48"/>
          <w:szCs w:val="48"/>
          <w:highlight w:val="none"/>
        </w:rPr>
      </w:pPr>
    </w:p>
    <w:p w14:paraId="47895282">
      <w:pPr>
        <w:widowControl/>
        <w:jc w:val="center"/>
        <w:rPr>
          <w:rFonts w:hint="eastAsia" w:ascii="黑体" w:hAnsi="黑体" w:eastAsia="黑体"/>
          <w:color w:val="auto"/>
          <w:sz w:val="48"/>
          <w:szCs w:val="48"/>
          <w:highlight w:val="none"/>
        </w:rPr>
      </w:pPr>
    </w:p>
    <w:p w14:paraId="7C8781C7">
      <w:pPr>
        <w:widowControl/>
        <w:jc w:val="center"/>
        <w:rPr>
          <w:rFonts w:hint="eastAsia" w:ascii="黑体" w:hAnsi="黑体" w:eastAsia="黑体"/>
          <w:color w:val="auto"/>
          <w:sz w:val="48"/>
          <w:szCs w:val="48"/>
          <w:highlight w:val="none"/>
        </w:rPr>
      </w:pPr>
    </w:p>
    <w:p w14:paraId="2A6B9528">
      <w:pPr>
        <w:widowControl/>
        <w:jc w:val="center"/>
        <w:rPr>
          <w:rFonts w:hint="eastAsia" w:ascii="黑体" w:hAnsi="黑体" w:eastAsia="黑体"/>
          <w:color w:val="auto"/>
          <w:sz w:val="48"/>
          <w:szCs w:val="48"/>
          <w:highlight w:val="none"/>
        </w:rPr>
      </w:pPr>
    </w:p>
    <w:p w14:paraId="588F01D3">
      <w:pPr>
        <w:widowControl/>
        <w:jc w:val="center"/>
        <w:rPr>
          <w:rFonts w:hint="eastAsia" w:ascii="黑体" w:hAnsi="黑体" w:eastAsia="黑体"/>
          <w:color w:val="auto"/>
          <w:sz w:val="48"/>
          <w:szCs w:val="48"/>
          <w:highlight w:val="none"/>
        </w:rPr>
      </w:pPr>
    </w:p>
    <w:p w14:paraId="518CE68C">
      <w:pPr>
        <w:widowControl/>
        <w:jc w:val="center"/>
        <w:rPr>
          <w:rFonts w:hint="eastAsia" w:ascii="黑体" w:hAnsi="黑体" w:eastAsia="黑体"/>
          <w:color w:val="auto"/>
          <w:sz w:val="48"/>
          <w:szCs w:val="48"/>
          <w:highlight w:val="none"/>
        </w:rPr>
      </w:pPr>
    </w:p>
    <w:p w14:paraId="3E186680">
      <w:pPr>
        <w:widowControl/>
        <w:jc w:val="center"/>
        <w:rPr>
          <w:rFonts w:hint="eastAsia" w:ascii="黑体" w:hAnsi="黑体" w:eastAsia="黑体"/>
          <w:color w:val="auto"/>
          <w:sz w:val="48"/>
          <w:szCs w:val="48"/>
          <w:highlight w:val="none"/>
        </w:rPr>
      </w:pPr>
    </w:p>
    <w:p w14:paraId="44DF816C">
      <w:pPr>
        <w:widowControl/>
        <w:jc w:val="center"/>
        <w:rPr>
          <w:rFonts w:hint="eastAsia" w:ascii="黑体" w:hAnsi="黑体" w:eastAsia="黑体"/>
          <w:color w:val="auto"/>
          <w:sz w:val="48"/>
          <w:szCs w:val="48"/>
          <w:highlight w:val="none"/>
        </w:rPr>
      </w:pPr>
    </w:p>
    <w:p w14:paraId="253D96BB">
      <w:pPr>
        <w:widowControl/>
        <w:jc w:val="both"/>
        <w:rPr>
          <w:rFonts w:hint="eastAsia" w:ascii="黑体" w:hAnsi="黑体" w:eastAsia="黑体"/>
          <w:color w:val="auto"/>
          <w:sz w:val="48"/>
          <w:szCs w:val="48"/>
          <w:highlight w:val="none"/>
        </w:rPr>
      </w:pPr>
    </w:p>
    <w:p w14:paraId="6A9629C8">
      <w:pPr>
        <w:widowControl/>
        <w:jc w:val="center"/>
        <w:rPr>
          <w:rFonts w:ascii="黑体" w:hAnsi="黑体" w:eastAsia="黑体"/>
          <w:color w:val="auto"/>
          <w:sz w:val="48"/>
          <w:szCs w:val="48"/>
          <w:highlight w:val="none"/>
        </w:rPr>
      </w:pPr>
      <w:bookmarkStart w:id="12" w:name="_Toc15396599"/>
      <w:bookmarkStart w:id="13" w:name="_Toc15377196"/>
      <w:r>
        <w:rPr>
          <w:rFonts w:hint="eastAsia" w:ascii="黑体" w:hAnsi="黑体" w:eastAsia="黑体"/>
          <w:color w:val="auto"/>
          <w:sz w:val="48"/>
          <w:szCs w:val="48"/>
          <w:highlight w:val="none"/>
        </w:rPr>
        <w:t>目录</w:t>
      </w:r>
    </w:p>
    <w:p w14:paraId="504CD0AC">
      <w:pPr>
        <w:widowControl/>
        <w:jc w:val="center"/>
        <w:rPr>
          <w:rFonts w:ascii="黑体" w:hAnsi="黑体" w:eastAsia="黑体" w:cstheme="minorBidi"/>
          <w:color w:val="auto"/>
          <w:sz w:val="28"/>
          <w:szCs w:val="28"/>
          <w:highlight w:val="none"/>
        </w:rPr>
      </w:pPr>
    </w:p>
    <w:p w14:paraId="7EBE9C8C">
      <w:pPr>
        <w:pStyle w:val="9"/>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06B02B89">
      <w:pPr>
        <w:rPr>
          <w:color w:val="auto"/>
          <w:highlight w:val="none"/>
        </w:rPr>
      </w:pPr>
    </w:p>
    <w:p w14:paraId="672C04B4">
      <w:pPr>
        <w:pStyle w:val="9"/>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7FEA8F03">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........................................................................................................4</w:t>
      </w:r>
    </w:p>
    <w:p w14:paraId="10D79FC7">
      <w:pPr>
        <w:pStyle w:val="10"/>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color w:val="auto"/>
          <w:sz w:val="24"/>
          <w:highlight w:val="none"/>
          <w:lang w:val="en-US" w:eastAsia="zh-CN"/>
        </w:rPr>
        <w:t>2023年重点</w:t>
      </w:r>
      <w:r>
        <w:rPr>
          <w:rFonts w:hint="eastAsia"/>
          <w:color w:val="auto"/>
          <w:sz w:val="24"/>
          <w:highlight w:val="none"/>
        </w:rPr>
        <w:t>工作</w:t>
      </w:r>
      <w:r>
        <w:rPr>
          <w:rFonts w:hint="eastAsia"/>
          <w:color w:val="auto"/>
          <w:sz w:val="24"/>
          <w:highlight w:val="none"/>
          <w:lang w:eastAsia="zh-CN"/>
        </w:rPr>
        <w:t>完成情况</w:t>
      </w:r>
      <w:r>
        <w:rPr>
          <w:rFonts w:hint="eastAsia"/>
          <w:color w:val="auto"/>
          <w:sz w:val="24"/>
          <w:highlight w:val="none"/>
          <w:lang w:val="en-US" w:eastAsia="zh-CN"/>
        </w:rPr>
        <w:t>...........................................................................4</w:t>
      </w:r>
    </w:p>
    <w:p w14:paraId="17B0F73D">
      <w:pPr>
        <w:pStyle w:val="9"/>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36629D4E">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........................................................................6</w:t>
      </w:r>
    </w:p>
    <w:p w14:paraId="25043BF3">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........................................................................................7</w:t>
      </w:r>
    </w:p>
    <w:p w14:paraId="3030F0AB">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........................................................................................8</w:t>
      </w:r>
    </w:p>
    <w:p w14:paraId="4FC0C816">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........................................................8</w:t>
      </w:r>
    </w:p>
    <w:p w14:paraId="71A35402">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................................................10</w:t>
      </w:r>
    </w:p>
    <w:p w14:paraId="5BE3A343">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.......................................11</w:t>
      </w:r>
    </w:p>
    <w:p w14:paraId="044013DB">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...............................................11</w:t>
      </w:r>
    </w:p>
    <w:p w14:paraId="268F71A0">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...........................................................13</w:t>
      </w:r>
    </w:p>
    <w:p w14:paraId="7995BE7A">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.......................................................13</w:t>
      </w:r>
    </w:p>
    <w:p w14:paraId="12D56059">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...........................................................................16</w:t>
      </w:r>
    </w:p>
    <w:p w14:paraId="40D7F158">
      <w:pPr>
        <w:pStyle w:val="9"/>
        <w:adjustRightInd w:val="0"/>
        <w:snapToGrid w:val="0"/>
        <w:spacing w:before="0"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....................................................................................................18</w:t>
      </w:r>
    </w:p>
    <w:p w14:paraId="6DBA80CA">
      <w:pPr>
        <w:pStyle w:val="9"/>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4C4A8037">
      <w:pPr>
        <w:pStyle w:val="10"/>
        <w:adjustRightInd w:val="0"/>
        <w:snapToGrid w:val="0"/>
        <w:spacing w:line="440" w:lineRule="exact"/>
        <w:jc w:val="left"/>
        <w:rPr>
          <w:rFonts w:hint="default" w:ascii="仿宋" w:hAnsi="仿宋" w:eastAsia="宋体"/>
          <w:sz w:val="24"/>
          <w:lang w:val="en-US" w:eastAsia="zh-CN"/>
        </w:rPr>
      </w:pPr>
      <w:r>
        <w:rPr>
          <w:rFonts w:hint="eastAsia"/>
          <w:color w:val="auto"/>
          <w:sz w:val="24"/>
          <w:highlight w:val="none"/>
          <w:lang w:val="en-US" w:eastAsia="zh-CN"/>
        </w:rPr>
        <w:t xml:space="preserve">     附件1 </w:t>
      </w:r>
      <w:r>
        <w:rPr>
          <w:rFonts w:hint="default"/>
          <w:sz w:val="24"/>
          <w:lang w:val="en-US"/>
        </w:rPr>
        <w:t>.........................................................................................................</w:t>
      </w:r>
      <w:r>
        <w:rPr>
          <w:rFonts w:hint="eastAsia"/>
          <w:sz w:val="24"/>
          <w:lang w:val="en-US" w:eastAsia="zh-CN"/>
        </w:rPr>
        <w:t>19</w:t>
      </w:r>
    </w:p>
    <w:p w14:paraId="126EDA6F">
      <w:pPr>
        <w:pStyle w:val="9"/>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0E33D5A1">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417495EB">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52F744B5">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62659DFB">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466AF1E4">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五、财政拨款支出决算明细表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40EFA4E2">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...................................24</w:t>
      </w:r>
    </w:p>
    <w:p w14:paraId="228126D1">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...................................................24</w:t>
      </w:r>
    </w:p>
    <w:p w14:paraId="64A3D944">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八、一般公共预算财政拨款基本支出决算表</w:t>
      </w:r>
      <w:r>
        <w:rPr>
          <w:rFonts w:hint="eastAsia"/>
          <w:color w:val="auto"/>
          <w:sz w:val="24"/>
          <w:highlight w:val="none"/>
          <w:lang w:val="en-US" w:eastAsia="zh-CN"/>
        </w:rPr>
        <w:t>...................................................24</w:t>
      </w:r>
    </w:p>
    <w:p w14:paraId="383F8ACF">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...................................................24</w:t>
      </w:r>
    </w:p>
    <w:p w14:paraId="636B655D">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十、一般公共预算财政拨款“三公”经费支出决算表</w:t>
      </w:r>
      <w:r>
        <w:rPr>
          <w:rFonts w:hint="eastAsia"/>
          <w:color w:val="auto"/>
          <w:sz w:val="24"/>
          <w:highlight w:val="none"/>
          <w:lang w:val="en-US" w:eastAsia="zh-CN"/>
        </w:rPr>
        <w:t>....................................24</w:t>
      </w:r>
    </w:p>
    <w:p w14:paraId="5255359A">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十一、政府性基金预算财政拨款收入支出决算表</w:t>
      </w:r>
      <w:r>
        <w:rPr>
          <w:rFonts w:hint="eastAsia"/>
          <w:color w:val="auto"/>
          <w:sz w:val="24"/>
          <w:highlight w:val="none"/>
          <w:lang w:val="en-US" w:eastAsia="zh-CN"/>
        </w:rPr>
        <w:t>............................................24</w:t>
      </w:r>
    </w:p>
    <w:p w14:paraId="4294274F">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十二、政府性基金预算财政拨款“三公”经费支出决算表</w:t>
      </w:r>
      <w:r>
        <w:rPr>
          <w:rFonts w:hint="eastAsia"/>
          <w:color w:val="auto"/>
          <w:sz w:val="24"/>
          <w:highlight w:val="none"/>
          <w:lang w:val="en-US" w:eastAsia="zh-CN"/>
        </w:rPr>
        <w:t>............................24</w:t>
      </w: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lang w:val="en-US" w:eastAsia="zh-CN"/>
        </w:rPr>
        <w:t>........................................24</w:t>
      </w:r>
    </w:p>
    <w:p w14:paraId="3AC1799C">
      <w:pPr>
        <w:pStyle w:val="10"/>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十四、国有资本经营预算财政拨款支出决算表................................................24</w:t>
      </w:r>
    </w:p>
    <w:p w14:paraId="279238FF">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14:paraId="56C15445">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786A8BCF">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5"/>
          <w:rFonts w:hint="eastAsia" w:ascii="黑体" w:hAnsi="黑体" w:eastAsia="黑体"/>
          <w:b w:val="0"/>
          <w:bCs w:val="0"/>
          <w:color w:val="auto"/>
          <w:highlight w:val="none"/>
        </w:rPr>
        <w:t>概况</w:t>
      </w:r>
      <w:bookmarkEnd w:id="12"/>
      <w:bookmarkEnd w:id="13"/>
    </w:p>
    <w:p w14:paraId="139EEB9E">
      <w:pPr>
        <w:pStyle w:val="5"/>
        <w:numPr>
          <w:ilvl w:val="0"/>
          <w:numId w:val="1"/>
        </w:numPr>
        <w:rPr>
          <w:rStyle w:val="16"/>
          <w:rFonts w:hint="eastAsia" w:ascii="黑体" w:hAnsi="黑体" w:eastAsia="黑体"/>
          <w:b w:val="0"/>
          <w:bCs w:val="0"/>
          <w:color w:val="auto"/>
          <w:highlight w:val="none"/>
          <w:lang w:eastAsia="zh-CN"/>
        </w:rPr>
      </w:pPr>
      <w:bookmarkStart w:id="14" w:name="_Toc15377197"/>
      <w:bookmarkStart w:id="15" w:name="_Toc15396600"/>
      <w:r>
        <w:rPr>
          <w:rStyle w:val="16"/>
          <w:rFonts w:hint="eastAsia" w:ascii="黑体" w:hAnsi="黑体" w:eastAsia="黑体"/>
          <w:b w:val="0"/>
          <w:bCs w:val="0"/>
          <w:color w:val="auto"/>
          <w:highlight w:val="none"/>
        </w:rPr>
        <w:t>职能</w:t>
      </w:r>
      <w:r>
        <w:rPr>
          <w:rStyle w:val="16"/>
          <w:rFonts w:hint="eastAsia" w:ascii="黑体" w:hAnsi="黑体" w:eastAsia="黑体"/>
          <w:b w:val="0"/>
          <w:bCs w:val="0"/>
          <w:color w:val="auto"/>
          <w:highlight w:val="none"/>
          <w:lang w:eastAsia="zh-CN"/>
        </w:rPr>
        <w:t>简介</w:t>
      </w:r>
    </w:p>
    <w:p w14:paraId="418A4F1D">
      <w:pPr>
        <w:ind w:firstLine="660"/>
        <w:rPr>
          <w:rFonts w:hint="eastAsia" w:ascii="仿宋" w:hAnsi="仿宋" w:eastAsia="仿宋" w:cs="仿宋"/>
          <w:sz w:val="32"/>
          <w:szCs w:val="32"/>
        </w:rPr>
      </w:pPr>
      <w:r>
        <w:rPr>
          <w:rFonts w:hint="eastAsia" w:ascii="仿宋" w:hAnsi="仿宋" w:eastAsia="仿宋" w:cs="仿宋"/>
          <w:sz w:val="32"/>
          <w:szCs w:val="32"/>
        </w:rPr>
        <w:t>万源市</w:t>
      </w:r>
      <w:r>
        <w:rPr>
          <w:rFonts w:hint="eastAsia" w:ascii="仿宋" w:hAnsi="仿宋" w:eastAsia="仿宋" w:cs="仿宋"/>
          <w:sz w:val="32"/>
          <w:szCs w:val="32"/>
          <w:lang w:val="en-US" w:eastAsia="zh-CN"/>
        </w:rPr>
        <w:t>公路养护管理</w:t>
      </w:r>
      <w:r>
        <w:rPr>
          <w:rFonts w:hint="eastAsia" w:ascii="仿宋" w:hAnsi="仿宋" w:eastAsia="仿宋" w:cs="仿宋"/>
          <w:sz w:val="32"/>
          <w:szCs w:val="32"/>
        </w:rPr>
        <w:t>二段属公益一类事业单位，担负着万源市境内341.882公里道路的养护管理任务（其中国道G347官大段61.223公里，坪竹段64.9公里；城万快速通道23.175；县道XS12通小路42.63公里、县道XS05白河路45.568公里、县道X166河平路44.5公里、县道XS04双万路37.886公里；乡道老万城路21公里）。</w:t>
      </w:r>
    </w:p>
    <w:p w14:paraId="288B2971">
      <w:pPr>
        <w:ind w:firstLine="660"/>
        <w:rPr>
          <w:rFonts w:hint="eastAsia" w:ascii="仿宋" w:hAnsi="仿宋" w:eastAsia="仿宋" w:cs="仿宋"/>
          <w:sz w:val="32"/>
          <w:szCs w:val="32"/>
        </w:rPr>
      </w:pPr>
      <w:r>
        <w:rPr>
          <w:rFonts w:hint="eastAsia" w:ascii="仿宋" w:hAnsi="仿宋" w:eastAsia="仿宋" w:cs="仿宋"/>
          <w:sz w:val="32"/>
          <w:szCs w:val="32"/>
        </w:rPr>
        <w:t>我段设四股一室（综合办公室、公路股、安运股、财务股、劳资股）、五个养护站（丁家湾、喻家坝、枞树梁、鼓耳梁、龚家坝）、三条承包路（官大路、白河路、河平路）。</w:t>
      </w:r>
    </w:p>
    <w:p w14:paraId="43951414">
      <w:pPr>
        <w:ind w:firstLine="660"/>
        <w:rPr>
          <w:rFonts w:hint="eastAsia" w:ascii="仿宋" w:hAnsi="仿宋" w:eastAsia="仿宋" w:cs="仿宋"/>
          <w:sz w:val="32"/>
          <w:szCs w:val="32"/>
        </w:rPr>
      </w:pPr>
      <w:r>
        <w:rPr>
          <w:rFonts w:hint="eastAsia" w:ascii="仿宋" w:hAnsi="仿宋" w:eastAsia="仿宋" w:cs="仿宋"/>
          <w:sz w:val="32"/>
          <w:szCs w:val="32"/>
        </w:rPr>
        <w:t>我段的工作职责</w:t>
      </w:r>
      <w:r>
        <w:rPr>
          <w:rFonts w:hint="eastAsia" w:ascii="仿宋" w:hAnsi="仿宋" w:eastAsia="仿宋" w:cs="仿宋"/>
          <w:sz w:val="32"/>
          <w:szCs w:val="32"/>
          <w:lang w:eastAsia="zh-CN"/>
        </w:rPr>
        <w:t>主要是</w:t>
      </w:r>
      <w:r>
        <w:rPr>
          <w:rFonts w:hint="eastAsia" w:ascii="仿宋" w:hAnsi="仿宋" w:eastAsia="仿宋" w:cs="仿宋"/>
          <w:sz w:val="32"/>
          <w:szCs w:val="32"/>
        </w:rPr>
        <w:t>负责管养道路的日常养护、安全</w:t>
      </w:r>
      <w:r>
        <w:rPr>
          <w:rFonts w:hint="eastAsia" w:ascii="仿宋" w:hAnsi="仿宋" w:eastAsia="仿宋" w:cs="仿宋"/>
          <w:sz w:val="32"/>
          <w:szCs w:val="32"/>
          <w:lang w:eastAsia="zh-CN"/>
        </w:rPr>
        <w:t>生产</w:t>
      </w:r>
      <w:r>
        <w:rPr>
          <w:rFonts w:hint="eastAsia" w:ascii="仿宋" w:hAnsi="仿宋" w:eastAsia="仿宋" w:cs="仿宋"/>
          <w:sz w:val="32"/>
          <w:szCs w:val="32"/>
        </w:rPr>
        <w:t>、应急抢险、汛期及冰雪天气道路保通保畅，确保管养道路安全畅通，为全市经济社会发展服务。</w:t>
      </w:r>
    </w:p>
    <w:p w14:paraId="61CF0DA9">
      <w:pPr>
        <w:pStyle w:val="5"/>
        <w:numPr>
          <w:ilvl w:val="0"/>
          <w:numId w:val="0"/>
        </w:numPr>
        <w:rPr>
          <w:rFonts w:hint="eastAsia"/>
          <w:sz w:val="30"/>
          <w:szCs w:val="30"/>
        </w:rPr>
      </w:pPr>
      <w:r>
        <w:rPr>
          <w:rFonts w:hint="eastAsia" w:ascii="黑体" w:hAnsi="黑体" w:eastAsia="黑体"/>
          <w:b w:val="0"/>
          <w:color w:val="auto"/>
          <w:highlight w:val="none"/>
          <w:lang w:val="en-US" w:eastAsia="zh-CN"/>
        </w:rPr>
        <w:t>二、2023年重点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bookmarkStart w:id="68" w:name="_GoBack"/>
      <w:bookmarkEnd w:id="68"/>
    </w:p>
    <w:p w14:paraId="1E3B8EA1">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bookmarkStart w:id="16" w:name="_Toc15396602"/>
      <w:bookmarkStart w:id="17" w:name="_Toc15377204"/>
      <w:r>
        <w:rPr>
          <w:rFonts w:hint="eastAsia" w:ascii="仿宋" w:hAnsi="仿宋" w:eastAsia="仿宋" w:cs="仿宋"/>
          <w:kern w:val="2"/>
          <w:sz w:val="32"/>
          <w:szCs w:val="32"/>
          <w:lang w:val="en-US" w:eastAsia="zh-CN" w:bidi="ar-SA"/>
        </w:rPr>
        <w:t>一是紧盯中心善谋划，全力抓好安全生产。严格落实“一岗双责”，签好责任书、分好任务区、建立任务清单。画圈经营，层层压紧压实安全生产责任。二是扎实勤奋铆战位，不断夯实日常巡养。党员干部勇争先锋，做好雨前排查，雨中巡查、雨后核查，并及时建立“三本台账”，切实做到道路情况底数清。截至目前，出动巡查人次 200余人，出动车辆330次。三是心无旁骛干事业，不断强化安全底线。今年累计排查安全隐患80余处，检查桥梁100余座，增设警示牌100余个，累计清理水沟200km、清理边坡杂草230km、烂路修补约2513㎡。并及时做好汛期防汛，冬季排险等重大任务。年初冰雪天气道路结冰我段出动撒盐车21次，用盐35吨。出动抢险人员137人次，行程超17000㎞，完成抢险42次，出动抢险机械87台次，清理坍方7580m³，共计投入抢险资金30余万元。四是日夜星辰战破局，强力推进项目建设。目前正在实施的养护工程9个。</w:t>
      </w:r>
    </w:p>
    <w:p w14:paraId="1CC73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1.国道大中修项目。</w:t>
      </w:r>
      <w:r>
        <w:rPr>
          <w:rFonts w:hint="default" w:ascii="仿宋" w:hAnsi="仿宋" w:eastAsia="仿宋" w:cs="仿宋"/>
          <w:kern w:val="2"/>
          <w:sz w:val="32"/>
          <w:szCs w:val="32"/>
          <w:lang w:val="en-US" w:eastAsia="zh-CN" w:bidi="ar-SA"/>
        </w:rPr>
        <w:t>G210、G347线万源段中修工程（G347段</w:t>
      </w:r>
      <w:r>
        <w:rPr>
          <w:rFonts w:hint="eastAsia" w:ascii="仿宋" w:hAnsi="仿宋" w:eastAsia="仿宋" w:cs="仿宋"/>
          <w:kern w:val="2"/>
          <w:sz w:val="32"/>
          <w:szCs w:val="32"/>
          <w:lang w:val="en-US" w:eastAsia="zh-CN" w:bidi="ar-SA"/>
        </w:rPr>
        <w:t>总投资2048.17万元</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项目。已完工，待验收。</w:t>
      </w:r>
    </w:p>
    <w:p w14:paraId="2006E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2.水库环建路项目。“两路一桥”固军水库盐井坝村道、三溪口村道、人行吊桥还建工程。已完成设计及概预算政府采购，正在网签合同。</w:t>
      </w:r>
    </w:p>
    <w:p w14:paraId="6CEE583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国道安全隐患整治工程。①G347线K1903+600处安全隐患整治工程项目。目前已完成挡墙全部工程量，正在进行波护栏安装工作；②G347线K1932+700处安全隐患整治工程项目。正在前期准备工作；③G347线竹峪镇水毁道路维修整治工程。已完工，目前正在编制竣工资料；④G347线四处隐患整治项目。目前设计图纸正在审查中；⑤国道347线K1985+610 处安全隐患应急养护整治项目。已完工。</w:t>
      </w:r>
    </w:p>
    <w:p w14:paraId="3FD52B83">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4.省道隐患整治工程。省道S202线K54+100处道路维修整治工程，已完成竣工资料，即将进行工程验收。</w:t>
      </w:r>
    </w:p>
    <w:p w14:paraId="7D1BB57D">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5.县道整治项目。①县道X056竹洪路（原县道X164竹澌路段）安全隐患整治工程。目前正在图纸审查中；②官渡镇皮窝村中河坝边坡隐患整治工程。正在修建拦石墙，目前完成总工程量的90%。</w:t>
      </w:r>
    </w:p>
    <w:p w14:paraId="201F742F">
      <w:pPr>
        <w:pStyle w:val="6"/>
        <w:rPr>
          <w:rFonts w:hint="eastAsia" w:ascii="仿宋" w:hAnsi="仿宋" w:eastAsia="仿宋" w:cs="仿宋"/>
          <w:kern w:val="2"/>
          <w:sz w:val="32"/>
          <w:szCs w:val="32"/>
          <w:lang w:val="en-US" w:eastAsia="zh-CN" w:bidi="ar-SA"/>
        </w:rPr>
      </w:pPr>
    </w:p>
    <w:p w14:paraId="3C894C44">
      <w:pPr>
        <w:pStyle w:val="6"/>
        <w:rPr>
          <w:rFonts w:hint="eastAsia" w:ascii="仿宋" w:hAnsi="仿宋" w:eastAsia="仿宋" w:cs="仿宋"/>
          <w:kern w:val="2"/>
          <w:sz w:val="32"/>
          <w:szCs w:val="32"/>
          <w:lang w:val="en-US" w:eastAsia="zh-CN" w:bidi="ar-SA"/>
        </w:rPr>
      </w:pPr>
    </w:p>
    <w:p w14:paraId="06A551FE">
      <w:pPr>
        <w:pStyle w:val="4"/>
        <w:ind w:right="440"/>
        <w:jc w:val="center"/>
        <w:rPr>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5"/>
          <w:rFonts w:hint="eastAsia" w:ascii="黑体" w:hAnsi="黑体" w:eastAsia="黑体"/>
          <w:b w:val="0"/>
          <w:bCs/>
          <w:color w:val="auto"/>
          <w:highlight w:val="none"/>
          <w:lang w:eastAsia="zh-CN"/>
        </w:rPr>
        <w:t>单位</w:t>
      </w:r>
      <w:r>
        <w:rPr>
          <w:rStyle w:val="15"/>
          <w:rFonts w:hint="eastAsia" w:ascii="黑体" w:hAnsi="黑体" w:eastAsia="黑体"/>
          <w:b w:val="0"/>
          <w:bCs/>
          <w:color w:val="auto"/>
          <w:highlight w:val="none"/>
        </w:rPr>
        <w:t>决算情况说明</w:t>
      </w:r>
      <w:bookmarkEnd w:id="16"/>
      <w:bookmarkEnd w:id="17"/>
    </w:p>
    <w:p w14:paraId="6B79A0E8">
      <w:pPr>
        <w:pStyle w:val="17"/>
        <w:numPr>
          <w:ilvl w:val="0"/>
          <w:numId w:val="2"/>
        </w:numPr>
        <w:spacing w:line="600" w:lineRule="exact"/>
        <w:ind w:firstLineChars="0"/>
        <w:outlineLvl w:val="1"/>
        <w:rPr>
          <w:rStyle w:val="1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16"/>
          <w:rFonts w:hint="eastAsia" w:ascii="黑体" w:hAnsi="黑体" w:eastAsia="黑体"/>
          <w:b w:val="0"/>
          <w:color w:val="auto"/>
          <w:highlight w:val="none"/>
        </w:rPr>
        <w:t>入支出决算总体情况说明</w:t>
      </w:r>
      <w:bookmarkEnd w:id="18"/>
      <w:bookmarkEnd w:id="19"/>
    </w:p>
    <w:p w14:paraId="4D26E714">
      <w:pPr>
        <w:ind w:firstLine="660"/>
        <w:rPr>
          <w:rFonts w:hint="eastAsia"/>
          <w:sz w:val="30"/>
          <w:szCs w:val="30"/>
          <w:highlight w:val="none"/>
          <w:lang w:val="en-US" w:eastAsia="zh-CN"/>
        </w:rPr>
      </w:pPr>
      <w:r>
        <w:rPr>
          <w:rFonts w:hint="eastAsia"/>
          <w:sz w:val="30"/>
          <w:szCs w:val="30"/>
          <w:highlight w:val="none"/>
          <w:lang w:val="en-US" w:eastAsia="zh-CN"/>
        </w:rPr>
        <w:t>2023年度收、支年初预算安排为1512.76万元与2022年度相比，收、支总计下降25.48万元。下降1.7%。主要变动原因是在职人员减少。</w:t>
      </w:r>
    </w:p>
    <w:p w14:paraId="014A9559">
      <w:pPr>
        <w:ind w:firstLine="300" w:firstLineChars="100"/>
        <w:rPr>
          <w:rFonts w:hint="eastAsia"/>
          <w:sz w:val="30"/>
          <w:szCs w:val="30"/>
          <w:lang w:val="en-US" w:eastAsia="zh-CN"/>
        </w:rPr>
      </w:pPr>
      <w:r>
        <w:rPr>
          <w:rFonts w:hint="eastAsia"/>
          <w:sz w:val="30"/>
          <w:szCs w:val="30"/>
          <w:lang w:val="en-US" w:eastAsia="zh-CN"/>
        </w:rPr>
        <w:object>
          <v:shape id="_x0000_i1025" o:spt="75" type="#_x0000_t75" style="height:337.75pt;width:384.3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3620293A">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0304C5DF">
      <w:pPr>
        <w:pStyle w:val="6"/>
      </w:pPr>
    </w:p>
    <w:p w14:paraId="23AF588A">
      <w:pPr>
        <w:pStyle w:val="17"/>
        <w:numPr>
          <w:ilvl w:val="0"/>
          <w:numId w:val="2"/>
        </w:numPr>
        <w:spacing w:line="600" w:lineRule="exact"/>
        <w:ind w:firstLineChars="0"/>
        <w:outlineLvl w:val="1"/>
        <w:rPr>
          <w:rStyle w:val="1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16"/>
          <w:rFonts w:hint="eastAsia" w:ascii="黑体" w:hAnsi="黑体" w:eastAsia="黑体"/>
          <w:b w:val="0"/>
          <w:color w:val="auto"/>
          <w:highlight w:val="none"/>
        </w:rPr>
        <w:t>入决算情况说明</w:t>
      </w:r>
      <w:bookmarkEnd w:id="20"/>
      <w:bookmarkEnd w:id="21"/>
    </w:p>
    <w:p w14:paraId="4CB312CC">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1132.10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1132.10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71519B7">
      <w:pPr>
        <w:spacing w:line="600" w:lineRule="exact"/>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14:paraId="58BE07FA">
      <w:pPr>
        <w:pStyle w:val="6"/>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028440" cy="3317240"/>
            <wp:effectExtent l="4445" t="4445" r="5715" b="12065"/>
            <wp:docPr id="6" name="图表 2" descr="7b0a202020202263686172745265734964223a20223837333737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2E0991">
      <w:pPr>
        <w:spacing w:line="600" w:lineRule="exact"/>
        <w:ind w:firstLine="1280" w:firstLineChars="4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5478F238">
      <w:pPr>
        <w:pStyle w:val="6"/>
      </w:pPr>
    </w:p>
    <w:p w14:paraId="186B47AD">
      <w:pPr>
        <w:pStyle w:val="17"/>
        <w:numPr>
          <w:ilvl w:val="0"/>
          <w:numId w:val="2"/>
        </w:numPr>
        <w:spacing w:line="600" w:lineRule="exact"/>
        <w:ind w:firstLineChars="0"/>
        <w:outlineLvl w:val="1"/>
        <w:rPr>
          <w:rStyle w:val="1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16"/>
          <w:rFonts w:hint="eastAsia" w:ascii="黑体" w:hAnsi="黑体" w:eastAsia="黑体"/>
          <w:b w:val="0"/>
          <w:color w:val="auto"/>
          <w:highlight w:val="none"/>
        </w:rPr>
        <w:t>出决算情况说明</w:t>
      </w:r>
      <w:bookmarkEnd w:id="22"/>
      <w:bookmarkEnd w:id="23"/>
    </w:p>
    <w:p w14:paraId="6B213AA2">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1132.10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1132.10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A67388F">
      <w:pPr>
        <w:spacing w:line="600" w:lineRule="exact"/>
        <w:ind w:firstLine="643" w:firstLineChars="200"/>
        <w:outlineLvl w:val="1"/>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p>
    <w:p w14:paraId="6A09F3BC">
      <w:pPr>
        <w:pStyle w:val="6"/>
        <w:rPr>
          <w:rFonts w:hint="eastAsia"/>
          <w:lang w:eastAsia="zh-CN"/>
        </w:rPr>
      </w:pPr>
      <w:r>
        <w:rPr>
          <w:rFonts w:hint="eastAsia"/>
          <w:lang w:val="en-US" w:eastAsia="zh-CN"/>
        </w:rPr>
        <w:t xml:space="preserve">     </w:t>
      </w:r>
      <w:r>
        <w:drawing>
          <wp:inline distT="0" distB="0" distL="114300" distR="114300">
            <wp:extent cx="4300220" cy="3079115"/>
            <wp:effectExtent l="4445" t="5080" r="19685" b="20955"/>
            <wp:docPr id="3" name="图表 2" descr="7b0a202020202263686172745265734964223a20223435323638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23D529">
      <w:pPr>
        <w:spacing w:line="600" w:lineRule="exact"/>
        <w:ind w:firstLine="1280" w:firstLineChars="400"/>
        <w:rPr>
          <w:rFonts w:hint="eastAsia"/>
          <w:lang w:eastAsia="zh-CN"/>
        </w:rPr>
      </w:pPr>
      <w:r>
        <w:rPr>
          <w:rFonts w:hint="eastAsia" w:ascii="仿宋" w:hAnsi="仿宋" w:eastAsia="仿宋"/>
          <w:color w:val="auto"/>
          <w:sz w:val="32"/>
          <w:szCs w:val="32"/>
          <w:highlight w:val="none"/>
        </w:rPr>
        <w:t>（图3：支出决算结构图）（饼状图</w:t>
      </w:r>
      <w:bookmarkStart w:id="24" w:name="_Toc15396606"/>
      <w:bookmarkStart w:id="25" w:name="_Toc15377208"/>
      <w:r>
        <w:rPr>
          <w:rFonts w:hint="eastAsia" w:ascii="仿宋" w:hAnsi="仿宋" w:eastAsia="仿宋"/>
          <w:color w:val="auto"/>
          <w:sz w:val="32"/>
          <w:szCs w:val="32"/>
          <w:highlight w:val="none"/>
          <w:lang w:eastAsia="zh-CN"/>
        </w:rPr>
        <w:t>）</w:t>
      </w:r>
    </w:p>
    <w:p w14:paraId="72CA4253">
      <w:pPr>
        <w:spacing w:line="600" w:lineRule="exact"/>
        <w:rPr>
          <w:rStyle w:val="16"/>
          <w:rFonts w:ascii="黑体" w:hAnsi="黑体" w:eastAsia="黑体"/>
          <w:b w:val="0"/>
          <w:color w:val="auto"/>
          <w:highlight w:val="none"/>
        </w:rPr>
      </w:pPr>
      <w:r>
        <w:rPr>
          <w:rFonts w:hint="eastAsia" w:ascii="黑体" w:hAnsi="黑体" w:eastAsia="黑体"/>
          <w:color w:val="auto"/>
          <w:sz w:val="32"/>
          <w:szCs w:val="32"/>
          <w:highlight w:val="none"/>
        </w:rPr>
        <w:t>四、财</w:t>
      </w:r>
      <w:r>
        <w:rPr>
          <w:rStyle w:val="16"/>
          <w:rFonts w:hint="eastAsia" w:ascii="黑体" w:hAnsi="黑体" w:eastAsia="黑体"/>
          <w:b w:val="0"/>
          <w:color w:val="auto"/>
          <w:highlight w:val="none"/>
        </w:rPr>
        <w:t>政拨款收入支出决算总体情况说明</w:t>
      </w:r>
      <w:bookmarkEnd w:id="24"/>
      <w:bookmarkEnd w:id="25"/>
    </w:p>
    <w:p w14:paraId="5BA6C2C4">
      <w:pPr>
        <w:ind w:firstLine="660"/>
        <w:rPr>
          <w:rFonts w:hint="eastAsia" w:ascii="仿宋" w:hAnsi="仿宋" w:eastAsia="仿宋"/>
          <w:color w:val="auto"/>
          <w:sz w:val="32"/>
          <w:szCs w:val="32"/>
          <w:highlight w:val="none"/>
        </w:rPr>
      </w:pPr>
      <w:r>
        <w:rPr>
          <w:rFonts w:hint="eastAsia"/>
          <w:sz w:val="30"/>
          <w:szCs w:val="30"/>
          <w:highlight w:val="none"/>
          <w:lang w:val="en-US" w:eastAsia="zh-CN"/>
        </w:rPr>
        <w:pict>
          <v:shape id="_x0000_s1031" o:spid="_x0000_s1031" o:spt="75" type="#_x0000_t75" style="position:absolute;left:0pt;margin-left:14.9pt;margin-top:92.9pt;height:195.2pt;width:395.95pt;mso-wrap-distance-bottom:0pt;mso-wrap-distance-top:0pt;z-index:251659264;mso-width-relative:page;mso-height-relative:page;" o:ole="t" filled="f" o:preferrelative="t" stroked="f" coordsize="21600,21600">
            <v:path/>
            <v:fill on="f" focussize="0,0"/>
            <v:stroke on="f"/>
            <v:imagedata r:id="rId11" o:title=""/>
            <o:lock v:ext="edit" aspectratio="t"/>
            <w10:wrap type="topAndBottom"/>
          </v:shape>
          <o:OLEObject Type="Embed" ProgID="Excel.Chart.8" ShapeID="_x0000_s1031" DrawAspect="Content" ObjectID="_1468075726" r:id="rId10">
            <o:LockedField>false</o:LockedField>
          </o:OLEObject>
        </w:pic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1130.10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w:t>
      </w:r>
      <w:r>
        <w:rPr>
          <w:rFonts w:hint="eastAsia" w:ascii="仿宋" w:hAnsi="仿宋" w:eastAsia="仿宋"/>
          <w:color w:val="auto"/>
          <w:sz w:val="32"/>
          <w:szCs w:val="32"/>
          <w:highlight w:val="none"/>
          <w:lang w:val="en-US" w:eastAsia="zh-CN"/>
        </w:rPr>
        <w:t>增加1.15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上升0.0012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44F099C">
      <w:pPr>
        <w:ind w:firstLine="660"/>
        <w:rPr>
          <w:rFonts w:hint="default" w:ascii="仿宋" w:hAnsi="仿宋" w:eastAsia="仿宋"/>
          <w:color w:val="auto"/>
          <w:sz w:val="32"/>
          <w:szCs w:val="32"/>
          <w:highlight w:val="yellow"/>
          <w:lang w:val="en-US" w:eastAsia="zh-CN"/>
        </w:rPr>
      </w:pPr>
      <w:r>
        <w:rPr>
          <w:rFonts w:hint="eastAsia" w:ascii="仿宋" w:hAnsi="仿宋" w:eastAsia="仿宋"/>
          <w:color w:val="auto"/>
          <w:sz w:val="32"/>
          <w:szCs w:val="32"/>
          <w:highlight w:val="none"/>
          <w:lang w:val="en-US" w:eastAsia="zh-CN"/>
        </w:rPr>
        <w:t>与上年基本保持一致。</w:t>
      </w:r>
    </w:p>
    <w:p w14:paraId="6514D2AA">
      <w:pPr>
        <w:spacing w:line="600" w:lineRule="exact"/>
        <w:ind w:firstLine="1937" w:firstLineChars="603"/>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5A6AFD59">
      <w:pPr>
        <w:tabs>
          <w:tab w:val="left" w:pos="7116"/>
        </w:tabs>
        <w:bidi w:val="0"/>
        <w:jc w:val="left"/>
        <w:rPr>
          <w:rFonts w:hint="eastAsia" w:ascii="仿宋" w:hAnsi="仿宋" w:eastAsia="仿宋"/>
          <w:color w:val="auto"/>
          <w:sz w:val="32"/>
          <w:szCs w:val="32"/>
          <w:highlight w:val="none"/>
        </w:rPr>
      </w:pPr>
    </w:p>
    <w:p w14:paraId="174998AB">
      <w:pPr>
        <w:tabs>
          <w:tab w:val="left" w:pos="7116"/>
        </w:tabs>
        <w:bidi w:val="0"/>
        <w:jc w:val="left"/>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（图4：财政拨款收、支决算总计变动情况）（柱状图）</w:t>
      </w:r>
      <w:bookmarkStart w:id="26" w:name="_Toc15396607"/>
      <w:bookmarkStart w:id="27" w:name="_Toc15377209"/>
    </w:p>
    <w:p w14:paraId="08AFF0A6">
      <w:pPr>
        <w:spacing w:line="600" w:lineRule="exact"/>
        <w:ind w:firstLine="640" w:firstLineChars="200"/>
        <w:outlineLvl w:val="1"/>
        <w:rPr>
          <w:rStyle w:val="16"/>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6"/>
          <w:rFonts w:hint="eastAsia" w:ascii="黑体" w:hAnsi="黑体" w:eastAsia="黑体"/>
          <w:b w:val="0"/>
          <w:color w:val="auto"/>
          <w:highlight w:val="none"/>
        </w:rPr>
        <w:t>般公共预算财政拨款支出决算情况说明</w:t>
      </w:r>
      <w:bookmarkEnd w:id="26"/>
      <w:bookmarkEnd w:id="27"/>
    </w:p>
    <w:p w14:paraId="0BE32761">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1920528C">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1130.10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上升0.0012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与上年基本保持一致</w:t>
      </w:r>
    </w:p>
    <w:p w14:paraId="0F09D8CC">
      <w:pPr>
        <w:pStyle w:val="6"/>
        <w:ind w:firstLine="600"/>
        <w:rPr>
          <w:rFonts w:hint="eastAsia" w:ascii="仿宋" w:hAnsi="仿宋" w:eastAsia="仿宋"/>
          <w:color w:val="auto"/>
          <w:sz w:val="32"/>
          <w:szCs w:val="32"/>
          <w:highlight w:val="none"/>
        </w:rPr>
      </w:pPr>
    </w:p>
    <w:p w14:paraId="3B07652D">
      <w:pPr>
        <w:pStyle w:val="6"/>
        <w:ind w:firstLine="600"/>
        <w:rPr>
          <w:rFonts w:hint="default" w:ascii="仿宋" w:hAnsi="仿宋" w:eastAsia="仿宋"/>
          <w:color w:val="auto"/>
          <w:sz w:val="32"/>
          <w:szCs w:val="32"/>
          <w:highlight w:val="none"/>
          <w:lang w:val="en-US" w:eastAsia="zh-CN"/>
        </w:rPr>
      </w:pPr>
      <w:r>
        <w:rPr>
          <w:rFonts w:hint="eastAsia"/>
          <w:sz w:val="30"/>
          <w:szCs w:val="30"/>
          <w:lang w:val="en-US" w:eastAsia="zh-CN"/>
        </w:rPr>
        <w:pict>
          <v:shape id="_x0000_s1033" o:spid="_x0000_s1033" o:spt="75" type="#_x0000_t75" style="position:absolute;left:0pt;margin-left:16.9pt;margin-top:16.7pt;height:195.2pt;width:395.95pt;mso-wrap-distance-bottom:0pt;mso-wrap-distance-top:0pt;z-index:251660288;mso-width-relative:page;mso-height-relative:page;" o:ole="t" filled="f" o:preferrelative="t" stroked="f" coordsize="21600,21600">
            <v:path/>
            <v:fill on="f" focussize="0,0"/>
            <v:stroke on="f"/>
            <v:imagedata r:id="rId13" o:title=""/>
            <o:lock v:ext="edit" aspectratio="t"/>
            <w10:wrap type="topAndBottom"/>
          </v:shape>
          <o:OLEObject Type="Embed" ProgID="Excel.Chart.8" ShapeID="_x0000_s1033" DrawAspect="Content" ObjectID="_1468075727" r:id="rId12">
            <o:LockedField>false</o:LockedField>
          </o:OLEObject>
        </w:pict>
      </w:r>
      <w:r>
        <w:rPr>
          <w:rFonts w:hint="eastAsia" w:ascii="仿宋" w:hAnsi="仿宋" w:eastAsia="仿宋"/>
          <w:color w:val="auto"/>
          <w:sz w:val="32"/>
          <w:szCs w:val="32"/>
          <w:highlight w:val="none"/>
        </w:rPr>
        <w:t>（图5：一般公共预算财政拨款支出决算变动情况）（柱</w:t>
      </w:r>
      <w:r>
        <w:rPr>
          <w:rFonts w:hint="eastAsia" w:ascii="仿宋" w:hAnsi="仿宋" w:eastAsia="仿宋"/>
          <w:color w:val="auto"/>
          <w:sz w:val="32"/>
          <w:szCs w:val="32"/>
          <w:highlight w:val="none"/>
          <w:lang w:val="en-US" w:eastAsia="zh-CN"/>
        </w:rPr>
        <w:t>状图）</w:t>
      </w:r>
    </w:p>
    <w:p w14:paraId="7C44E154">
      <w:pPr>
        <w:pStyle w:val="6"/>
        <w:ind w:firstLine="600"/>
        <w:rPr>
          <w:rFonts w:hint="eastAsia" w:ascii="仿宋" w:hAnsi="仿宋" w:eastAsia="仿宋"/>
          <w:color w:val="auto"/>
          <w:sz w:val="32"/>
          <w:szCs w:val="32"/>
          <w:highlight w:val="none"/>
        </w:rPr>
      </w:pPr>
    </w:p>
    <w:p w14:paraId="197807AD">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1BEAC224">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1130.10</w:t>
      </w:r>
      <w:r>
        <w:rPr>
          <w:rFonts w:hint="eastAsia" w:ascii="仿宋" w:hAnsi="仿宋" w:eastAsia="仿宋"/>
          <w:color w:val="auto"/>
          <w:sz w:val="32"/>
          <w:szCs w:val="32"/>
          <w:highlight w:val="none"/>
        </w:rPr>
        <w:t>万元，主要用于以下方面:社会保障和就业</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133.03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11.77</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lang w:val="en-US" w:eastAsia="zh-CN"/>
        </w:rPr>
        <w:t>30.83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交通运输支出</w:t>
      </w:r>
      <w:r>
        <w:rPr>
          <w:rFonts w:hint="eastAsia" w:ascii="仿宋" w:hAnsi="仿宋" w:eastAsia="仿宋"/>
          <w:color w:val="auto"/>
          <w:sz w:val="32"/>
          <w:szCs w:val="32"/>
          <w:highlight w:val="none"/>
          <w:lang w:val="en-US" w:eastAsia="zh-CN"/>
        </w:rPr>
        <w:t>909.33万元，占80.46</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54.89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4.85</w:t>
      </w:r>
      <w:r>
        <w:rPr>
          <w:rFonts w:hint="eastAsia" w:ascii="仿宋" w:hAnsi="仿宋" w:eastAsia="仿宋"/>
          <w:color w:val="auto"/>
          <w:sz w:val="32"/>
          <w:szCs w:val="32"/>
          <w:highlight w:val="none"/>
        </w:rPr>
        <w:t>%。</w:t>
      </w:r>
    </w:p>
    <w:p w14:paraId="4D9DFDC8">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14:paraId="48ABF24A">
      <w:pPr>
        <w:pStyle w:val="6"/>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572000" cy="2743200"/>
            <wp:effectExtent l="4445" t="4445" r="1460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806584">
      <w:pPr>
        <w:spacing w:line="600" w:lineRule="exact"/>
        <w:ind w:firstLine="640" w:firstLineChars="200"/>
      </w:pPr>
      <w:r>
        <w:rPr>
          <w:rFonts w:hint="eastAsia" w:ascii="仿宋" w:hAnsi="仿宋" w:eastAsia="仿宋"/>
          <w:color w:val="auto"/>
          <w:sz w:val="32"/>
          <w:szCs w:val="32"/>
          <w:highlight w:val="none"/>
        </w:rPr>
        <w:t>（图6：一般公共预算财政拨款支出决算结构）（饼状图）</w:t>
      </w:r>
    </w:p>
    <w:p w14:paraId="6511C66A">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3CD9126F">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1130.1万元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14:paraId="56845667">
      <w:pPr>
        <w:spacing w:line="600" w:lineRule="exact"/>
        <w:ind w:firstLine="643" w:firstLineChars="200"/>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1.</w:t>
      </w:r>
      <w:r>
        <w:rPr>
          <w:rFonts w:hint="eastAsia" w:ascii="仿宋" w:hAnsi="仿宋" w:eastAsia="仿宋"/>
          <w:b/>
          <w:bCs/>
          <w:color w:val="auto"/>
          <w:sz w:val="32"/>
          <w:szCs w:val="32"/>
          <w:highlight w:val="none"/>
        </w:rPr>
        <w:t>社会保障和就业（类）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eastAsia="zh-CN"/>
        </w:rPr>
        <w:t>行政事业单位养老支出</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eastAsia="zh-CN"/>
        </w:rPr>
        <w:t>机关事业单位基本养老保险缴费支出</w:t>
      </w:r>
      <w:r>
        <w:rPr>
          <w:rFonts w:hint="eastAsia" w:ascii="仿宋" w:hAnsi="仿宋" w:eastAsia="仿宋"/>
          <w:color w:val="auto"/>
          <w:sz w:val="32"/>
          <w:szCs w:val="32"/>
          <w:highlight w:val="none"/>
          <w:lang w:val="en-US" w:eastAsia="zh-CN"/>
        </w:rPr>
        <w:t>73.65万元；事业单位离退休支出43.46万元；抚恤-死亡抚恤15.92万元。</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133.03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35E04108">
      <w:pPr>
        <w:spacing w:line="600" w:lineRule="exact"/>
        <w:ind w:firstLine="643" w:firstLineChars="20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卫生健康（类）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eastAsia="zh-CN"/>
        </w:rPr>
        <w:t>行政事业单位医疗</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eastAsia="zh-CN"/>
        </w:rPr>
        <w:t>事业单位医疗</w:t>
      </w:r>
      <w:r>
        <w:rPr>
          <w:rFonts w:hint="eastAsia" w:ascii="仿宋" w:hAnsi="仿宋" w:eastAsia="仿宋"/>
          <w:color w:val="auto"/>
          <w:sz w:val="32"/>
          <w:szCs w:val="32"/>
          <w:highlight w:val="none"/>
          <w:lang w:val="en-US" w:eastAsia="zh-CN"/>
        </w:rPr>
        <w:t>34.85万元，</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34.85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22F59A3A">
      <w:pPr>
        <w:spacing w:line="600" w:lineRule="exact"/>
        <w:ind w:firstLine="643" w:firstLineChars="200"/>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3.交通运输支出：</w:t>
      </w:r>
      <w:r>
        <w:rPr>
          <w:rFonts w:hint="eastAsia" w:ascii="仿宋" w:hAnsi="仿宋" w:eastAsia="仿宋"/>
          <w:color w:val="auto"/>
          <w:sz w:val="32"/>
          <w:szCs w:val="32"/>
          <w:highlight w:val="none"/>
          <w:lang w:val="en-US" w:eastAsia="zh-CN"/>
        </w:rPr>
        <w:t>公路水路运输-公路养护909.33万元，</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909.33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79A5F208">
      <w:pPr>
        <w:spacing w:line="600" w:lineRule="exact"/>
        <w:ind w:firstLine="643"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lang w:eastAsia="zh-CN"/>
        </w:rPr>
        <w:t>住房改革支出</w:t>
      </w:r>
      <w:r>
        <w:rPr>
          <w:rFonts w:hint="eastAsia" w:ascii="仿宋" w:hAnsi="仿宋" w:eastAsia="仿宋"/>
          <w:color w:val="auto"/>
          <w:sz w:val="32"/>
          <w:szCs w:val="32"/>
          <w:highlight w:val="none"/>
          <w:lang w:val="en-US" w:eastAsia="zh-CN"/>
        </w:rPr>
        <w:t>- 住房公积金54.89万元，</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54.86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1CBFAA2B">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14:paraId="42A67D78">
      <w:pPr>
        <w:spacing w:line="600" w:lineRule="exact"/>
        <w:ind w:firstLine="640"/>
        <w:rPr>
          <w:rFonts w:ascii="仿宋" w:hAnsi="仿宋" w:eastAsia="仿宋"/>
          <w:b/>
          <w:color w:val="auto"/>
          <w:sz w:val="32"/>
          <w:szCs w:val="32"/>
          <w:highlight w:val="none"/>
        </w:rPr>
      </w:pPr>
    </w:p>
    <w:p w14:paraId="6F311D8D">
      <w:pPr>
        <w:tabs>
          <w:tab w:val="right" w:pos="8306"/>
        </w:tabs>
        <w:spacing w:line="600" w:lineRule="exact"/>
        <w:ind w:firstLine="640"/>
        <w:outlineLvl w:val="1"/>
        <w:rPr>
          <w:rStyle w:val="1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6"/>
          <w:rFonts w:hint="eastAsia" w:ascii="黑体" w:hAnsi="黑体" w:eastAsia="黑体"/>
          <w:b w:val="0"/>
          <w:color w:val="auto"/>
          <w:highlight w:val="none"/>
        </w:rPr>
        <w:t>般公共预算财政拨款基本支出决算情况说明</w:t>
      </w:r>
      <w:bookmarkEnd w:id="34"/>
      <w:bookmarkEnd w:id="35"/>
      <w:r>
        <w:rPr>
          <w:rStyle w:val="16"/>
          <w:rFonts w:ascii="黑体" w:hAnsi="黑体" w:eastAsia="黑体"/>
          <w:b w:val="0"/>
          <w:color w:val="auto"/>
          <w:highlight w:val="none"/>
        </w:rPr>
        <w:tab/>
      </w:r>
    </w:p>
    <w:p w14:paraId="6C5F80A5">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1130.1</w:t>
      </w:r>
      <w:r>
        <w:rPr>
          <w:rFonts w:hint="eastAsia" w:ascii="仿宋" w:hAnsi="仿宋" w:eastAsia="仿宋"/>
          <w:color w:val="auto"/>
          <w:sz w:val="32"/>
          <w:szCs w:val="32"/>
          <w:highlight w:val="none"/>
        </w:rPr>
        <w:t>万元，其中：</w:t>
      </w:r>
    </w:p>
    <w:p w14:paraId="005B74B8">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1080.69</w:t>
      </w:r>
      <w:r>
        <w:rPr>
          <w:rFonts w:hint="eastAsia" w:ascii="仿宋" w:hAnsi="仿宋" w:eastAsia="仿宋"/>
          <w:color w:val="auto"/>
          <w:sz w:val="32"/>
          <w:szCs w:val="32"/>
          <w:highlight w:val="none"/>
        </w:rPr>
        <w:t>万元，主要包括：基本工资、津贴补贴、绩效工资、机关事业单位基本养老保险缴费、职工基本医疗保险缴费、其他社会保障缴费</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抚恤金、生活补助。</w:t>
      </w:r>
    </w:p>
    <w:p w14:paraId="0651452C">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49.41</w:t>
      </w:r>
      <w:r>
        <w:rPr>
          <w:rFonts w:hint="eastAsia" w:ascii="仿宋" w:hAnsi="仿宋" w:eastAsia="仿宋"/>
          <w:color w:val="auto"/>
          <w:sz w:val="32"/>
          <w:szCs w:val="32"/>
          <w:highlight w:val="none"/>
        </w:rPr>
        <w:t>万元，主要包括：办公费、水费、电费、差旅费、公务接待费、公务用车运行维护费。</w:t>
      </w:r>
    </w:p>
    <w:p w14:paraId="1C09FC33">
      <w:pPr>
        <w:spacing w:line="600" w:lineRule="exact"/>
        <w:ind w:firstLine="645"/>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4A9FBCAB">
      <w:pPr>
        <w:pStyle w:val="6"/>
      </w:pPr>
    </w:p>
    <w:p w14:paraId="7B7FE1C7">
      <w:pPr>
        <w:spacing w:line="600" w:lineRule="exact"/>
        <w:ind w:firstLine="640"/>
        <w:outlineLvl w:val="1"/>
        <w:rPr>
          <w:rStyle w:val="1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16"/>
          <w:rFonts w:hint="eastAsia" w:ascii="黑体" w:hAnsi="黑体" w:eastAsia="黑体"/>
          <w:color w:val="auto"/>
          <w:highlight w:val="none"/>
        </w:rPr>
        <w:t>“</w:t>
      </w:r>
      <w:r>
        <w:rPr>
          <w:rStyle w:val="16"/>
          <w:rFonts w:hint="eastAsia" w:ascii="黑体" w:hAnsi="黑体" w:eastAsia="黑体"/>
          <w:b w:val="0"/>
          <w:color w:val="auto"/>
          <w:highlight w:val="none"/>
        </w:rPr>
        <w:t>三公”经费财政拨款支出决算情况说明</w:t>
      </w:r>
      <w:bookmarkEnd w:id="36"/>
      <w:bookmarkEnd w:id="37"/>
    </w:p>
    <w:p w14:paraId="77D124DD">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71FC6738">
      <w:pPr>
        <w:spacing w:line="600" w:lineRule="exact"/>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000000" w:themeColor="text1"/>
          <w:sz w:val="32"/>
          <w:szCs w:val="32"/>
          <w:highlight w:val="none"/>
          <w:lang w:val="en-US" w:eastAsia="zh-CN"/>
          <w14:textFill>
            <w14:solidFill>
              <w14:schemeClr w14:val="tx1"/>
            </w14:solidFill>
          </w14:textFill>
        </w:rPr>
        <w:t>11.27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53.67</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厉行节约，严格控制公务接待及公务用车运行维护费。</w:t>
      </w:r>
    </w:p>
    <w:p w14:paraId="712175E1">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6BE2CE6C">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5C24B531">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11.27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003866C">
      <w:pPr>
        <w:pStyle w:val="6"/>
      </w:pPr>
      <w:r>
        <w:rPr>
          <w:rFonts w:hint="eastAsia"/>
          <w:lang w:val="en-US" w:eastAsia="zh-CN"/>
        </w:rPr>
        <w:t xml:space="preserve">    </w:t>
      </w: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071CDA">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060D47D0">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14:paraId="1837A76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11.27</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53.67</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厉行节约原则，严格控制</w:t>
      </w:r>
      <w:r>
        <w:rPr>
          <w:rFonts w:hint="eastAsia" w:ascii="仿宋_GB2312" w:eastAsia="仿宋_GB2312"/>
          <w:color w:val="auto"/>
          <w:sz w:val="32"/>
          <w:szCs w:val="32"/>
          <w:highlight w:val="none"/>
        </w:rPr>
        <w:t>公务用车购置</w:t>
      </w:r>
      <w:r>
        <w:rPr>
          <w:rFonts w:hint="eastAsia" w:ascii="仿宋" w:hAnsi="仿宋" w:eastAsia="仿宋"/>
          <w:color w:val="auto"/>
          <w:sz w:val="32"/>
          <w:szCs w:val="32"/>
          <w:highlight w:val="none"/>
          <w:lang w:val="en-US" w:eastAsia="zh-CN"/>
        </w:rPr>
        <w:t>及公务用车运行维护费</w:t>
      </w:r>
      <w:r>
        <w:rPr>
          <w:rFonts w:hint="eastAsia" w:ascii="仿宋_GB2312" w:eastAsia="仿宋_GB2312"/>
          <w:color w:val="auto"/>
          <w:sz w:val="32"/>
          <w:szCs w:val="32"/>
          <w:highlight w:val="none"/>
        </w:rPr>
        <w:t>。</w:t>
      </w:r>
    </w:p>
    <w:p w14:paraId="53FF3D05">
      <w:pPr>
        <w:spacing w:line="600" w:lineRule="exact"/>
        <w:ind w:firstLine="640" w:firstLineChars="200"/>
        <w:rPr>
          <w:rFonts w:ascii="仿宋_GB2312" w:eastAsia="仿宋_GB2312"/>
          <w:b/>
          <w:color w:val="auto"/>
          <w:sz w:val="32"/>
          <w:szCs w:val="32"/>
          <w:highlight w:val="yellow"/>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w:t>
      </w:r>
      <w:r>
        <w:rPr>
          <w:rFonts w:hint="eastAsia" w:ascii="仿宋_GB2312" w:eastAsia="仿宋_GB2312"/>
          <w:color w:val="auto"/>
          <w:sz w:val="32"/>
          <w:szCs w:val="32"/>
          <w:highlight w:val="none"/>
          <w:lang w:val="en-US" w:eastAsia="zh-CN"/>
        </w:rPr>
        <w:t>生产用车及业务用车7</w:t>
      </w:r>
      <w:r>
        <w:rPr>
          <w:rFonts w:hint="eastAsia" w:ascii="仿宋_GB2312" w:eastAsia="仿宋_GB2312"/>
          <w:color w:val="auto"/>
          <w:sz w:val="32"/>
          <w:szCs w:val="32"/>
          <w:highlight w:val="none"/>
        </w:rPr>
        <w:t>辆，其中：</w:t>
      </w:r>
      <w:r>
        <w:rPr>
          <w:rFonts w:hint="eastAsia" w:ascii="仿宋_GB2312" w:eastAsia="仿宋_GB2312"/>
          <w:color w:val="000000"/>
          <w:sz w:val="32"/>
          <w:szCs w:val="32"/>
        </w:rPr>
        <w:t>应急保障车1辆，特种专业车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辆，业务用车1辆。</w:t>
      </w:r>
    </w:p>
    <w:p w14:paraId="1A0B7EF7">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11.527</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主要用于公路养护，应急保通保畅</w:t>
      </w:r>
      <w:r>
        <w:rPr>
          <w:rFonts w:hint="eastAsia" w:ascii="仿宋_GB2312" w:eastAsia="仿宋_GB2312"/>
          <w:color w:val="auto"/>
          <w:sz w:val="32"/>
          <w:szCs w:val="32"/>
          <w:highlight w:val="none"/>
        </w:rPr>
        <w:t>等所需的公务用车燃料费、维修费、过路过桥费、保险费等支出。</w:t>
      </w:r>
    </w:p>
    <w:p w14:paraId="63EB6C05">
      <w:pPr>
        <w:numPr>
          <w:ilvl w:val="0"/>
          <w:numId w:val="3"/>
        </w:num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厉行节约原则，严格控制本单位的公务接待费用</w:t>
      </w:r>
      <w:r>
        <w:rPr>
          <w:rFonts w:hint="eastAsia" w:ascii="仿宋_GB2312" w:eastAsia="仿宋_GB2312"/>
          <w:color w:val="auto"/>
          <w:sz w:val="32"/>
          <w:szCs w:val="32"/>
          <w:highlight w:val="none"/>
        </w:rPr>
        <w:t>。其中：</w:t>
      </w:r>
    </w:p>
    <w:p w14:paraId="3C1F80C9">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23844753">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FD52D01">
      <w:pPr>
        <w:spacing w:line="600" w:lineRule="exact"/>
        <w:ind w:firstLine="640"/>
        <w:outlineLvl w:val="1"/>
        <w:rPr>
          <w:rFonts w:ascii="黑体" w:eastAsia="黑体"/>
          <w:color w:val="auto"/>
          <w:sz w:val="32"/>
          <w:szCs w:val="32"/>
          <w:highlight w:val="none"/>
        </w:rPr>
      </w:pPr>
      <w:bookmarkStart w:id="40" w:name="_Toc15396610"/>
      <w:bookmarkStart w:id="41" w:name="_Toc15377218"/>
    </w:p>
    <w:p w14:paraId="33BE9045">
      <w:pPr>
        <w:spacing w:line="600" w:lineRule="exact"/>
        <w:ind w:firstLine="640"/>
        <w:outlineLvl w:val="1"/>
        <w:rPr>
          <w:rStyle w:val="16"/>
          <w:rFonts w:ascii="黑体" w:hAnsi="黑体" w:eastAsia="黑体"/>
          <w:color w:val="auto"/>
          <w:highlight w:val="none"/>
        </w:rPr>
      </w:pPr>
      <w:r>
        <w:rPr>
          <w:rFonts w:hint="eastAsia" w:ascii="黑体" w:eastAsia="黑体"/>
          <w:color w:val="auto"/>
          <w:sz w:val="32"/>
          <w:szCs w:val="32"/>
          <w:highlight w:val="none"/>
        </w:rPr>
        <w:t>八、</w:t>
      </w:r>
      <w:r>
        <w:rPr>
          <w:rStyle w:val="16"/>
          <w:rFonts w:hint="eastAsia" w:ascii="黑体" w:hAnsi="黑体" w:eastAsia="黑体"/>
          <w:b w:val="0"/>
          <w:color w:val="auto"/>
          <w:highlight w:val="none"/>
        </w:rPr>
        <w:t>政府性基金预算支出决算情况说明</w:t>
      </w:r>
      <w:bookmarkEnd w:id="40"/>
      <w:bookmarkEnd w:id="41"/>
    </w:p>
    <w:p w14:paraId="50EAB679">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D3D2256">
      <w:pPr>
        <w:spacing w:line="600" w:lineRule="exact"/>
        <w:ind w:firstLine="640"/>
        <w:rPr>
          <w:rFonts w:ascii="仿宋_GB2312" w:eastAsia="仿宋_GB2312"/>
          <w:color w:val="auto"/>
          <w:sz w:val="32"/>
          <w:szCs w:val="32"/>
          <w:highlight w:val="none"/>
        </w:rPr>
      </w:pPr>
    </w:p>
    <w:p w14:paraId="4B325A43">
      <w:pPr>
        <w:numPr>
          <w:ilvl w:val="0"/>
          <w:numId w:val="4"/>
        </w:numPr>
        <w:spacing w:line="600" w:lineRule="exact"/>
        <w:ind w:firstLine="640"/>
        <w:outlineLvl w:val="1"/>
        <w:rPr>
          <w:rStyle w:val="16"/>
          <w:rFonts w:ascii="黑体" w:hAnsi="黑体" w:eastAsia="黑体"/>
          <w:b w:val="0"/>
          <w:color w:val="auto"/>
          <w:highlight w:val="none"/>
        </w:rPr>
      </w:pPr>
      <w:bookmarkStart w:id="42" w:name="_Toc15396611"/>
      <w:bookmarkStart w:id="43" w:name="_Toc15377219"/>
      <w:r>
        <w:rPr>
          <w:rStyle w:val="16"/>
          <w:rFonts w:hint="eastAsia" w:ascii="黑体" w:hAnsi="黑体" w:eastAsia="黑体"/>
          <w:b w:val="0"/>
          <w:color w:val="auto"/>
          <w:highlight w:val="none"/>
        </w:rPr>
        <w:t>国有资本经营预算支出决算情况说明</w:t>
      </w:r>
      <w:bookmarkEnd w:id="42"/>
      <w:bookmarkEnd w:id="43"/>
    </w:p>
    <w:p w14:paraId="785BD0C6">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0D42A3C">
      <w:pPr>
        <w:pStyle w:val="6"/>
      </w:pPr>
    </w:p>
    <w:p w14:paraId="5F6F8B14">
      <w:pPr>
        <w:numPr>
          <w:ilvl w:val="0"/>
          <w:numId w:val="4"/>
        </w:numPr>
        <w:spacing w:line="600" w:lineRule="exact"/>
        <w:ind w:firstLine="640"/>
        <w:outlineLvl w:val="1"/>
        <w:rPr>
          <w:rStyle w:val="16"/>
          <w:rFonts w:hint="eastAsia" w:ascii="黑体" w:hAnsi="黑体" w:eastAsia="黑体"/>
          <w:b w:val="0"/>
          <w:color w:val="auto"/>
          <w:highlight w:val="none"/>
        </w:rPr>
      </w:pPr>
      <w:bookmarkStart w:id="44" w:name="_Toc15396612"/>
      <w:bookmarkStart w:id="45" w:name="_Toc15377221"/>
      <w:r>
        <w:rPr>
          <w:rStyle w:val="16"/>
          <w:rFonts w:hint="eastAsia" w:ascii="黑体" w:hAnsi="黑体" w:eastAsia="黑体"/>
          <w:b w:val="0"/>
          <w:color w:val="auto"/>
          <w:highlight w:val="none"/>
        </w:rPr>
        <w:t>其他重要事项的情况说明</w:t>
      </w:r>
      <w:bookmarkEnd w:id="44"/>
      <w:bookmarkEnd w:id="45"/>
    </w:p>
    <w:p w14:paraId="6F8F26F9">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62A4CCA0">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48.42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6CFD7BEB">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69DF0C1A">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0DB1C514">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7DC54653">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1EDA9F0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34DA71D0">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万源市公路养护管理二段共有车辆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auto"/>
          <w:sz w:val="32"/>
          <w:szCs w:val="32"/>
          <w:highlight w:val="none"/>
        </w:rPr>
        <w:t>，其中：主要领导干部用车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p>
    <w:p w14:paraId="0117C0EB">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06860F3D">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3F987788">
      <w:pPr>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一般公共</w:t>
      </w:r>
      <w:r>
        <w:rPr>
          <w:rFonts w:hint="eastAsia" w:ascii="仿宋_GB2312" w:hAnsi="仿宋_GB2312" w:eastAsia="仿宋_GB2312" w:cs="仿宋_GB2312"/>
          <w:color w:val="auto"/>
          <w:sz w:val="32"/>
          <w:szCs w:val="32"/>
          <w:highlight w:val="none"/>
        </w:rPr>
        <w:t>项目开展了预算事前绩效评估，</w:t>
      </w:r>
      <w:r>
        <w:rPr>
          <w:rFonts w:hint="eastAsia" w:ascii="仿宋_GB2312" w:hAnsi="仿宋_GB2312" w:eastAsia="仿宋_GB2312" w:cs="仿宋_GB2312"/>
          <w:sz w:val="32"/>
          <w:szCs w:val="32"/>
          <w:highlight w:val="none"/>
          <w:lang w:eastAsia="zh-CN"/>
        </w:rPr>
        <w:t>无项目预算。</w:t>
      </w:r>
    </w:p>
    <w:p w14:paraId="56BE1C89">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rPr>
        <w:t>年部门整体支出开展绩效自评，从评价情况来看进一步加强了资金使用效益，强化了支出责任，制定了部门绩效管理办法及工作实施方案，建立的长效机制，较好的完成了年初设定的绩效目标。</w:t>
      </w:r>
    </w:p>
    <w:p w14:paraId="35D094DA">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1.项目绩效目标完成情况。</w:t>
      </w:r>
    </w:p>
    <w:p w14:paraId="7F91C0F9">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无</w:t>
      </w:r>
    </w:p>
    <w:p w14:paraId="6C6D3548">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2.部门绩效评价结果。</w:t>
      </w:r>
    </w:p>
    <w:p w14:paraId="4EEFB2D3">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rPr>
        <w:t>年部门整体支出绩效评价情况开展自评，《万源市公路养护管理二段2</w:t>
      </w:r>
      <w:r>
        <w:rPr>
          <w:rFonts w:hint="eastAsia" w:ascii="仿宋_GB2312" w:hAnsi="仿宋_GB2312" w:eastAsia="仿宋_GB2312" w:cs="仿宋_GB2312"/>
          <w:color w:val="auto"/>
          <w:sz w:val="32"/>
          <w:szCs w:val="32"/>
          <w:highlight w:val="none"/>
          <w:lang w:val="en-US" w:eastAsia="zh-CN"/>
        </w:rPr>
        <w:t>023</w:t>
      </w:r>
      <w:r>
        <w:rPr>
          <w:rFonts w:hint="eastAsia" w:ascii="仿宋_GB2312" w:hAnsi="仿宋_GB2312" w:eastAsia="仿宋_GB2312" w:cs="仿宋_GB2312"/>
          <w:color w:val="auto"/>
          <w:sz w:val="32"/>
          <w:szCs w:val="32"/>
          <w:highlight w:val="none"/>
        </w:rPr>
        <w:t>年部门整体支出绩效评价报告》见附件（附件1）。</w:t>
      </w:r>
    </w:p>
    <w:p w14:paraId="4BA915BC">
      <w:pPr>
        <w:pStyle w:val="6"/>
        <w:rPr>
          <w:rFonts w:hint="eastAsia"/>
        </w:rPr>
      </w:pPr>
    </w:p>
    <w:p w14:paraId="17B1040D">
      <w:pPr>
        <w:autoSpaceDE w:val="0"/>
        <w:autoSpaceDN w:val="0"/>
        <w:adjustRightInd w:val="0"/>
        <w:spacing w:line="600" w:lineRule="exact"/>
        <w:ind w:firstLine="643" w:firstLineChars="200"/>
        <w:jc w:val="both"/>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32"/>
          <w:szCs w:val="32"/>
          <w:highlight w:val="none"/>
          <w:lang w:eastAsia="zh-CN"/>
        </w:rPr>
        <w:t>单位</w:t>
      </w:r>
      <w:r>
        <w:rPr>
          <w:rFonts w:hint="eastAsia" w:ascii="仿宋_GB2312" w:hAnsi="仿宋_GB2312" w:eastAsia="仿宋_GB2312" w:cs="仿宋_GB2312"/>
          <w:b/>
          <w:bCs w:val="0"/>
          <w:color w:val="auto"/>
          <w:sz w:val="32"/>
          <w:szCs w:val="32"/>
          <w:highlight w:val="none"/>
          <w:lang w:val="en-US" w:eastAsia="zh-CN"/>
        </w:rPr>
        <w:t>2023年特定目标类部门预算项目绩效目标自评表为本部门2023年部门整体支出绩效评价报告中涉及本单位的附表</w:t>
      </w:r>
      <w:r>
        <w:rPr>
          <w:rFonts w:hint="eastAsia" w:ascii="仿宋" w:hAnsi="仿宋" w:eastAsia="仿宋"/>
          <w:b/>
          <w:bCs w:val="0"/>
          <w:color w:val="auto"/>
          <w:sz w:val="32"/>
          <w:szCs w:val="32"/>
          <w:highlight w:val="none"/>
        </w:rPr>
        <w:t>）</w:t>
      </w:r>
    </w:p>
    <w:p w14:paraId="4D5AD379">
      <w:pPr>
        <w:pStyle w:val="6"/>
        <w:rPr>
          <w:highlight w:val="yellow"/>
        </w:rPr>
      </w:pPr>
    </w:p>
    <w:p w14:paraId="470EADC2">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48844C98">
      <w:pPr>
        <w:numPr>
          <w:ilvl w:val="0"/>
          <w:numId w:val="5"/>
        </w:numPr>
        <w:spacing w:line="600" w:lineRule="exact"/>
        <w:ind w:firstLine="660" w:firstLineChars="150"/>
        <w:jc w:val="center"/>
        <w:outlineLvl w:val="0"/>
        <w:rPr>
          <w:rStyle w:val="1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15"/>
          <w:rFonts w:hint="eastAsia" w:ascii="黑体" w:hAnsi="黑体" w:eastAsia="黑体"/>
          <w:b w:val="0"/>
          <w:color w:val="auto"/>
          <w:highlight w:val="none"/>
        </w:rPr>
        <w:t>词解释</w:t>
      </w:r>
      <w:bookmarkEnd w:id="49"/>
      <w:bookmarkEnd w:id="50"/>
    </w:p>
    <w:p w14:paraId="455665D5">
      <w:pPr>
        <w:spacing w:line="600" w:lineRule="exact"/>
        <w:jc w:val="left"/>
        <w:rPr>
          <w:rFonts w:ascii="宋体"/>
          <w:b/>
          <w:color w:val="auto"/>
          <w:sz w:val="44"/>
          <w:szCs w:val="44"/>
          <w:highlight w:val="none"/>
        </w:rPr>
      </w:pPr>
    </w:p>
    <w:p w14:paraId="79F6EC7E">
      <w:pPr>
        <w:pStyle w:val="18"/>
        <w:spacing w:line="560" w:lineRule="exact"/>
        <w:ind w:firstLine="640" w:firstLineChars="200"/>
        <w:rPr>
          <w:rFonts w:ascii="仿宋_GB2312" w:eastAsia="仿宋_GB2312"/>
          <w:sz w:val="32"/>
          <w:szCs w:val="32"/>
        </w:rPr>
      </w:pPr>
      <w:bookmarkStart w:id="51" w:name="_Toc15396614"/>
      <w:bookmarkStart w:id="52"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7B2B8FB">
      <w:pPr>
        <w:pStyle w:val="18"/>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CB88FC2">
      <w:pPr>
        <w:pStyle w:val="18"/>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6AF92AD8">
      <w:pPr>
        <w:pStyle w:val="18"/>
        <w:spacing w:line="560" w:lineRule="exact"/>
        <w:ind w:left="638" w:leftChars="304"/>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F3CF3A8">
      <w:pPr>
        <w:pStyle w:val="1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1AF764C9">
      <w:pPr>
        <w:pStyle w:val="1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4DAF3EC">
      <w:pPr>
        <w:pStyle w:val="1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08E2EA0">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社会保障和就业（类）行政事业单位养老支出（款）事业单位离退休（项）：指退休人员生活费。</w:t>
      </w:r>
    </w:p>
    <w:p w14:paraId="57A8031F">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10.社会保障和就业（类）行政事业单位养老支出（款）机关事业单位基本养老保险缴费支出（项）：指单位职工养老保险缴费支出。</w:t>
      </w:r>
    </w:p>
    <w:p w14:paraId="12077BA9">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社会保障和就业（类）抚恤（款）死亡抚恤（项）：指单位去世职工家属的抚恤生活费。</w:t>
      </w:r>
    </w:p>
    <w:p w14:paraId="40DAC083">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农林水支出（类）扶贫（款）其他扶贫支出（项）：指扶贫费用支出。</w:t>
      </w:r>
    </w:p>
    <w:p w14:paraId="358993A3">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交通运输（类）公路水路运输（款）公路养护（项）：指单位职工工资及公用经费等。</w:t>
      </w:r>
    </w:p>
    <w:p w14:paraId="557174AB">
      <w:pPr>
        <w:ind w:firstLine="640" w:firstLineChars="200"/>
        <w:rPr>
          <w:rFonts w:ascii="仿宋_GB2312" w:eastAsia="仿宋_GB2312"/>
          <w:color w:val="000000"/>
          <w:sz w:val="32"/>
          <w:szCs w:val="32"/>
        </w:rPr>
      </w:pPr>
      <w:r>
        <w:rPr>
          <w:rFonts w:hint="eastAsia" w:ascii="仿宋_GB2312" w:eastAsia="仿宋_GB2312"/>
          <w:color w:val="000000"/>
          <w:sz w:val="32"/>
          <w:szCs w:val="32"/>
        </w:rPr>
        <w:t>14.住房保障（类）住房改革支出（款）住房公积金（项）：指单位职工的住房公积金。</w:t>
      </w:r>
    </w:p>
    <w:p w14:paraId="37A710D4">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医疗卫生与计划生育（类）行政事业单位医疗（款）事业单位医疗（项）：指单位职工医疗保险缴费支出。</w:t>
      </w:r>
    </w:p>
    <w:p w14:paraId="579B95B1">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年政府收支分类科目》增减内容。）</w:t>
      </w:r>
    </w:p>
    <w:p w14:paraId="1204897E">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743C0E3">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3C386583">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7AFEF918">
      <w:pPr>
        <w:pStyle w:val="18"/>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304C8EA">
      <w:pPr>
        <w:pStyle w:val="18"/>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613EB1">
      <w:pPr>
        <w:pStyle w:val="18"/>
        <w:spacing w:line="560" w:lineRule="exact"/>
        <w:ind w:firstLine="640" w:firstLineChars="200"/>
        <w:rPr>
          <w:rFonts w:ascii="仿宋_GB2312" w:eastAsia="仿宋_GB2312" w:cs="黑体"/>
          <w:sz w:val="32"/>
          <w:szCs w:val="32"/>
        </w:rPr>
      </w:pPr>
    </w:p>
    <w:p w14:paraId="09E7FDF2">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96079AF">
      <w:pPr>
        <w:spacing w:line="600" w:lineRule="exact"/>
        <w:jc w:val="center"/>
        <w:outlineLvl w:val="0"/>
        <w:rPr>
          <w:rFonts w:hint="eastAsia" w:ascii="黑体" w:hAnsi="黑体" w:eastAsia="黑体"/>
          <w:color w:val="auto"/>
          <w:sz w:val="44"/>
          <w:szCs w:val="44"/>
          <w:highlight w:val="none"/>
        </w:rPr>
      </w:pPr>
    </w:p>
    <w:p w14:paraId="534FDAB1">
      <w:pPr>
        <w:spacing w:line="600" w:lineRule="exact"/>
        <w:jc w:val="center"/>
        <w:outlineLvl w:val="0"/>
        <w:rPr>
          <w:rFonts w:hint="eastAsia" w:ascii="黑体" w:hAnsi="黑体" w:eastAsia="黑体"/>
          <w:color w:val="auto"/>
          <w:sz w:val="44"/>
          <w:szCs w:val="44"/>
          <w:highlight w:val="none"/>
        </w:rPr>
      </w:pPr>
    </w:p>
    <w:p w14:paraId="1736D91F">
      <w:pPr>
        <w:spacing w:line="600" w:lineRule="exact"/>
        <w:jc w:val="center"/>
        <w:outlineLvl w:val="0"/>
        <w:rPr>
          <w:rFonts w:hint="eastAsia" w:ascii="黑体" w:hAnsi="黑体" w:eastAsia="黑体"/>
          <w:color w:val="auto"/>
          <w:sz w:val="44"/>
          <w:szCs w:val="44"/>
          <w:highlight w:val="none"/>
        </w:rPr>
      </w:pPr>
    </w:p>
    <w:p w14:paraId="712BD81A">
      <w:pPr>
        <w:spacing w:line="600" w:lineRule="exact"/>
        <w:jc w:val="center"/>
        <w:outlineLvl w:val="0"/>
        <w:rPr>
          <w:rFonts w:hint="eastAsia" w:ascii="黑体" w:hAnsi="黑体" w:eastAsia="黑体"/>
          <w:color w:val="auto"/>
          <w:sz w:val="44"/>
          <w:szCs w:val="44"/>
          <w:highlight w:val="none"/>
        </w:rPr>
      </w:pPr>
    </w:p>
    <w:p w14:paraId="172C2D74">
      <w:pPr>
        <w:spacing w:line="600" w:lineRule="exact"/>
        <w:jc w:val="center"/>
        <w:outlineLvl w:val="0"/>
        <w:rPr>
          <w:rFonts w:hint="eastAsia" w:ascii="黑体" w:hAnsi="黑体" w:eastAsia="黑体"/>
          <w:color w:val="auto"/>
          <w:sz w:val="44"/>
          <w:szCs w:val="44"/>
          <w:highlight w:val="none"/>
        </w:rPr>
      </w:pPr>
    </w:p>
    <w:p w14:paraId="780CDCF5">
      <w:pPr>
        <w:spacing w:line="600" w:lineRule="exact"/>
        <w:jc w:val="center"/>
        <w:outlineLvl w:val="0"/>
        <w:rPr>
          <w:rFonts w:hint="eastAsia" w:ascii="黑体" w:hAnsi="黑体" w:eastAsia="黑体"/>
          <w:color w:val="auto"/>
          <w:sz w:val="44"/>
          <w:szCs w:val="44"/>
          <w:highlight w:val="none"/>
        </w:rPr>
      </w:pPr>
    </w:p>
    <w:p w14:paraId="669D2721">
      <w:pPr>
        <w:spacing w:line="600" w:lineRule="exact"/>
        <w:jc w:val="center"/>
        <w:outlineLvl w:val="0"/>
        <w:rPr>
          <w:rFonts w:hint="eastAsia" w:ascii="黑体" w:hAnsi="黑体" w:eastAsia="黑体"/>
          <w:color w:val="auto"/>
          <w:sz w:val="44"/>
          <w:szCs w:val="44"/>
          <w:highlight w:val="none"/>
        </w:rPr>
      </w:pPr>
    </w:p>
    <w:p w14:paraId="5F33F8D1">
      <w:pPr>
        <w:spacing w:line="600" w:lineRule="exact"/>
        <w:jc w:val="center"/>
        <w:outlineLvl w:val="0"/>
        <w:rPr>
          <w:rFonts w:hint="eastAsia" w:ascii="黑体" w:hAnsi="黑体" w:eastAsia="黑体"/>
          <w:color w:val="auto"/>
          <w:sz w:val="44"/>
          <w:szCs w:val="44"/>
          <w:highlight w:val="none"/>
        </w:rPr>
      </w:pPr>
    </w:p>
    <w:p w14:paraId="0D271CBA">
      <w:pPr>
        <w:spacing w:line="600" w:lineRule="exact"/>
        <w:jc w:val="center"/>
        <w:outlineLvl w:val="0"/>
        <w:rPr>
          <w:rFonts w:hint="eastAsia" w:ascii="黑体" w:hAnsi="黑体" w:eastAsia="黑体"/>
          <w:color w:val="auto"/>
          <w:sz w:val="44"/>
          <w:szCs w:val="44"/>
          <w:highlight w:val="none"/>
        </w:rPr>
      </w:pPr>
    </w:p>
    <w:p w14:paraId="3315DC5C">
      <w:pPr>
        <w:spacing w:line="600" w:lineRule="exact"/>
        <w:jc w:val="center"/>
        <w:outlineLvl w:val="0"/>
        <w:rPr>
          <w:rStyle w:val="15"/>
          <w:rFonts w:ascii="黑体" w:hAnsi="黑体" w:eastAsia="黑体"/>
          <w:b w:val="0"/>
          <w:color w:val="auto"/>
          <w:highlight w:val="none"/>
        </w:rPr>
      </w:pPr>
      <w:r>
        <w:rPr>
          <w:rFonts w:hint="eastAsia" w:ascii="黑体" w:hAnsi="黑体" w:eastAsia="黑体"/>
          <w:color w:val="auto"/>
          <w:sz w:val="44"/>
          <w:szCs w:val="44"/>
          <w:highlight w:val="none"/>
        </w:rPr>
        <w:t>第</w:t>
      </w:r>
      <w:r>
        <w:rPr>
          <w:rStyle w:val="15"/>
          <w:rFonts w:hint="eastAsia" w:ascii="黑体" w:hAnsi="黑体" w:eastAsia="黑体"/>
          <w:b w:val="0"/>
          <w:color w:val="auto"/>
          <w:highlight w:val="none"/>
        </w:rPr>
        <w:t>四部分 附件</w:t>
      </w:r>
      <w:bookmarkEnd w:id="51"/>
    </w:p>
    <w:p w14:paraId="5B51C1AD">
      <w:pPr>
        <w:spacing w:line="60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 xml:space="preserve">1 </w:t>
      </w:r>
    </w:p>
    <w:p w14:paraId="4EC99752">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eastAsia="zh-CN"/>
        </w:rPr>
        <w:t>万源市公路养护管理二段202</w:t>
      </w:r>
      <w:r>
        <w:rPr>
          <w:rFonts w:hint="eastAsia" w:ascii="方正小标宋简体" w:hAnsi="宋体" w:eastAsia="方正小标宋简体"/>
          <w:color w:val="000000"/>
          <w:kern w:val="0"/>
          <w:sz w:val="40"/>
          <w:szCs w:val="44"/>
          <w:lang w:val="en-US" w:eastAsia="zh-CN"/>
        </w:rPr>
        <w:t>3</w:t>
      </w:r>
      <w:r>
        <w:rPr>
          <w:rFonts w:hint="eastAsia" w:ascii="方正小标宋简体" w:hAnsi="宋体" w:eastAsia="方正小标宋简体"/>
          <w:color w:val="000000"/>
          <w:kern w:val="0"/>
          <w:sz w:val="40"/>
          <w:szCs w:val="44"/>
          <w:lang w:eastAsia="zh-CN"/>
        </w:rPr>
        <w:t>年</w:t>
      </w:r>
      <w:r>
        <w:rPr>
          <w:rFonts w:hint="eastAsia" w:ascii="方正小标宋简体" w:hAnsi="宋体" w:eastAsia="方正小标宋简体"/>
          <w:color w:val="000000"/>
          <w:kern w:val="0"/>
          <w:sz w:val="40"/>
          <w:szCs w:val="44"/>
          <w:lang w:val="en-US" w:eastAsia="zh-CN"/>
        </w:rPr>
        <w:t>部门</w:t>
      </w:r>
    </w:p>
    <w:p w14:paraId="52E8D795">
      <w:pPr>
        <w:spacing w:line="600" w:lineRule="exact"/>
        <w:ind w:firstLine="2000" w:firstLineChars="500"/>
        <w:jc w:val="both"/>
        <w:rPr>
          <w:rFonts w:hint="eastAsia" w:ascii="方正小标宋简体" w:hAnsi="宋体" w:eastAsia="方正小标宋简体"/>
          <w:color w:val="000000"/>
          <w:kern w:val="0"/>
          <w:sz w:val="40"/>
          <w:szCs w:val="44"/>
          <w:lang w:val="zh-CN" w:eastAsia="zh-CN"/>
        </w:rPr>
      </w:pPr>
      <w:r>
        <w:rPr>
          <w:rFonts w:hint="eastAsia" w:ascii="方正小标宋简体" w:hAnsi="宋体" w:eastAsia="方正小标宋简体"/>
          <w:color w:val="000000"/>
          <w:kern w:val="0"/>
          <w:sz w:val="40"/>
          <w:szCs w:val="44"/>
          <w:lang w:val="zh-CN" w:eastAsia="zh-CN"/>
        </w:rPr>
        <w:t>整体支出绩效评价报告</w:t>
      </w:r>
    </w:p>
    <w:p w14:paraId="1B81D784">
      <w:pPr>
        <w:widowControl/>
        <w:spacing w:line="580" w:lineRule="exact"/>
        <w:ind w:firstLine="1600" w:firstLineChars="500"/>
        <w:contextualSpacing/>
        <w:jc w:val="both"/>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14:paraId="00666332">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576BD3C2">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US" w:eastAsia="zh-CN" w:bidi="ar-SA"/>
        </w:rPr>
      </w:pPr>
      <w:bookmarkStart w:id="53" w:name="_Toc15396618"/>
      <w:r>
        <w:rPr>
          <w:rFonts w:hint="eastAsia" w:ascii="仿宋_GB2312" w:hAnsi="Calibri" w:eastAsia="仿宋_GB2312" w:cs="仿宋"/>
          <w:color w:val="000000"/>
          <w:kern w:val="0"/>
          <w:sz w:val="32"/>
          <w:szCs w:val="32"/>
          <w:lang w:val="zh-CN" w:eastAsia="zh-CN" w:bidi="ar-SA"/>
        </w:rPr>
        <w:t>一、部门（单位）基本情况</w:t>
      </w:r>
    </w:p>
    <w:p w14:paraId="0A18E719">
      <w:pPr>
        <w:widowControl/>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（一）机构组成。</w:t>
      </w:r>
    </w:p>
    <w:p w14:paraId="4EAA06AD">
      <w:pPr>
        <w:widowControl/>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我段设五股</w:t>
      </w:r>
      <w:r>
        <w:rPr>
          <w:rFonts w:hint="eastAsia" w:ascii="仿宋_GB2312" w:hAnsi="Calibri" w:eastAsia="仿宋_GB2312" w:cs="仿宋"/>
          <w:color w:val="000000"/>
          <w:kern w:val="0"/>
          <w:sz w:val="32"/>
          <w:szCs w:val="32"/>
          <w:lang w:val="en-US" w:eastAsia="zh-CN" w:bidi="ar-SA"/>
        </w:rPr>
        <w:t>两</w:t>
      </w:r>
      <w:r>
        <w:rPr>
          <w:rFonts w:hint="eastAsia" w:ascii="仿宋_GB2312" w:hAnsi="Calibri" w:eastAsia="仿宋_GB2312" w:cs="仿宋"/>
          <w:color w:val="000000"/>
          <w:kern w:val="0"/>
          <w:sz w:val="32"/>
          <w:szCs w:val="32"/>
          <w:lang w:val="zh-CN" w:eastAsia="zh-CN" w:bidi="ar-SA"/>
        </w:rPr>
        <w:t>室（综合办公室、</w:t>
      </w:r>
      <w:r>
        <w:rPr>
          <w:rFonts w:hint="eastAsia" w:ascii="仿宋_GB2312" w:hAnsi="Calibri" w:eastAsia="仿宋_GB2312" w:cs="仿宋"/>
          <w:color w:val="000000"/>
          <w:kern w:val="0"/>
          <w:sz w:val="32"/>
          <w:szCs w:val="32"/>
          <w:lang w:val="en-US" w:eastAsia="zh-CN" w:bidi="ar-SA"/>
        </w:rPr>
        <w:t>党建办公室、养护</w:t>
      </w:r>
      <w:r>
        <w:rPr>
          <w:rFonts w:hint="eastAsia" w:ascii="仿宋_GB2312" w:hAnsi="Calibri" w:eastAsia="仿宋_GB2312" w:cs="仿宋"/>
          <w:color w:val="000000"/>
          <w:kern w:val="0"/>
          <w:sz w:val="32"/>
          <w:szCs w:val="32"/>
          <w:lang w:val="zh-CN" w:eastAsia="zh-CN" w:bidi="ar-SA"/>
        </w:rPr>
        <w:t>股、安全股、机运后勤股、财务股、劳资股）、五个养护站（丁家湾、喻家坝、枞树梁、鼓耳梁、龚家坝）、三条承包路（官大路、白河路、河平路）。</w:t>
      </w:r>
    </w:p>
    <w:p w14:paraId="597AC5CC">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（二）机构职能。</w:t>
      </w:r>
    </w:p>
    <w:p w14:paraId="22EC5204">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万源市养路二段属公益一类事业单位，担负着万源市境内341.882公里道路的养护管理任务（其中国道G347官大段61.223公里，坪竹段64.9公里；城万快速通道23.175；县道XS12通小路42.63公里、县道XS05白河路45.568公里、县道X166河平路44.5公里、县道XS04双万路37.886公里；乡道老万城路21公里）。负责管养道路的日常养护、安全管理、应急抢险、汛期及冰雪天气道路保通保畅，确保管养道路安全畅通，为全市经济社会发展服务。</w:t>
      </w:r>
    </w:p>
    <w:p w14:paraId="4CDBBB15">
      <w:pPr>
        <w:widowControl/>
        <w:numPr>
          <w:ilvl w:val="0"/>
          <w:numId w:val="6"/>
        </w:numPr>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人员概况。</w:t>
      </w:r>
    </w:p>
    <w:p w14:paraId="4CFA45CA">
      <w:pPr>
        <w:widowControl/>
        <w:numPr>
          <w:ilvl w:val="0"/>
          <w:numId w:val="0"/>
        </w:numPr>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我段核定编制人数为</w:t>
      </w:r>
      <w:r>
        <w:rPr>
          <w:rFonts w:hint="eastAsia" w:ascii="仿宋_GB2312" w:hAnsi="Calibri" w:eastAsia="仿宋_GB2312" w:cs="仿宋"/>
          <w:color w:val="000000"/>
          <w:kern w:val="0"/>
          <w:sz w:val="32"/>
          <w:szCs w:val="32"/>
          <w:lang w:val="en-US" w:eastAsia="zh-CN" w:bidi="ar-SA"/>
        </w:rPr>
        <w:t>81</w:t>
      </w:r>
      <w:r>
        <w:rPr>
          <w:rFonts w:hint="eastAsia" w:ascii="仿宋_GB2312" w:hAnsi="Calibri" w:eastAsia="仿宋_GB2312" w:cs="仿宋"/>
          <w:color w:val="000000"/>
          <w:kern w:val="0"/>
          <w:sz w:val="32"/>
          <w:szCs w:val="32"/>
          <w:lang w:val="zh-CN" w:eastAsia="zh-CN" w:bidi="ar-SA"/>
        </w:rPr>
        <w:t>人，由于逐年退休，</w:t>
      </w:r>
      <w:r>
        <w:rPr>
          <w:rFonts w:hint="eastAsia" w:ascii="仿宋_GB2312" w:hAnsi="Calibri" w:eastAsia="仿宋_GB2312" w:cs="仿宋"/>
          <w:color w:val="000000"/>
          <w:kern w:val="0"/>
          <w:sz w:val="32"/>
          <w:szCs w:val="32"/>
          <w:lang w:val="en-US" w:eastAsia="zh-CN" w:bidi="ar-SA"/>
        </w:rPr>
        <w:t>截止到2023年12月底</w:t>
      </w:r>
      <w:r>
        <w:rPr>
          <w:rFonts w:hint="eastAsia" w:ascii="仿宋_GB2312" w:hAnsi="Calibri" w:eastAsia="仿宋_GB2312" w:cs="仿宋"/>
          <w:color w:val="000000"/>
          <w:kern w:val="0"/>
          <w:sz w:val="32"/>
          <w:szCs w:val="32"/>
          <w:lang w:val="zh-CN" w:eastAsia="zh-CN" w:bidi="ar-SA"/>
        </w:rPr>
        <w:t>实有在岗人数</w:t>
      </w:r>
      <w:r>
        <w:rPr>
          <w:rFonts w:hint="eastAsia" w:ascii="仿宋_GB2312" w:hAnsi="Calibri" w:eastAsia="仿宋_GB2312" w:cs="仿宋"/>
          <w:color w:val="000000"/>
          <w:kern w:val="0"/>
          <w:sz w:val="32"/>
          <w:szCs w:val="32"/>
          <w:lang w:val="en-US" w:eastAsia="zh-CN" w:bidi="ar-SA"/>
        </w:rPr>
        <w:t>61</w:t>
      </w:r>
      <w:r>
        <w:rPr>
          <w:rFonts w:hint="eastAsia" w:ascii="仿宋_GB2312" w:hAnsi="Calibri" w:eastAsia="仿宋_GB2312" w:cs="仿宋"/>
          <w:color w:val="000000"/>
          <w:kern w:val="0"/>
          <w:sz w:val="32"/>
          <w:szCs w:val="32"/>
          <w:lang w:val="zh-CN" w:eastAsia="zh-CN" w:bidi="ar-SA"/>
        </w:rPr>
        <w:t>人。</w:t>
      </w:r>
    </w:p>
    <w:p w14:paraId="5DD1FDBA">
      <w:pPr>
        <w:widowControl/>
        <w:numPr>
          <w:ilvl w:val="0"/>
          <w:numId w:val="0"/>
        </w:numPr>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p>
    <w:p w14:paraId="1FC5EF4C">
      <w:pPr>
        <w:spacing w:line="600" w:lineRule="exact"/>
        <w:ind w:firstLine="640" w:firstLineChars="200"/>
        <w:rPr>
          <w:rFonts w:hint="eastAsia" w:ascii="仿宋_GB2312" w:hAnsi="Calibri" w:eastAsia="仿宋_GB2312" w:cs="仿宋"/>
          <w:color w:val="000000"/>
          <w:kern w:val="0"/>
          <w:sz w:val="32"/>
          <w:szCs w:val="32"/>
          <w:lang w:val="en-US" w:eastAsia="zh-CN" w:bidi="ar-SA"/>
        </w:rPr>
      </w:pPr>
    </w:p>
    <w:p w14:paraId="3E7B39D1">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二、部门资金收支情况</w:t>
      </w:r>
    </w:p>
    <w:p w14:paraId="63D583D1">
      <w:pPr>
        <w:widowControl/>
        <w:numPr>
          <w:ilvl w:val="0"/>
          <w:numId w:val="0"/>
        </w:numPr>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（一）收入情况。截止20</w:t>
      </w:r>
      <w:r>
        <w:rPr>
          <w:rFonts w:hint="eastAsia" w:ascii="仿宋_GB2312" w:hAnsi="Calibri" w:eastAsia="仿宋_GB2312" w:cs="仿宋"/>
          <w:color w:val="000000"/>
          <w:kern w:val="0"/>
          <w:sz w:val="32"/>
          <w:szCs w:val="32"/>
          <w:lang w:val="en-US" w:eastAsia="zh-CN" w:bidi="ar-SA"/>
        </w:rPr>
        <w:t>23</w:t>
      </w:r>
      <w:r>
        <w:rPr>
          <w:rFonts w:hint="eastAsia" w:ascii="仿宋_GB2312" w:hAnsi="Calibri" w:eastAsia="仿宋_GB2312" w:cs="仿宋"/>
          <w:color w:val="000000"/>
          <w:kern w:val="0"/>
          <w:sz w:val="32"/>
          <w:szCs w:val="32"/>
          <w:lang w:val="zh-CN" w:eastAsia="zh-CN" w:bidi="ar-SA"/>
        </w:rPr>
        <w:t>年</w:t>
      </w:r>
      <w:r>
        <w:rPr>
          <w:rFonts w:hint="eastAsia" w:ascii="仿宋_GB2312" w:hAnsi="Calibri" w:eastAsia="仿宋_GB2312" w:cs="仿宋"/>
          <w:color w:val="000000"/>
          <w:kern w:val="0"/>
          <w:sz w:val="32"/>
          <w:szCs w:val="32"/>
          <w:lang w:val="en-US" w:eastAsia="zh-CN" w:bidi="ar-SA"/>
        </w:rPr>
        <w:t>12月末</w:t>
      </w:r>
      <w:r>
        <w:rPr>
          <w:rFonts w:hint="eastAsia" w:ascii="仿宋_GB2312" w:hAnsi="Calibri" w:eastAsia="仿宋_GB2312" w:cs="仿宋"/>
          <w:color w:val="000000"/>
          <w:kern w:val="0"/>
          <w:sz w:val="32"/>
          <w:szCs w:val="32"/>
          <w:lang w:val="zh-CN" w:eastAsia="zh-CN" w:bidi="ar-SA"/>
        </w:rPr>
        <w:t>纳入绩效监控财政拨款收入</w:t>
      </w:r>
      <w:r>
        <w:rPr>
          <w:rFonts w:hint="eastAsia" w:ascii="仿宋_GB2312" w:hAnsi="Calibri" w:eastAsia="仿宋_GB2312" w:cs="仿宋"/>
          <w:color w:val="000000"/>
          <w:kern w:val="0"/>
          <w:sz w:val="32"/>
          <w:szCs w:val="32"/>
          <w:lang w:val="en-US" w:eastAsia="zh-CN" w:bidi="ar-SA"/>
        </w:rPr>
        <w:t>1132.1</w:t>
      </w:r>
      <w:r>
        <w:rPr>
          <w:rFonts w:hint="eastAsia" w:ascii="仿宋_GB2312" w:hAnsi="Calibri" w:eastAsia="仿宋_GB2312" w:cs="仿宋"/>
          <w:color w:val="000000"/>
          <w:kern w:val="0"/>
          <w:sz w:val="32"/>
          <w:szCs w:val="32"/>
          <w:lang w:val="zh-CN" w:eastAsia="zh-CN" w:bidi="ar-SA"/>
        </w:rPr>
        <w:t>万元。</w:t>
      </w:r>
    </w:p>
    <w:p w14:paraId="2166D2F7">
      <w:pPr>
        <w:widowControl/>
        <w:numPr>
          <w:ilvl w:val="0"/>
          <w:numId w:val="0"/>
        </w:numPr>
        <w:adjustRightInd w:val="0"/>
        <w:snapToGrid w:val="0"/>
        <w:spacing w:line="580"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（二）支出情况。截止20</w:t>
      </w:r>
      <w:r>
        <w:rPr>
          <w:rFonts w:hint="eastAsia" w:ascii="仿宋_GB2312" w:hAnsi="Calibri" w:eastAsia="仿宋_GB2312" w:cs="仿宋"/>
          <w:color w:val="000000"/>
          <w:kern w:val="0"/>
          <w:sz w:val="32"/>
          <w:szCs w:val="32"/>
          <w:lang w:val="en-US" w:eastAsia="zh-CN" w:bidi="ar-SA"/>
        </w:rPr>
        <w:t>23</w:t>
      </w:r>
      <w:r>
        <w:rPr>
          <w:rFonts w:hint="eastAsia" w:ascii="仿宋_GB2312" w:hAnsi="Calibri" w:eastAsia="仿宋_GB2312" w:cs="仿宋"/>
          <w:color w:val="000000"/>
          <w:kern w:val="0"/>
          <w:sz w:val="32"/>
          <w:szCs w:val="32"/>
          <w:lang w:val="zh-CN" w:eastAsia="zh-CN" w:bidi="ar-SA"/>
        </w:rPr>
        <w:t>年</w:t>
      </w:r>
      <w:r>
        <w:rPr>
          <w:rFonts w:hint="eastAsia" w:ascii="仿宋_GB2312" w:hAnsi="Calibri" w:eastAsia="仿宋_GB2312" w:cs="仿宋"/>
          <w:color w:val="000000"/>
          <w:kern w:val="0"/>
          <w:sz w:val="32"/>
          <w:szCs w:val="32"/>
          <w:lang w:val="en-US" w:eastAsia="zh-CN" w:bidi="ar-SA"/>
        </w:rPr>
        <w:t>12月末</w:t>
      </w:r>
      <w:r>
        <w:rPr>
          <w:rFonts w:hint="eastAsia" w:ascii="仿宋_GB2312" w:hAnsi="Calibri" w:eastAsia="仿宋_GB2312" w:cs="仿宋"/>
          <w:color w:val="000000"/>
          <w:kern w:val="0"/>
          <w:sz w:val="32"/>
          <w:szCs w:val="32"/>
          <w:lang w:val="zh-CN" w:eastAsia="zh-CN" w:bidi="ar-SA"/>
        </w:rPr>
        <w:t>纳入绩效监控财政拨款</w:t>
      </w:r>
      <w:r>
        <w:rPr>
          <w:rFonts w:hint="eastAsia" w:ascii="仿宋_GB2312" w:hAnsi="Calibri" w:eastAsia="仿宋_GB2312" w:cs="仿宋"/>
          <w:color w:val="000000"/>
          <w:kern w:val="0"/>
          <w:sz w:val="32"/>
          <w:szCs w:val="32"/>
          <w:lang w:val="en-US" w:eastAsia="zh-CN" w:bidi="ar-SA"/>
        </w:rPr>
        <w:t>支出1132.1</w:t>
      </w:r>
      <w:r>
        <w:rPr>
          <w:rFonts w:hint="eastAsia" w:ascii="仿宋_GB2312" w:hAnsi="Calibri" w:eastAsia="仿宋_GB2312" w:cs="仿宋"/>
          <w:color w:val="000000"/>
          <w:kern w:val="0"/>
          <w:sz w:val="32"/>
          <w:szCs w:val="32"/>
          <w:lang w:val="zh-CN" w:eastAsia="zh-CN" w:bidi="ar-SA"/>
        </w:rPr>
        <w:t>万元。</w:t>
      </w:r>
    </w:p>
    <w:p w14:paraId="2F8E7EB6">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三、部门预算绩效分析</w:t>
      </w:r>
    </w:p>
    <w:p w14:paraId="0F47F6A8">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（一）部门预算总体绩效分析。根据部门预算绩效评价指标体系“总体绩效”涉及二、三级指标进行逐项绩效分析并评分，依次包括履职效能、预算管理、财务管理、资产管理、采购管理等情况。</w:t>
      </w:r>
    </w:p>
    <w:p w14:paraId="2043AE7A">
      <w:pPr>
        <w:widowControl/>
        <w:numPr>
          <w:ilvl w:val="0"/>
          <w:numId w:val="0"/>
        </w:numPr>
        <w:adjustRightInd w:val="0"/>
        <w:snapToGrid w:val="0"/>
        <w:spacing w:line="580" w:lineRule="exact"/>
        <w:ind w:firstLine="640" w:firstLineChars="200"/>
        <w:contextualSpacing/>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w:t>
      </w:r>
      <w:r>
        <w:rPr>
          <w:rFonts w:hint="eastAsia" w:ascii="仿宋_GB2312" w:hAnsi="Calibri" w:eastAsia="仿宋_GB2312" w:cs="仿宋"/>
          <w:color w:val="000000"/>
          <w:kern w:val="0"/>
          <w:sz w:val="32"/>
          <w:szCs w:val="32"/>
          <w:lang w:val="zh-CN" w:eastAsia="zh-CN" w:bidi="ar-SA"/>
        </w:rPr>
        <w:t>履职效能。</w:t>
      </w:r>
      <w:r>
        <w:rPr>
          <w:rFonts w:hint="eastAsia" w:ascii="仿宋_GB2312" w:hAnsi="Calibri" w:eastAsia="仿宋_GB2312" w:cs="仿宋"/>
          <w:color w:val="000000"/>
          <w:kern w:val="0"/>
          <w:sz w:val="32"/>
          <w:szCs w:val="32"/>
          <w:lang w:val="en-US" w:eastAsia="zh-CN" w:bidi="ar-SA"/>
        </w:rPr>
        <w:t>至2023年12月31日，已完成道路巡查次数100次；巡查道路公里数大于15000公里；道路安全隐患整改率超过90%；管养道路保通率大于90%。2023年本单位部门整体绩效目标均已完成。</w:t>
      </w:r>
    </w:p>
    <w:p w14:paraId="1B6D1732">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2.</w:t>
      </w:r>
      <w:r>
        <w:rPr>
          <w:rFonts w:hint="eastAsia" w:ascii="仿宋_GB2312" w:hAnsi="Calibri" w:eastAsia="仿宋_GB2312" w:cs="仿宋"/>
          <w:color w:val="000000"/>
          <w:kern w:val="0"/>
          <w:sz w:val="32"/>
          <w:szCs w:val="32"/>
          <w:lang w:val="zh-CN" w:eastAsia="zh-CN" w:bidi="ar-SA"/>
        </w:rPr>
        <w:t>预算管理。部门严格按要求编制年初部门预算，年初预算编制</w:t>
      </w:r>
      <w:r>
        <w:rPr>
          <w:rFonts w:hint="eastAsia" w:ascii="仿宋_GB2312" w:hAnsi="Calibri" w:eastAsia="仿宋_GB2312" w:cs="仿宋"/>
          <w:color w:val="000000"/>
          <w:kern w:val="0"/>
          <w:sz w:val="32"/>
          <w:szCs w:val="32"/>
          <w:lang w:val="en-US" w:eastAsia="zh-CN" w:bidi="ar-SA"/>
        </w:rPr>
        <w:t>具有</w:t>
      </w:r>
      <w:r>
        <w:rPr>
          <w:rFonts w:hint="eastAsia" w:ascii="仿宋_GB2312" w:hAnsi="Calibri" w:eastAsia="仿宋_GB2312" w:cs="仿宋"/>
          <w:color w:val="000000"/>
          <w:kern w:val="0"/>
          <w:sz w:val="32"/>
          <w:szCs w:val="32"/>
          <w:lang w:val="zh-CN" w:eastAsia="zh-CN" w:bidi="ar-SA"/>
        </w:rPr>
        <w:t>科学性和准确性，财政拨款预算偏离度、政府采购预算偏离度、资产配置预算偏离度</w:t>
      </w:r>
      <w:r>
        <w:rPr>
          <w:rFonts w:hint="eastAsia" w:ascii="仿宋_GB2312" w:hAnsi="Calibri" w:eastAsia="仿宋_GB2312" w:cs="仿宋"/>
          <w:color w:val="000000"/>
          <w:kern w:val="0"/>
          <w:sz w:val="32"/>
          <w:szCs w:val="32"/>
          <w:lang w:val="en-US" w:eastAsia="zh-CN" w:bidi="ar-SA"/>
        </w:rPr>
        <w:t>均较低；部门1至6月、1至9月、1至11月预算执行情况均达到了40%、70%、84%；部门整体年终预算结余为0；一般性支出财政拨款年初预算较上年实现压减</w:t>
      </w:r>
      <w:r>
        <w:rPr>
          <w:rFonts w:hint="eastAsia" w:ascii="仿宋_GB2312" w:hAnsi="Calibri" w:eastAsia="仿宋_GB2312" w:cs="仿宋"/>
          <w:color w:val="000000"/>
          <w:kern w:val="0"/>
          <w:sz w:val="32"/>
          <w:szCs w:val="32"/>
          <w:lang w:val="zh-CN" w:eastAsia="zh-CN" w:bidi="ar-SA"/>
        </w:rPr>
        <w:t>。</w:t>
      </w:r>
    </w:p>
    <w:p w14:paraId="3BCF10CD">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p>
    <w:p w14:paraId="2247A1A2">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3.</w:t>
      </w:r>
      <w:r>
        <w:rPr>
          <w:rFonts w:hint="eastAsia" w:ascii="仿宋_GB2312" w:hAnsi="Calibri" w:eastAsia="仿宋_GB2312" w:cs="仿宋"/>
          <w:color w:val="000000"/>
          <w:kern w:val="0"/>
          <w:sz w:val="32"/>
          <w:szCs w:val="32"/>
          <w:lang w:val="zh-CN" w:eastAsia="zh-CN" w:bidi="ar-SA"/>
        </w:rPr>
        <w:t>财务管理。部门已制定绩效管理制度等制度机制，</w:t>
      </w:r>
      <w:r>
        <w:rPr>
          <w:rFonts w:hint="eastAsia" w:ascii="仿宋_GB2312" w:hAnsi="Calibri" w:eastAsia="仿宋_GB2312" w:cs="仿宋"/>
          <w:color w:val="000000"/>
          <w:kern w:val="0"/>
          <w:sz w:val="32"/>
          <w:szCs w:val="32"/>
          <w:lang w:val="en-US" w:eastAsia="zh-CN" w:bidi="ar-SA"/>
        </w:rPr>
        <w:t>且</w:t>
      </w:r>
      <w:r>
        <w:rPr>
          <w:rFonts w:hint="eastAsia" w:ascii="仿宋_GB2312" w:hAnsi="Calibri" w:eastAsia="仿宋_GB2312" w:cs="仿宋"/>
          <w:color w:val="000000"/>
          <w:kern w:val="0"/>
          <w:sz w:val="32"/>
          <w:szCs w:val="32"/>
          <w:lang w:val="zh-CN" w:eastAsia="zh-CN" w:bidi="ar-SA"/>
        </w:rPr>
        <w:t>绩效管理制度得到落实；部门已制定内部财务管理制度等制度机制，</w:t>
      </w:r>
      <w:r>
        <w:rPr>
          <w:rFonts w:hint="eastAsia" w:ascii="仿宋_GB2312" w:hAnsi="Calibri" w:eastAsia="仿宋_GB2312" w:cs="仿宋"/>
          <w:color w:val="000000"/>
          <w:kern w:val="0"/>
          <w:sz w:val="32"/>
          <w:szCs w:val="32"/>
          <w:lang w:val="en-US" w:eastAsia="zh-CN" w:bidi="ar-SA"/>
        </w:rPr>
        <w:t>且</w:t>
      </w:r>
      <w:r>
        <w:rPr>
          <w:rFonts w:hint="eastAsia" w:ascii="仿宋_GB2312" w:hAnsi="Calibri" w:eastAsia="仿宋_GB2312" w:cs="仿宋"/>
          <w:color w:val="000000"/>
          <w:kern w:val="0"/>
          <w:sz w:val="32"/>
          <w:szCs w:val="32"/>
          <w:lang w:val="zh-CN" w:eastAsia="zh-CN" w:bidi="ar-SA"/>
        </w:rPr>
        <w:t>财务管理制度得到落实；部门合理设置财务工作岗位，明确职责权限，并严格实行不相容岗位分离；部门资金使用</w:t>
      </w:r>
      <w:r>
        <w:rPr>
          <w:rFonts w:hint="eastAsia" w:ascii="仿宋_GB2312" w:hAnsi="Calibri" w:eastAsia="仿宋_GB2312" w:cs="仿宋"/>
          <w:color w:val="000000"/>
          <w:kern w:val="0"/>
          <w:sz w:val="32"/>
          <w:szCs w:val="32"/>
          <w:lang w:val="en-US" w:eastAsia="zh-CN" w:bidi="ar-SA"/>
        </w:rPr>
        <w:t>均</w:t>
      </w:r>
      <w:r>
        <w:rPr>
          <w:rFonts w:hint="eastAsia" w:ascii="仿宋_GB2312" w:hAnsi="Calibri" w:eastAsia="仿宋_GB2312" w:cs="仿宋"/>
          <w:color w:val="000000"/>
          <w:kern w:val="0"/>
          <w:sz w:val="32"/>
          <w:szCs w:val="32"/>
          <w:lang w:val="zh-CN" w:eastAsia="zh-CN" w:bidi="ar-SA"/>
        </w:rPr>
        <w:t>符合相关财务管理制度规定。</w:t>
      </w:r>
    </w:p>
    <w:p w14:paraId="08290DEA">
      <w:pPr>
        <w:adjustRightInd w:val="0"/>
        <w:snapToGrid w:val="0"/>
        <w:spacing w:line="578" w:lineRule="exact"/>
        <w:ind w:firstLine="640" w:firstLineChars="200"/>
        <w:contextualSpacing/>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w:t>
      </w:r>
      <w:r>
        <w:rPr>
          <w:rFonts w:hint="eastAsia" w:ascii="仿宋_GB2312" w:hAnsi="Calibri" w:eastAsia="仿宋_GB2312" w:cs="仿宋"/>
          <w:color w:val="000000"/>
          <w:kern w:val="0"/>
          <w:sz w:val="32"/>
          <w:szCs w:val="32"/>
          <w:lang w:val="zh-CN" w:eastAsia="zh-CN" w:bidi="ar-SA"/>
        </w:rPr>
        <w:t>资产管理。人均资产变化率</w:t>
      </w:r>
      <w:r>
        <w:rPr>
          <w:rFonts w:hint="eastAsia" w:ascii="仿宋_GB2312" w:hAnsi="Calibri" w:eastAsia="仿宋_GB2312" w:cs="仿宋"/>
          <w:color w:val="000000"/>
          <w:kern w:val="0"/>
          <w:sz w:val="32"/>
          <w:szCs w:val="32"/>
          <w:lang w:val="en-US" w:eastAsia="zh-CN" w:bidi="ar-SA"/>
        </w:rPr>
        <w:t>=-2.5%，资产利用率：部门办公家具超最低使用年限资产利用率=14.36%、部门办公设备超最低使用年限资产利用率=97.2%，</w:t>
      </w:r>
      <w:r>
        <w:rPr>
          <w:rFonts w:hint="eastAsia" w:ascii="仿宋_GB2312" w:hAnsi="Calibri" w:eastAsia="仿宋_GB2312" w:cs="仿宋"/>
          <w:color w:val="000000"/>
          <w:kern w:val="0"/>
          <w:sz w:val="32"/>
          <w:szCs w:val="32"/>
          <w:lang w:val="zh-CN" w:eastAsia="zh-CN" w:bidi="ar-SA"/>
        </w:rPr>
        <w:t>资产盘活率：部门闲置资产占比变化率=</w:t>
      </w:r>
      <w:r>
        <w:rPr>
          <w:rFonts w:hint="eastAsia" w:ascii="仿宋_GB2312" w:hAnsi="Calibri" w:eastAsia="仿宋_GB2312" w:cs="仿宋"/>
          <w:color w:val="000000"/>
          <w:kern w:val="0"/>
          <w:sz w:val="32"/>
          <w:szCs w:val="32"/>
          <w:lang w:val="en-US" w:eastAsia="zh-CN" w:bidi="ar-SA"/>
        </w:rPr>
        <w:t>0</w:t>
      </w:r>
      <w:r>
        <w:rPr>
          <w:rFonts w:hint="eastAsia" w:ascii="仿宋_GB2312" w:hAnsi="Calibri" w:eastAsia="仿宋_GB2312" w:cs="仿宋"/>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本单位通过延长资产使用年限提高资产使用效益。</w:t>
      </w:r>
    </w:p>
    <w:p w14:paraId="4F313B09">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5.</w:t>
      </w:r>
      <w:r>
        <w:rPr>
          <w:rFonts w:hint="eastAsia" w:ascii="仿宋_GB2312" w:hAnsi="Calibri" w:eastAsia="仿宋_GB2312" w:cs="仿宋"/>
          <w:color w:val="000000"/>
          <w:kern w:val="0"/>
          <w:sz w:val="32"/>
          <w:szCs w:val="32"/>
          <w:lang w:val="zh-CN" w:eastAsia="zh-CN" w:bidi="ar-SA"/>
        </w:rPr>
        <w:t>采购管理。</w:t>
      </w:r>
      <w:r>
        <w:rPr>
          <w:rFonts w:hint="eastAsia" w:ascii="仿宋_GB2312" w:hAnsi="Calibri" w:eastAsia="仿宋_GB2312" w:cs="仿宋"/>
          <w:color w:val="000000"/>
          <w:kern w:val="0"/>
          <w:sz w:val="32"/>
          <w:szCs w:val="32"/>
          <w:lang w:val="en-US" w:eastAsia="zh-CN" w:bidi="ar-SA"/>
        </w:rPr>
        <w:t>采购执行率=100%，2023年政府采购实际已完成。本单位</w:t>
      </w:r>
      <w:r>
        <w:rPr>
          <w:rFonts w:hint="eastAsia" w:ascii="仿宋_GB2312" w:hAnsi="Calibri" w:eastAsia="仿宋_GB2312" w:cs="仿宋"/>
          <w:color w:val="000000"/>
          <w:kern w:val="0"/>
          <w:sz w:val="32"/>
          <w:szCs w:val="32"/>
          <w:lang w:val="zh-CN" w:eastAsia="zh-CN" w:bidi="ar-SA"/>
        </w:rPr>
        <w:t>对适宜由中小企业提供的采购项目和采购包，</w:t>
      </w:r>
      <w:r>
        <w:rPr>
          <w:rFonts w:hint="eastAsia" w:ascii="仿宋_GB2312" w:hAnsi="Calibri" w:eastAsia="仿宋_GB2312" w:cs="仿宋"/>
          <w:color w:val="000000"/>
          <w:kern w:val="0"/>
          <w:sz w:val="32"/>
          <w:szCs w:val="32"/>
          <w:lang w:val="en-US" w:eastAsia="zh-CN" w:bidi="ar-SA"/>
        </w:rPr>
        <w:t>面向中小企业进行政府采购。</w:t>
      </w:r>
    </w:p>
    <w:p w14:paraId="179AF3C9">
      <w:pPr>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p>
    <w:p w14:paraId="5A146147">
      <w:pPr>
        <w:numPr>
          <w:ilvl w:val="0"/>
          <w:numId w:val="7"/>
        </w:numPr>
        <w:spacing w:line="578" w:lineRule="exact"/>
        <w:ind w:firstLine="640" w:firstLineChars="20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部门预算项目绩效分析。</w:t>
      </w:r>
    </w:p>
    <w:p w14:paraId="361E6BB6">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2023年本单位无预算项目。</w:t>
      </w:r>
    </w:p>
    <w:p w14:paraId="3E32475A">
      <w:pPr>
        <w:widowControl/>
        <w:numPr>
          <w:ilvl w:val="0"/>
          <w:numId w:val="7"/>
        </w:numPr>
        <w:adjustRightInd w:val="0"/>
        <w:snapToGrid w:val="0"/>
        <w:spacing w:line="578" w:lineRule="exact"/>
        <w:ind w:left="0" w:leftChars="0" w:firstLine="640" w:firstLineChars="2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重点领域绩效分析。</w:t>
      </w:r>
    </w:p>
    <w:p w14:paraId="22BA30D6">
      <w:pPr>
        <w:widowControl/>
        <w:numPr>
          <w:ilvl w:val="0"/>
          <w:numId w:val="0"/>
        </w:numPr>
        <w:adjustRightInd w:val="0"/>
        <w:snapToGrid w:val="0"/>
        <w:spacing w:line="578" w:lineRule="exact"/>
        <w:ind w:leftChars="200"/>
        <w:contextualSpacing/>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2023年政府采购均为跨年度采购。</w:t>
      </w:r>
    </w:p>
    <w:p w14:paraId="38F703E1">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（四）绩效结果应用情况。我单位通过</w:t>
      </w:r>
      <w:r>
        <w:rPr>
          <w:rFonts w:hint="eastAsia" w:ascii="仿宋_GB2312" w:hAnsi="Calibri" w:eastAsia="仿宋_GB2312" w:cs="仿宋"/>
          <w:color w:val="000000"/>
          <w:kern w:val="0"/>
          <w:sz w:val="32"/>
          <w:szCs w:val="32"/>
          <w:lang w:val="en-US" w:eastAsia="zh-CN" w:bidi="ar-SA"/>
        </w:rPr>
        <w:t>2023年绩效目标制定、中期评价、事后评价等一系列手段，会同相关业务股室，结合2023年度预计工作任务，有针对性的编制了2024年预算，在保障干部职工工资及对个人和家庭补助支出、日常公用经费等刚性支出，又围绕中心，服务大局，有目的性的制定了2024年绩效目标。通过绩效评价体系，我单位对预算的编制、执行、控制的过程有了科学系统的监控，对于监控结果出现偏差的能及时进行处置。</w:t>
      </w:r>
    </w:p>
    <w:p w14:paraId="05607C81">
      <w:pPr>
        <w:snapToGrid w:val="0"/>
        <w:spacing w:line="600" w:lineRule="exact"/>
        <w:ind w:firstLine="640" w:firstLineChars="200"/>
        <w:rPr>
          <w:rFonts w:hint="eastAsia" w:ascii="仿宋_GB2312" w:hAnsi="Calibri" w:eastAsia="仿宋_GB2312" w:cs="仿宋"/>
          <w:color w:val="000000"/>
          <w:kern w:val="0"/>
          <w:sz w:val="32"/>
          <w:szCs w:val="32"/>
          <w:lang w:val="en-US" w:eastAsia="zh-CN" w:bidi="ar-SA"/>
        </w:rPr>
      </w:pPr>
    </w:p>
    <w:p w14:paraId="1C99AA37">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四、评价结论及建议</w:t>
      </w:r>
    </w:p>
    <w:p w14:paraId="673B0A1F">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（一）评价结论。</w:t>
      </w:r>
      <w:r>
        <w:rPr>
          <w:rFonts w:hint="eastAsia" w:ascii="仿宋_GB2312" w:hAnsi="Calibri" w:eastAsia="仿宋_GB2312" w:cs="仿宋"/>
          <w:color w:val="000000"/>
          <w:kern w:val="0"/>
          <w:sz w:val="32"/>
          <w:szCs w:val="32"/>
          <w:lang w:val="en-US" w:eastAsia="zh-CN" w:bidi="ar-SA"/>
        </w:rPr>
        <w:t>万源公路养护管理二段2023年部门整体预算绩效管理情况较好。整体支出预算绩效目标申报完整规范，指标下达及时，绩效评价及时科学，部门整体支出绩效评价报告按要求及时完成并在政府信息网上进行了公示。</w:t>
      </w:r>
    </w:p>
    <w:p w14:paraId="2775E2BC">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（二）存在问题。</w:t>
      </w:r>
      <w:r>
        <w:rPr>
          <w:rFonts w:hint="eastAsia" w:ascii="仿宋_GB2312" w:hAnsi="Calibri" w:eastAsia="仿宋_GB2312" w:cs="仿宋"/>
          <w:color w:val="000000"/>
          <w:kern w:val="0"/>
          <w:sz w:val="32"/>
          <w:szCs w:val="32"/>
          <w:lang w:val="en-US" w:eastAsia="zh-CN" w:bidi="ar-SA"/>
        </w:rPr>
        <w:t>由于人员职责分工变动，不能保证绩效管理工作的专业化进行，由于预算绩效管理的专业性、复杂性等特性，工作人员的业务能力急需加强培训。</w:t>
      </w:r>
    </w:p>
    <w:p w14:paraId="0E691D87">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（三）改进建议。</w:t>
      </w:r>
      <w:bookmarkStart w:id="54" w:name="_Hlk110546638"/>
      <w:r>
        <w:rPr>
          <w:rFonts w:hint="eastAsia" w:ascii="仿宋_GB2312" w:hAnsi="Calibri" w:eastAsia="仿宋_GB2312" w:cs="仿宋"/>
          <w:color w:val="000000"/>
          <w:kern w:val="0"/>
          <w:sz w:val="32"/>
          <w:szCs w:val="32"/>
          <w:lang w:val="en-US" w:eastAsia="zh-CN" w:bidi="ar-SA"/>
        </w:rPr>
        <w:t>1、研究制定我段更加具体的预算绩效管理操作规程，规范各类专项资金绩效评价具体的操作方式，进一步提高财政专项资金绩效评价的质量。</w:t>
      </w:r>
    </w:p>
    <w:p w14:paraId="3A457A8D">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2、全力抓好专项支出绩效目标管理工作，逐步推广，积极推进财政专项资金预算绩效目标管理新机制。</w:t>
      </w:r>
    </w:p>
    <w:p w14:paraId="40C4FE96">
      <w:pPr>
        <w:widowControl/>
        <w:numPr>
          <w:ilvl w:val="0"/>
          <w:numId w:val="0"/>
        </w:numPr>
        <w:adjustRightInd w:val="0"/>
        <w:snapToGrid w:val="0"/>
        <w:spacing w:line="580" w:lineRule="exact"/>
        <w:ind w:firstLine="960" w:firstLineChars="300"/>
        <w:contextualSpacing/>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3、加大力度招聘相关人才，促进财务相关人员专业知识学习，提高自身业务水平。</w:t>
      </w:r>
    </w:p>
    <w:p w14:paraId="5F15B56B">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en" w:eastAsia="zh-CN" w:bidi="ar-SA"/>
        </w:rPr>
      </w:pPr>
    </w:p>
    <w:bookmarkEnd w:id="54"/>
    <w:p w14:paraId="05190376">
      <w:pPr>
        <w:widowControl/>
        <w:adjustRightInd w:val="0"/>
        <w:snapToGrid w:val="0"/>
        <w:spacing w:line="578" w:lineRule="exact"/>
        <w:ind w:firstLine="640" w:firstLineChars="200"/>
        <w:contextualSpacing/>
        <w:jc w:val="left"/>
        <w:rPr>
          <w:rFonts w:hint="eastAsia" w:ascii="仿宋_GB2312" w:hAnsi="Calibri" w:eastAsia="仿宋_GB2312" w:cs="仿宋"/>
          <w:color w:val="000000"/>
          <w:kern w:val="0"/>
          <w:sz w:val="32"/>
          <w:szCs w:val="32"/>
          <w:lang w:val="zh-CN" w:eastAsia="zh-CN" w:bidi="ar-SA"/>
        </w:rPr>
      </w:pPr>
    </w:p>
    <w:p w14:paraId="090E3C0B">
      <w:pPr>
        <w:spacing w:line="578" w:lineRule="exact"/>
        <w:contextualSpacing/>
        <w:rPr>
          <w:rFonts w:hint="eastAsia" w:ascii="仿宋_GB2312" w:hAnsi="Calibri" w:eastAsia="仿宋_GB2312" w:cs="仿宋"/>
          <w:color w:val="000000"/>
          <w:kern w:val="0"/>
          <w:sz w:val="32"/>
          <w:szCs w:val="32"/>
          <w:lang w:val="en-US" w:eastAsia="zh-CN" w:bidi="ar-SA"/>
        </w:rPr>
      </w:pPr>
    </w:p>
    <w:p w14:paraId="28C52EC9">
      <w:pPr>
        <w:spacing w:line="578"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附表：部门整体支出绩效目标完成情况自评表</w:t>
      </w:r>
      <w:r>
        <w:rPr>
          <w:rFonts w:hint="eastAsia" w:ascii="仿宋_GB2312" w:hAnsi="Calibri" w:eastAsia="仿宋_GB2312" w:cs="仿宋"/>
          <w:color w:val="000000"/>
          <w:kern w:val="0"/>
          <w:sz w:val="32"/>
          <w:szCs w:val="32"/>
          <w:lang w:val="en-US" w:eastAsia="zh-CN" w:bidi="ar-SA"/>
        </w:rPr>
        <w:br w:type="page"/>
      </w:r>
      <w:r>
        <w:rPr>
          <w:rFonts w:hint="eastAsia" w:ascii="仿宋_GB2312" w:hAnsi="Calibri" w:eastAsia="仿宋_GB2312" w:cs="仿宋"/>
          <w:color w:val="000000"/>
          <w:kern w:val="0"/>
          <w:sz w:val="32"/>
          <w:szCs w:val="32"/>
          <w:lang w:val="en-US" w:eastAsia="zh-CN" w:bidi="ar-SA"/>
        </w:rPr>
        <w:t>附表</w:t>
      </w:r>
    </w:p>
    <w:tbl>
      <w:tblPr>
        <w:tblStyle w:val="12"/>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926"/>
        <w:gridCol w:w="1114"/>
      </w:tblGrid>
      <w:tr w14:paraId="020D96B9">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0C1ABD2D">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14:paraId="0EAA4AA7">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53E8060E">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（2023年度）</w:t>
            </w:r>
          </w:p>
        </w:tc>
      </w:tr>
      <w:tr w14:paraId="4034BED7">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2A618147">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14:paraId="3FC9ADA5">
        <w:tblPrEx>
          <w:tblCellMar>
            <w:top w:w="15" w:type="dxa"/>
            <w:left w:w="15" w:type="dxa"/>
            <w:bottom w:w="15" w:type="dxa"/>
            <w:right w:w="15" w:type="dxa"/>
          </w:tblCellMar>
        </w:tblPrEx>
        <w:trPr>
          <w:trHeight w:val="23"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95FA5">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CE2952">
            <w:pPr>
              <w:widowControl/>
              <w:spacing w:line="300" w:lineRule="exact"/>
              <w:jc w:val="center"/>
              <w:textAlignment w:val="center"/>
              <w:rPr>
                <w:rFonts w:hint="default" w:eastAsia="宋体"/>
                <w:color w:val="000000"/>
                <w:sz w:val="24"/>
                <w:lang w:val="en-US" w:eastAsia="zh-CN"/>
              </w:rPr>
            </w:pPr>
            <w:r>
              <w:rPr>
                <w:rFonts w:hint="eastAsia" w:eastAsia="宋体"/>
                <w:color w:val="000000"/>
                <w:sz w:val="24"/>
                <w:lang w:val="en-US" w:eastAsia="zh-CN"/>
              </w:rPr>
              <w:t>万源市公路养护管理二段</w:t>
            </w:r>
          </w:p>
        </w:tc>
      </w:tr>
      <w:tr w14:paraId="3A43BD16">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A7C9D">
            <w:pPr>
              <w:widowControl/>
              <w:spacing w:line="300" w:lineRule="exact"/>
              <w:jc w:val="center"/>
              <w:textAlignment w:val="center"/>
              <w:rPr>
                <w:rFonts w:eastAsia="宋体"/>
                <w:color w:val="000000"/>
                <w:sz w:val="24"/>
              </w:rPr>
            </w:pPr>
            <w:r>
              <w:rPr>
                <w:rFonts w:eastAsia="宋体"/>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81E96">
            <w:pPr>
              <w:widowControl/>
              <w:spacing w:line="300" w:lineRule="exact"/>
              <w:jc w:val="center"/>
              <w:textAlignment w:val="center"/>
              <w:rPr>
                <w:rFonts w:eastAsia="宋体"/>
                <w:color w:val="000000"/>
                <w:sz w:val="24"/>
              </w:rPr>
            </w:pPr>
            <w:r>
              <w:rPr>
                <w:rFonts w:eastAsia="宋体"/>
                <w:color w:val="000000"/>
                <w:kern w:val="0"/>
                <w:sz w:val="24"/>
                <w:lang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70285">
            <w:pPr>
              <w:widowControl/>
              <w:spacing w:line="300" w:lineRule="exact"/>
              <w:jc w:val="center"/>
              <w:textAlignment w:val="center"/>
              <w:rPr>
                <w:rFonts w:eastAsia="宋体"/>
                <w:color w:val="000000"/>
                <w:sz w:val="24"/>
              </w:rPr>
            </w:pPr>
            <w:r>
              <w:rPr>
                <w:rFonts w:eastAsia="宋体"/>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A1E91">
            <w:pPr>
              <w:widowControl/>
              <w:spacing w:line="300" w:lineRule="exact"/>
              <w:jc w:val="center"/>
              <w:textAlignment w:val="center"/>
              <w:rPr>
                <w:rFonts w:eastAsia="宋体"/>
                <w:color w:val="000000"/>
                <w:sz w:val="24"/>
              </w:rPr>
            </w:pPr>
            <w:r>
              <w:rPr>
                <w:rFonts w:eastAsia="宋体"/>
                <w:color w:val="000000"/>
                <w:kern w:val="0"/>
                <w:sz w:val="24"/>
                <w:lang w:bidi="ar"/>
              </w:rPr>
              <w:t>其他资金</w:t>
            </w:r>
          </w:p>
        </w:tc>
      </w:tr>
      <w:tr w14:paraId="699804FE">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88FD">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6E3EC">
            <w:pPr>
              <w:widowControl/>
              <w:spacing w:line="300" w:lineRule="exact"/>
              <w:jc w:val="center"/>
              <w:textAlignment w:val="center"/>
              <w:rPr>
                <w:rFonts w:hint="default" w:eastAsia="宋体"/>
                <w:color w:val="000000"/>
                <w:sz w:val="24"/>
                <w:lang w:val="en-US" w:eastAsia="zh-CN"/>
              </w:rPr>
            </w:pPr>
            <w:r>
              <w:rPr>
                <w:rFonts w:hint="eastAsia" w:eastAsia="宋体"/>
                <w:color w:val="000000"/>
                <w:kern w:val="0"/>
                <w:sz w:val="24"/>
                <w:lang w:val="en-US" w:eastAsia="zh-CN" w:bidi="ar"/>
              </w:rPr>
              <w:t>1132.1</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47EDF">
            <w:pPr>
              <w:widowControl/>
              <w:spacing w:line="300" w:lineRule="exact"/>
              <w:jc w:val="center"/>
              <w:textAlignment w:val="center"/>
              <w:rPr>
                <w:rFonts w:hint="default" w:eastAsia="宋体"/>
                <w:color w:val="000000"/>
                <w:sz w:val="24"/>
                <w:lang w:val="en-US" w:eastAsia="zh-CN"/>
              </w:rPr>
            </w:pPr>
            <w:r>
              <w:rPr>
                <w:rFonts w:hint="eastAsia" w:eastAsia="宋体"/>
                <w:color w:val="000000"/>
                <w:kern w:val="0"/>
                <w:sz w:val="24"/>
                <w:lang w:val="en-US" w:eastAsia="zh-CN" w:bidi="ar"/>
              </w:rPr>
              <w:t>1132.1</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08CA0">
            <w:pPr>
              <w:widowControl/>
              <w:spacing w:line="300" w:lineRule="exact"/>
              <w:jc w:val="center"/>
              <w:textAlignment w:val="center"/>
              <w:rPr>
                <w:rFonts w:hint="eastAsia" w:eastAsia="宋体"/>
                <w:color w:val="000000"/>
                <w:sz w:val="24"/>
                <w:lang w:eastAsia="zh-CN"/>
              </w:rPr>
            </w:pPr>
            <w:r>
              <w:rPr>
                <w:rFonts w:hint="eastAsia" w:eastAsia="宋体"/>
                <w:color w:val="000000"/>
                <w:kern w:val="0"/>
                <w:sz w:val="24"/>
                <w:lang w:val="en-US" w:eastAsia="zh-CN" w:bidi="ar"/>
              </w:rPr>
              <w:t>0</w:t>
            </w:r>
          </w:p>
        </w:tc>
      </w:tr>
      <w:tr w14:paraId="7D104F8C">
        <w:tblPrEx>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93B">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年度总体</w:t>
            </w:r>
          </w:p>
          <w:p w14:paraId="4089C6B7">
            <w:pPr>
              <w:widowControl/>
              <w:spacing w:line="300" w:lineRule="exact"/>
              <w:jc w:val="center"/>
              <w:textAlignment w:val="center"/>
              <w:rPr>
                <w:rFonts w:eastAsia="宋体"/>
                <w:color w:val="000000"/>
                <w:sz w:val="24"/>
              </w:rPr>
            </w:pPr>
            <w:r>
              <w:rPr>
                <w:rFonts w:eastAsia="宋体"/>
                <w:color w:val="000000"/>
                <w:kern w:val="0"/>
                <w:sz w:val="24"/>
                <w:lang w:bidi="ar"/>
              </w:rPr>
              <w:t>目标</w:t>
            </w:r>
          </w:p>
        </w:tc>
        <w:tc>
          <w:tcPr>
            <w:tcW w:w="925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398360">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保障我段管养道路的正常通行</w:t>
            </w:r>
          </w:p>
        </w:tc>
      </w:tr>
      <w:tr w14:paraId="37C65D4C">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6C1C5">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年度主要</w:t>
            </w:r>
          </w:p>
          <w:p w14:paraId="4FCC7B88">
            <w:pPr>
              <w:widowControl/>
              <w:spacing w:line="300" w:lineRule="exact"/>
              <w:jc w:val="center"/>
              <w:textAlignment w:val="center"/>
              <w:rPr>
                <w:rFonts w:eastAsia="宋体"/>
                <w:color w:val="000000"/>
                <w:sz w:val="24"/>
              </w:rPr>
            </w:pPr>
            <w:r>
              <w:rPr>
                <w:rFonts w:eastAsia="宋体"/>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6D48B">
            <w:pPr>
              <w:widowControl/>
              <w:spacing w:line="300" w:lineRule="exact"/>
              <w:jc w:val="center"/>
              <w:textAlignment w:val="center"/>
              <w:rPr>
                <w:rFonts w:eastAsia="宋体"/>
                <w:color w:val="000000"/>
                <w:sz w:val="24"/>
              </w:rPr>
            </w:pPr>
            <w:r>
              <w:rPr>
                <w:rFonts w:eastAsia="宋体"/>
                <w:color w:val="000000"/>
                <w:kern w:val="0"/>
                <w:sz w:val="24"/>
                <w:lang w:bidi="ar"/>
              </w:rPr>
              <w:t>任务名称</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9D2DFC">
            <w:pPr>
              <w:widowControl/>
              <w:spacing w:line="300" w:lineRule="exact"/>
              <w:jc w:val="center"/>
              <w:textAlignment w:val="center"/>
              <w:rPr>
                <w:rFonts w:eastAsia="宋体"/>
                <w:color w:val="000000"/>
                <w:sz w:val="24"/>
              </w:rPr>
            </w:pPr>
            <w:r>
              <w:rPr>
                <w:rFonts w:eastAsia="宋体"/>
                <w:color w:val="000000"/>
                <w:kern w:val="0"/>
                <w:sz w:val="24"/>
                <w:lang w:bidi="ar"/>
              </w:rPr>
              <w:t>主要内容</w:t>
            </w:r>
          </w:p>
        </w:tc>
      </w:tr>
      <w:tr w14:paraId="3585F10E">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8312">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CA101">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管养道路保通保畅，道路应急抢险。</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6EBB2">
            <w:pPr>
              <w:widowControl/>
              <w:spacing w:line="300" w:lineRule="exact"/>
              <w:jc w:val="left"/>
              <w:textAlignment w:val="center"/>
              <w:rPr>
                <w:rFonts w:hint="default" w:eastAsia="宋体"/>
                <w:color w:val="000000"/>
                <w:sz w:val="24"/>
                <w:lang w:val="en-US" w:eastAsia="zh-CN"/>
              </w:rPr>
            </w:pPr>
            <w:r>
              <w:rPr>
                <w:rFonts w:hint="eastAsia" w:eastAsia="宋体"/>
                <w:color w:val="000000"/>
                <w:sz w:val="24"/>
                <w:lang w:val="en-US" w:eastAsia="zh-CN"/>
              </w:rPr>
              <w:t>负责管养道路日常养护，安全隐患排查，汛期及冰雪天气道路保通保畅、应急抢险。</w:t>
            </w:r>
          </w:p>
        </w:tc>
      </w:tr>
      <w:tr w14:paraId="760E3190">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5D8B">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E6FC7">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保障本单位正常运转</w:t>
            </w:r>
          </w:p>
        </w:tc>
        <w:tc>
          <w:tcPr>
            <w:tcW w:w="6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EAD0E">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保障养路二段61名在职职工工资、社会保障缴费、医疗保险及住房公积金正常发放和缴存；保障退休职工医疗保险及退休工资发放及缴存。</w:t>
            </w:r>
          </w:p>
        </w:tc>
      </w:tr>
      <w:tr w14:paraId="5C6D896B">
        <w:tblPrEx>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0449C">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年度绩效</w:t>
            </w:r>
          </w:p>
          <w:p w14:paraId="5983BA52">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4DE">
            <w:pPr>
              <w:widowControl/>
              <w:spacing w:line="300" w:lineRule="exact"/>
              <w:jc w:val="center"/>
              <w:textAlignment w:val="center"/>
              <w:rPr>
                <w:rFonts w:eastAsia="宋体"/>
                <w:color w:val="000000"/>
                <w:sz w:val="24"/>
              </w:rPr>
            </w:pPr>
            <w:r>
              <w:rPr>
                <w:rFonts w:eastAsia="宋体"/>
                <w:color w:val="000000"/>
                <w:kern w:val="0"/>
                <w:sz w:val="24"/>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7016">
            <w:pPr>
              <w:widowControl/>
              <w:spacing w:line="300" w:lineRule="exact"/>
              <w:jc w:val="center"/>
              <w:textAlignment w:val="center"/>
              <w:rPr>
                <w:rFonts w:eastAsia="宋体"/>
                <w:color w:val="000000"/>
                <w:sz w:val="24"/>
              </w:rPr>
            </w:pPr>
            <w:r>
              <w:rPr>
                <w:rFonts w:eastAsia="宋体"/>
                <w:color w:val="000000"/>
                <w:kern w:val="0"/>
                <w:sz w:val="24"/>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4EE">
            <w:pPr>
              <w:widowControl/>
              <w:spacing w:line="300" w:lineRule="exact"/>
              <w:jc w:val="center"/>
              <w:textAlignment w:val="center"/>
              <w:rPr>
                <w:rFonts w:eastAsia="宋体"/>
                <w:color w:val="000000"/>
                <w:sz w:val="24"/>
              </w:rPr>
            </w:pPr>
            <w:r>
              <w:rPr>
                <w:rFonts w:eastAsia="宋体"/>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A8D">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绩效指标</w:t>
            </w:r>
          </w:p>
          <w:p w14:paraId="26544A5E">
            <w:pPr>
              <w:widowControl/>
              <w:spacing w:line="300" w:lineRule="exact"/>
              <w:jc w:val="center"/>
              <w:textAlignment w:val="center"/>
              <w:rPr>
                <w:rFonts w:eastAsia="宋体"/>
                <w:color w:val="000000"/>
                <w:sz w:val="24"/>
              </w:rPr>
            </w:pPr>
            <w:r>
              <w:rPr>
                <w:rFonts w:eastAsia="宋体"/>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049">
            <w:pPr>
              <w:widowControl/>
              <w:spacing w:line="300" w:lineRule="exact"/>
              <w:jc w:val="center"/>
              <w:textAlignment w:val="center"/>
              <w:rPr>
                <w:rFonts w:eastAsia="宋体"/>
                <w:color w:val="000000"/>
                <w:sz w:val="24"/>
              </w:rPr>
            </w:pPr>
            <w:r>
              <w:rPr>
                <w:rFonts w:eastAsia="宋体"/>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58D0">
            <w:pPr>
              <w:widowControl/>
              <w:spacing w:line="300" w:lineRule="exact"/>
              <w:jc w:val="center"/>
              <w:textAlignment w:val="center"/>
              <w:rPr>
                <w:rFonts w:eastAsia="宋体"/>
                <w:color w:val="000000"/>
                <w:sz w:val="24"/>
              </w:rPr>
            </w:pPr>
            <w:r>
              <w:rPr>
                <w:rFonts w:eastAsia="宋体"/>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3DB449B4">
            <w:pPr>
              <w:widowControl/>
              <w:spacing w:line="300" w:lineRule="exact"/>
              <w:jc w:val="center"/>
              <w:textAlignment w:val="center"/>
              <w:rPr>
                <w:rFonts w:eastAsia="宋体"/>
                <w:color w:val="000000"/>
                <w:sz w:val="24"/>
              </w:rPr>
            </w:pPr>
            <w:r>
              <w:rPr>
                <w:rFonts w:eastAsia="宋体"/>
                <w:color w:val="000000"/>
                <w:kern w:val="0"/>
                <w:sz w:val="24"/>
                <w:lang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D4E7">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实际完成</w:t>
            </w:r>
          </w:p>
          <w:p w14:paraId="0BA4E971">
            <w:pPr>
              <w:widowControl/>
              <w:spacing w:line="300" w:lineRule="exact"/>
              <w:jc w:val="center"/>
              <w:textAlignment w:val="center"/>
              <w:rPr>
                <w:rFonts w:eastAsia="宋体"/>
                <w:color w:val="000000"/>
                <w:sz w:val="24"/>
              </w:rPr>
            </w:pPr>
            <w:r>
              <w:rPr>
                <w:rFonts w:eastAsia="宋体"/>
                <w:color w:val="000000"/>
                <w:kern w:val="0"/>
                <w:sz w:val="24"/>
                <w:lang w:bidi="ar"/>
              </w:rPr>
              <w:t>指标值</w:t>
            </w:r>
          </w:p>
        </w:tc>
      </w:tr>
      <w:tr w14:paraId="6FE86F0F">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7D2A">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FB61E">
            <w:pPr>
              <w:widowControl/>
              <w:spacing w:line="300" w:lineRule="exact"/>
              <w:jc w:val="center"/>
              <w:textAlignment w:val="center"/>
              <w:rPr>
                <w:rFonts w:eastAsia="宋体"/>
                <w:color w:val="000000"/>
                <w:sz w:val="24"/>
              </w:rPr>
            </w:pPr>
            <w:r>
              <w:rPr>
                <w:rFonts w:eastAsia="宋体"/>
                <w:color w:val="000000"/>
                <w:kern w:val="0"/>
                <w:sz w:val="24"/>
                <w:lang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84694">
            <w:pPr>
              <w:widowControl/>
              <w:spacing w:line="300" w:lineRule="exact"/>
              <w:jc w:val="center"/>
              <w:textAlignment w:val="center"/>
              <w:rPr>
                <w:rFonts w:eastAsia="宋体"/>
                <w:color w:val="000000"/>
                <w:sz w:val="24"/>
              </w:rPr>
            </w:pPr>
            <w:r>
              <w:rPr>
                <w:rFonts w:eastAsia="宋体"/>
                <w:color w:val="000000"/>
                <w:kern w:val="0"/>
                <w:sz w:val="24"/>
                <w:lang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9F3">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巡查道路次数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173">
            <w:pPr>
              <w:widowControl/>
              <w:tabs>
                <w:tab w:val="center" w:pos="557"/>
              </w:tabs>
              <w:spacing w:line="300" w:lineRule="exact"/>
              <w:jc w:val="left"/>
              <w:textAlignment w:val="center"/>
              <w:rPr>
                <w:rFonts w:hint="eastAsia" w:eastAsia="宋体"/>
                <w:color w:val="000000"/>
                <w:sz w:val="24"/>
                <w:lang w:eastAsia="zh-CN"/>
              </w:rPr>
            </w:pPr>
            <w:r>
              <w:rPr>
                <w:rFonts w:hint="eastAsia" w:ascii="微软雅黑" w:hAnsi="微软雅黑" w:eastAsia="微软雅黑" w:cs="微软雅黑"/>
                <w:color w:val="000000"/>
                <w:sz w:val="24"/>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1CD">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DB3">
            <w:pPr>
              <w:widowControl/>
              <w:spacing w:line="300" w:lineRule="exact"/>
              <w:jc w:val="left"/>
              <w:textAlignment w:val="center"/>
              <w:rPr>
                <w:rFonts w:hint="eastAsia" w:eastAsia="宋体"/>
                <w:color w:val="000000"/>
                <w:sz w:val="24"/>
                <w:lang w:eastAsia="zh-CN"/>
              </w:rPr>
            </w:pPr>
            <w:r>
              <w:rPr>
                <w:rFonts w:hint="eastAsia" w:eastAsia="宋体"/>
                <w:color w:val="000000"/>
                <w:kern w:val="0"/>
                <w:sz w:val="24"/>
                <w:lang w:val="en-US" w:eastAsia="zh-CN" w:bidi="ar"/>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2E50">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10</w:t>
            </w:r>
          </w:p>
        </w:tc>
        <w:tc>
          <w:tcPr>
            <w:tcW w:w="1113" w:type="dxa"/>
            <w:tcBorders>
              <w:left w:val="single" w:color="000000" w:sz="4" w:space="0"/>
              <w:bottom w:val="single" w:color="000000" w:sz="4" w:space="0"/>
              <w:right w:val="single" w:color="000000" w:sz="4" w:space="0"/>
            </w:tcBorders>
            <w:shd w:val="clear" w:color="auto" w:fill="auto"/>
            <w:vAlign w:val="center"/>
          </w:tcPr>
          <w:p w14:paraId="28988E16">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121</w:t>
            </w:r>
          </w:p>
        </w:tc>
      </w:tr>
      <w:tr w14:paraId="207FE3FF">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327A">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5289">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DAA2">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5521">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巡查道路公里数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21FE">
            <w:pPr>
              <w:widowControl/>
              <w:spacing w:line="300" w:lineRule="exact"/>
              <w:jc w:val="left"/>
              <w:rPr>
                <w:rFonts w:eastAsia="宋体"/>
                <w:color w:val="000000"/>
                <w:sz w:val="24"/>
              </w:rPr>
            </w:pPr>
            <w:r>
              <w:rPr>
                <w:rFonts w:hint="eastAsia" w:ascii="微软雅黑" w:hAnsi="微软雅黑" w:eastAsia="微软雅黑" w:cs="微软雅黑"/>
                <w:color w:val="000000"/>
                <w:sz w:val="24"/>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146E">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15000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137A">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公里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C4CE">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363">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16284</w:t>
            </w:r>
          </w:p>
        </w:tc>
      </w:tr>
      <w:tr w14:paraId="0C2697EE">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9D97">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795F">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78F7">
            <w:pPr>
              <w:widowControl/>
              <w:spacing w:line="300" w:lineRule="exact"/>
              <w:jc w:val="center"/>
              <w:textAlignment w:val="center"/>
              <w:rPr>
                <w:rFonts w:eastAsia="宋体"/>
                <w:color w:val="000000"/>
                <w:sz w:val="24"/>
              </w:rPr>
            </w:pPr>
            <w:r>
              <w:rPr>
                <w:rFonts w:eastAsia="宋体"/>
                <w:color w:val="000000"/>
                <w:kern w:val="0"/>
                <w:sz w:val="24"/>
                <w:lang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559">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道路安全隐患整改率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957">
            <w:pPr>
              <w:widowControl/>
              <w:spacing w:line="300" w:lineRule="exact"/>
              <w:jc w:val="left"/>
              <w:rPr>
                <w:rFonts w:eastAsia="宋体"/>
                <w:color w:val="000000"/>
                <w:sz w:val="24"/>
              </w:rPr>
            </w:pPr>
            <w:r>
              <w:rPr>
                <w:rFonts w:hint="eastAsia" w:ascii="微软雅黑" w:hAnsi="微软雅黑" w:eastAsia="微软雅黑" w:cs="微软雅黑"/>
                <w:color w:val="000000"/>
                <w:sz w:val="24"/>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A65">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A94B">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5084">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FEC">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r>
      <w:tr w14:paraId="38811349">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F9C6A">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4469">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FE0D">
            <w:pPr>
              <w:widowControl/>
              <w:spacing w:line="300" w:lineRule="exact"/>
              <w:jc w:val="center"/>
              <w:textAlignment w:val="center"/>
              <w:rPr>
                <w:rFonts w:eastAsia="宋体"/>
                <w:color w:val="000000"/>
                <w:sz w:val="24"/>
              </w:rPr>
            </w:pPr>
            <w:r>
              <w:rPr>
                <w:rFonts w:eastAsia="宋体"/>
                <w:color w:val="000000"/>
                <w:kern w:val="0"/>
                <w:sz w:val="24"/>
                <w:lang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4B0">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完工时间</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D2E2">
            <w:pPr>
              <w:widowControl/>
              <w:spacing w:line="300" w:lineRule="exact"/>
              <w:jc w:val="left"/>
              <w:rPr>
                <w:rFonts w:eastAsia="宋体"/>
                <w:color w:val="000000"/>
                <w:sz w:val="24"/>
              </w:rPr>
            </w:pPr>
            <w:r>
              <w:rPr>
                <w:rFonts w:hint="eastAsia" w:ascii="微软雅黑" w:hAnsi="微软雅黑" w:eastAsia="微软雅黑" w:cs="微软雅黑"/>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FD3F">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9198">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25A5">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5CF">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1</w:t>
            </w:r>
          </w:p>
        </w:tc>
      </w:tr>
      <w:tr w14:paraId="0E66DE7F">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93CA">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85F8">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666">
            <w:pPr>
              <w:widowControl/>
              <w:spacing w:line="300" w:lineRule="exact"/>
              <w:jc w:val="center"/>
              <w:textAlignment w:val="center"/>
              <w:rPr>
                <w:rFonts w:eastAsia="宋体"/>
                <w:color w:val="000000"/>
                <w:sz w:val="24"/>
              </w:rPr>
            </w:pPr>
            <w:r>
              <w:rPr>
                <w:rFonts w:eastAsia="宋体"/>
                <w:color w:val="000000"/>
                <w:kern w:val="0"/>
                <w:sz w:val="24"/>
                <w:lang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1628">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FD65">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5721">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CE52">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42C">
            <w:pPr>
              <w:widowControl/>
              <w:spacing w:line="300" w:lineRule="exact"/>
              <w:jc w:val="left"/>
              <w:rPr>
                <w:rFonts w:eastAsia="宋体"/>
                <w:color w:val="000000"/>
                <w:sz w:val="24"/>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737">
            <w:pPr>
              <w:widowControl/>
              <w:spacing w:line="300" w:lineRule="exact"/>
              <w:jc w:val="left"/>
              <w:rPr>
                <w:rFonts w:eastAsia="宋体"/>
                <w:color w:val="000000"/>
                <w:sz w:val="24"/>
              </w:rPr>
            </w:pPr>
          </w:p>
        </w:tc>
      </w:tr>
      <w:tr w14:paraId="2AFD7DD2">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C292">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AF6EF">
            <w:pPr>
              <w:widowControl/>
              <w:spacing w:line="300" w:lineRule="exact"/>
              <w:jc w:val="center"/>
              <w:textAlignment w:val="center"/>
              <w:rPr>
                <w:rFonts w:eastAsia="宋体"/>
                <w:color w:val="000000"/>
                <w:sz w:val="24"/>
              </w:rPr>
            </w:pPr>
            <w:r>
              <w:rPr>
                <w:rFonts w:eastAsia="宋体"/>
                <w:color w:val="000000"/>
                <w:kern w:val="0"/>
                <w:sz w:val="24"/>
                <w:lang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12FE1383">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社会效益</w:t>
            </w:r>
          </w:p>
          <w:p w14:paraId="523FEFA1">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C6E0">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道路保通率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FF16">
            <w:pPr>
              <w:widowControl/>
              <w:spacing w:line="300" w:lineRule="exact"/>
              <w:jc w:val="left"/>
              <w:rPr>
                <w:rFonts w:eastAsia="宋体"/>
                <w:color w:val="000000"/>
                <w:sz w:val="24"/>
              </w:rPr>
            </w:pPr>
            <w:r>
              <w:rPr>
                <w:rFonts w:hint="eastAsia" w:ascii="微软雅黑" w:hAnsi="微软雅黑" w:eastAsia="微软雅黑" w:cs="微软雅黑"/>
                <w:color w:val="000000"/>
                <w:sz w:val="24"/>
                <w:lang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6713">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126">
            <w:pPr>
              <w:widowControl/>
              <w:spacing w:line="300" w:lineRule="exact"/>
              <w:jc w:val="left"/>
              <w:rPr>
                <w:rFonts w:eastAsia="宋体"/>
                <w:color w:val="000000"/>
                <w:sz w:val="24"/>
              </w:rPr>
            </w:pPr>
            <w:r>
              <w:rPr>
                <w:rFonts w:hint="eastAsia" w:eastAsia="宋体"/>
                <w:color w:val="000000"/>
                <w:sz w:val="24"/>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6CF2">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40E2">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r>
      <w:tr w14:paraId="7E82664F">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26C7">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E21E">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14:paraId="1A962418">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B5E3">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1E09">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09D">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E54">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649D">
            <w:pPr>
              <w:widowControl/>
              <w:spacing w:line="300" w:lineRule="exact"/>
              <w:jc w:val="left"/>
              <w:rPr>
                <w:rFonts w:eastAsia="宋体"/>
                <w:color w:val="000000"/>
                <w:sz w:val="24"/>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8F09">
            <w:pPr>
              <w:widowControl/>
              <w:spacing w:line="300" w:lineRule="exact"/>
              <w:jc w:val="left"/>
              <w:rPr>
                <w:rFonts w:eastAsia="宋体"/>
                <w:color w:val="000000"/>
                <w:sz w:val="24"/>
              </w:rPr>
            </w:pPr>
          </w:p>
        </w:tc>
      </w:tr>
      <w:tr w14:paraId="708EBAD5">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2487F">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55CC">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9FE3">
            <w:pPr>
              <w:widowControl/>
              <w:spacing w:line="300" w:lineRule="exact"/>
              <w:jc w:val="center"/>
              <w:textAlignment w:val="center"/>
              <w:rPr>
                <w:rFonts w:eastAsia="宋体"/>
                <w:color w:val="000000"/>
                <w:sz w:val="24"/>
              </w:rPr>
            </w:pPr>
            <w:r>
              <w:rPr>
                <w:rFonts w:eastAsia="宋体"/>
                <w:color w:val="000000"/>
                <w:kern w:val="0"/>
                <w:sz w:val="24"/>
                <w:lang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997D">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84B2">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A8DB">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19C1">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C601">
            <w:pPr>
              <w:widowControl/>
              <w:spacing w:line="300" w:lineRule="exact"/>
              <w:jc w:val="left"/>
              <w:rPr>
                <w:rFonts w:eastAsia="宋体"/>
                <w:color w:val="000000"/>
                <w:sz w:val="24"/>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42DE">
            <w:pPr>
              <w:widowControl/>
              <w:spacing w:line="300" w:lineRule="exact"/>
              <w:jc w:val="left"/>
              <w:rPr>
                <w:rFonts w:eastAsia="宋体"/>
                <w:color w:val="000000"/>
                <w:sz w:val="24"/>
              </w:rPr>
            </w:pPr>
          </w:p>
        </w:tc>
      </w:tr>
      <w:tr w14:paraId="3A65AC60">
        <w:tblPrEx>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06E0">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42F9">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540">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71D">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DCA3">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6DA3">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FF87">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5FA2">
            <w:pPr>
              <w:widowControl/>
              <w:spacing w:line="300" w:lineRule="exact"/>
              <w:jc w:val="left"/>
              <w:rPr>
                <w:rFonts w:eastAsia="宋体"/>
                <w:color w:val="000000"/>
                <w:sz w:val="24"/>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2F29">
            <w:pPr>
              <w:widowControl/>
              <w:spacing w:line="300" w:lineRule="exact"/>
              <w:jc w:val="left"/>
              <w:rPr>
                <w:rFonts w:eastAsia="宋体"/>
                <w:color w:val="000000"/>
                <w:sz w:val="24"/>
              </w:rPr>
            </w:pPr>
          </w:p>
        </w:tc>
      </w:tr>
    </w:tbl>
    <w:p w14:paraId="65514878">
      <w:pPr>
        <w:pStyle w:val="2"/>
        <w:ind w:left="0" w:leftChars="0" w:firstLine="0" w:firstLineChars="0"/>
        <w:rPr>
          <w:rFonts w:ascii="Times New Roman" w:eastAsia="黑体"/>
          <w:sz w:val="24"/>
          <w:szCs w:val="24"/>
        </w:rPr>
      </w:pPr>
    </w:p>
    <w:p w14:paraId="11C3025F">
      <w:pPr>
        <w:widowControl/>
        <w:numPr>
          <w:ilvl w:val="0"/>
          <w:numId w:val="0"/>
        </w:numPr>
        <w:adjustRightInd w:val="0"/>
        <w:snapToGrid w:val="0"/>
        <w:spacing w:line="580" w:lineRule="exact"/>
        <w:ind w:firstLine="2640" w:firstLineChars="600"/>
        <w:contextualSpacing/>
        <w:jc w:val="left"/>
        <w:rPr>
          <w:rStyle w:val="15"/>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15"/>
          <w:rFonts w:hint="eastAsia" w:ascii="黑体" w:hAnsi="黑体" w:eastAsia="黑体"/>
          <w:b w:val="0"/>
          <w:color w:val="auto"/>
          <w:highlight w:val="none"/>
        </w:rPr>
        <w:t>五部分 附表</w:t>
      </w:r>
      <w:bookmarkEnd w:id="52"/>
      <w:bookmarkEnd w:id="53"/>
      <w:bookmarkStart w:id="55" w:name="_Toc15396619"/>
    </w:p>
    <w:p w14:paraId="062A7768">
      <w:pPr>
        <w:widowControl/>
        <w:numPr>
          <w:ilvl w:val="0"/>
          <w:numId w:val="0"/>
        </w:numPr>
        <w:adjustRightInd w:val="0"/>
        <w:snapToGrid w:val="0"/>
        <w:spacing w:line="580" w:lineRule="exact"/>
        <w:contextualSpacing/>
        <w:jc w:val="left"/>
        <w:rPr>
          <w:rFonts w:ascii="仿宋" w:hAnsi="仿宋" w:eastAsia="仿宋"/>
          <w:color w:val="auto"/>
          <w:highlight w:val="none"/>
        </w:rPr>
      </w:pPr>
      <w:r>
        <w:rPr>
          <w:rFonts w:hint="eastAsia" w:ascii="仿宋" w:hAnsi="仿宋" w:eastAsia="仿宋"/>
          <w:b w:val="0"/>
          <w:color w:val="auto"/>
          <w:sz w:val="32"/>
          <w:szCs w:val="32"/>
          <w:highlight w:val="none"/>
          <w:lang w:val="en-US" w:eastAsia="zh-CN"/>
        </w:rPr>
        <w:t>一</w:t>
      </w:r>
      <w:r>
        <w:rPr>
          <w:rFonts w:hint="eastAsia" w:ascii="仿宋" w:hAnsi="仿宋" w:eastAsia="仿宋"/>
          <w:b w:val="0"/>
          <w:color w:val="auto"/>
          <w:highlight w:val="none"/>
        </w:rPr>
        <w:t>、</w:t>
      </w:r>
      <w:r>
        <w:rPr>
          <w:rFonts w:hint="eastAsia" w:ascii="仿宋" w:hAnsi="仿宋" w:eastAsia="仿宋"/>
          <w:b w:val="0"/>
          <w:color w:val="auto"/>
          <w:sz w:val="30"/>
          <w:szCs w:val="30"/>
          <w:highlight w:val="none"/>
        </w:rPr>
        <w:t>收</w:t>
      </w:r>
      <w:r>
        <w:rPr>
          <w:rStyle w:val="16"/>
          <w:rFonts w:hint="eastAsia" w:ascii="仿宋" w:hAnsi="仿宋" w:eastAsia="仿宋"/>
          <w:b w:val="0"/>
          <w:bCs w:val="0"/>
          <w:color w:val="auto"/>
          <w:highlight w:val="none"/>
        </w:rPr>
        <w:t>入支出决算总表</w:t>
      </w:r>
      <w:bookmarkEnd w:id="55"/>
    </w:p>
    <w:p w14:paraId="5C837CD6">
      <w:pPr>
        <w:pStyle w:val="5"/>
        <w:rPr>
          <w:rFonts w:ascii="仿宋" w:hAnsi="仿宋" w:eastAsia="仿宋"/>
          <w:color w:val="auto"/>
          <w:highlight w:val="none"/>
        </w:rPr>
      </w:pPr>
      <w:bookmarkStart w:id="56" w:name="_Toc15396620"/>
      <w:r>
        <w:rPr>
          <w:rFonts w:hint="eastAsia" w:ascii="仿宋" w:hAnsi="仿宋" w:eastAsia="仿宋"/>
          <w:b w:val="0"/>
          <w:color w:val="auto"/>
          <w:highlight w:val="none"/>
        </w:rPr>
        <w:t>二、收</w:t>
      </w:r>
      <w:r>
        <w:rPr>
          <w:rStyle w:val="16"/>
          <w:rFonts w:hint="eastAsia" w:ascii="仿宋" w:hAnsi="仿宋" w:eastAsia="仿宋"/>
          <w:b w:val="0"/>
          <w:bCs w:val="0"/>
          <w:color w:val="auto"/>
          <w:highlight w:val="none"/>
        </w:rPr>
        <w:t>入决算表</w:t>
      </w:r>
      <w:bookmarkEnd w:id="56"/>
    </w:p>
    <w:p w14:paraId="6641C93F">
      <w:pPr>
        <w:pStyle w:val="5"/>
        <w:rPr>
          <w:rFonts w:ascii="仿宋" w:hAnsi="仿宋" w:eastAsia="仿宋"/>
          <w:color w:val="auto"/>
          <w:highlight w:val="none"/>
        </w:rPr>
      </w:pPr>
      <w:bookmarkStart w:id="57" w:name="_Toc15396621"/>
      <w:r>
        <w:rPr>
          <w:rStyle w:val="1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6"/>
          <w:rFonts w:hint="eastAsia" w:ascii="仿宋" w:hAnsi="仿宋" w:eastAsia="仿宋"/>
          <w:b w:val="0"/>
          <w:bCs w:val="0"/>
          <w:color w:val="auto"/>
          <w:highlight w:val="none"/>
        </w:rPr>
        <w:t>出决算表</w:t>
      </w:r>
      <w:bookmarkEnd w:id="57"/>
    </w:p>
    <w:p w14:paraId="42FDB98D">
      <w:pPr>
        <w:pStyle w:val="5"/>
        <w:rPr>
          <w:rFonts w:ascii="仿宋" w:hAnsi="仿宋" w:eastAsia="仿宋"/>
          <w:b w:val="0"/>
          <w:color w:val="auto"/>
          <w:highlight w:val="none"/>
        </w:rPr>
      </w:pPr>
      <w:bookmarkStart w:id="58" w:name="_Toc15396622"/>
      <w:r>
        <w:rPr>
          <w:rStyle w:val="1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6"/>
          <w:rFonts w:hint="eastAsia" w:ascii="仿宋" w:hAnsi="仿宋" w:eastAsia="仿宋"/>
          <w:b w:val="0"/>
          <w:bCs w:val="0"/>
          <w:color w:val="auto"/>
          <w:highlight w:val="none"/>
        </w:rPr>
        <w:t>政拨款收入支出决算总表</w:t>
      </w:r>
      <w:bookmarkEnd w:id="58"/>
    </w:p>
    <w:p w14:paraId="2B7057E4">
      <w:pPr>
        <w:pStyle w:val="5"/>
        <w:rPr>
          <w:rStyle w:val="16"/>
          <w:rFonts w:ascii="仿宋" w:hAnsi="仿宋" w:eastAsia="仿宋"/>
          <w:b w:val="0"/>
          <w:bCs w:val="0"/>
          <w:color w:val="auto"/>
          <w:highlight w:val="none"/>
        </w:rPr>
      </w:pPr>
      <w:bookmarkStart w:id="59" w:name="_Toc15396623"/>
      <w:r>
        <w:rPr>
          <w:rStyle w:val="1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6"/>
          <w:rFonts w:hint="eastAsia" w:ascii="仿宋" w:hAnsi="仿宋" w:eastAsia="仿宋"/>
          <w:b w:val="0"/>
          <w:bCs w:val="0"/>
          <w:color w:val="auto"/>
          <w:highlight w:val="none"/>
        </w:rPr>
        <w:t>政拨款支出决算明细表</w:t>
      </w:r>
      <w:bookmarkEnd w:id="59"/>
      <w:bookmarkStart w:id="60" w:name="_Toc15396624"/>
    </w:p>
    <w:p w14:paraId="318CB4B9">
      <w:pPr>
        <w:pStyle w:val="5"/>
        <w:rPr>
          <w:rFonts w:ascii="仿宋" w:hAnsi="仿宋" w:eastAsia="仿宋"/>
          <w:color w:val="auto"/>
          <w:highlight w:val="none"/>
        </w:rPr>
      </w:pPr>
      <w:r>
        <w:rPr>
          <w:rStyle w:val="1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般公共预算财政拨款支出决算表</w:t>
      </w:r>
      <w:bookmarkEnd w:id="60"/>
    </w:p>
    <w:p w14:paraId="13CB00DE">
      <w:pPr>
        <w:pStyle w:val="5"/>
        <w:rPr>
          <w:rFonts w:ascii="仿宋" w:hAnsi="仿宋" w:eastAsia="仿宋"/>
          <w:color w:val="auto"/>
          <w:highlight w:val="none"/>
        </w:rPr>
      </w:pPr>
      <w:bookmarkStart w:id="61" w:name="_Toc15396625"/>
      <w:r>
        <w:rPr>
          <w:rStyle w:val="1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般公共预算财政拨款支出决算明细表</w:t>
      </w:r>
      <w:bookmarkEnd w:id="61"/>
    </w:p>
    <w:p w14:paraId="3AB117B5">
      <w:pPr>
        <w:pStyle w:val="5"/>
        <w:rPr>
          <w:rFonts w:ascii="仿宋" w:hAnsi="仿宋" w:eastAsia="仿宋"/>
          <w:color w:val="auto"/>
          <w:highlight w:val="none"/>
        </w:rPr>
      </w:pPr>
      <w:bookmarkStart w:id="62" w:name="_Toc15396626"/>
      <w:r>
        <w:rPr>
          <w:rStyle w:val="1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般公共预算财政拨款基本支出决算表</w:t>
      </w:r>
      <w:bookmarkEnd w:id="62"/>
    </w:p>
    <w:p w14:paraId="07230CD8">
      <w:pPr>
        <w:pStyle w:val="5"/>
        <w:rPr>
          <w:rFonts w:ascii="仿宋" w:hAnsi="仿宋" w:eastAsia="仿宋"/>
          <w:color w:val="auto"/>
          <w:highlight w:val="none"/>
        </w:rPr>
      </w:pPr>
      <w:bookmarkStart w:id="63" w:name="_Toc15396627"/>
      <w:r>
        <w:rPr>
          <w:rStyle w:val="1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般公共预算财政拨款项目支出决算表</w:t>
      </w:r>
      <w:bookmarkEnd w:id="63"/>
    </w:p>
    <w:p w14:paraId="38DB553F">
      <w:pPr>
        <w:pStyle w:val="5"/>
        <w:rPr>
          <w:rFonts w:ascii="仿宋" w:hAnsi="仿宋" w:eastAsia="仿宋"/>
          <w:color w:val="auto"/>
          <w:highlight w:val="none"/>
        </w:rPr>
      </w:pPr>
      <w:bookmarkStart w:id="64" w:name="_Toc15396628"/>
      <w:r>
        <w:rPr>
          <w:rStyle w:val="1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16"/>
          <w:rFonts w:hint="eastAsia" w:ascii="仿宋" w:hAnsi="仿宋" w:eastAsia="仿宋"/>
          <w:b w:val="0"/>
          <w:bCs w:val="0"/>
          <w:color w:val="auto"/>
          <w:highlight w:val="none"/>
        </w:rPr>
        <w:t>般公共预算财政拨款“三公”经费支出决算表</w:t>
      </w:r>
      <w:bookmarkEnd w:id="64"/>
    </w:p>
    <w:p w14:paraId="491BD7EE">
      <w:pPr>
        <w:pStyle w:val="5"/>
        <w:rPr>
          <w:rFonts w:ascii="仿宋" w:hAnsi="仿宋" w:eastAsia="仿宋"/>
          <w:color w:val="auto"/>
          <w:highlight w:val="none"/>
        </w:rPr>
      </w:pPr>
      <w:bookmarkStart w:id="65" w:name="_Toc15396629"/>
      <w:r>
        <w:rPr>
          <w:rStyle w:val="1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16"/>
          <w:rFonts w:hint="eastAsia" w:ascii="仿宋" w:hAnsi="仿宋" w:eastAsia="仿宋"/>
          <w:b w:val="0"/>
          <w:bCs w:val="0"/>
          <w:color w:val="auto"/>
          <w:highlight w:val="none"/>
        </w:rPr>
        <w:t>府性基金预算财政拨款收入支出决算表</w:t>
      </w:r>
      <w:bookmarkEnd w:id="65"/>
    </w:p>
    <w:p w14:paraId="7EF74FDF">
      <w:pPr>
        <w:pStyle w:val="5"/>
        <w:rPr>
          <w:rFonts w:ascii="仿宋" w:hAnsi="仿宋" w:eastAsia="仿宋"/>
          <w:color w:val="auto"/>
          <w:highlight w:val="none"/>
        </w:rPr>
      </w:pPr>
      <w:bookmarkStart w:id="66" w:name="_Toc15396630"/>
      <w:r>
        <w:rPr>
          <w:rStyle w:val="1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16"/>
          <w:rFonts w:hint="eastAsia" w:ascii="仿宋" w:hAnsi="仿宋" w:eastAsia="仿宋"/>
          <w:b w:val="0"/>
          <w:bCs w:val="0"/>
          <w:color w:val="auto"/>
          <w:highlight w:val="none"/>
        </w:rPr>
        <w:t>府性基金预算财政拨款“三公”经费支出决算表</w:t>
      </w:r>
      <w:bookmarkEnd w:id="66"/>
    </w:p>
    <w:p w14:paraId="5BA09F93">
      <w:pPr>
        <w:pStyle w:val="5"/>
        <w:rPr>
          <w:rStyle w:val="16"/>
          <w:rFonts w:hint="eastAsia" w:ascii="仿宋" w:hAnsi="仿宋" w:eastAsia="仿宋"/>
          <w:b w:val="0"/>
          <w:bCs w:val="0"/>
          <w:color w:val="auto"/>
          <w:highlight w:val="none"/>
        </w:rPr>
      </w:pPr>
      <w:bookmarkStart w:id="67" w:name="_Toc15396631"/>
      <w:r>
        <w:rPr>
          <w:rStyle w:val="1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16"/>
          <w:rFonts w:hint="eastAsia" w:ascii="仿宋" w:hAnsi="仿宋" w:eastAsia="仿宋"/>
          <w:b w:val="0"/>
          <w:bCs w:val="0"/>
          <w:color w:val="auto"/>
          <w:highlight w:val="none"/>
        </w:rPr>
        <w:t>有资本经营预算</w:t>
      </w:r>
      <w:r>
        <w:rPr>
          <w:rStyle w:val="16"/>
          <w:rFonts w:hint="eastAsia" w:ascii="仿宋" w:hAnsi="仿宋" w:eastAsia="仿宋"/>
          <w:b w:val="0"/>
          <w:bCs w:val="0"/>
          <w:color w:val="auto"/>
          <w:highlight w:val="none"/>
          <w:lang w:eastAsia="zh-CN"/>
        </w:rPr>
        <w:t>财政拨款收入</w:t>
      </w:r>
      <w:r>
        <w:rPr>
          <w:rStyle w:val="16"/>
          <w:rFonts w:hint="eastAsia" w:ascii="仿宋" w:hAnsi="仿宋" w:eastAsia="仿宋"/>
          <w:b w:val="0"/>
          <w:bCs w:val="0"/>
          <w:color w:val="auto"/>
          <w:highlight w:val="none"/>
        </w:rPr>
        <w:t>支出决算表</w:t>
      </w:r>
      <w:bookmarkEnd w:id="67"/>
    </w:p>
    <w:p w14:paraId="0E957AB3">
      <w:r>
        <w:rPr>
          <w:rStyle w:val="1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9F201D-A779-404B-B4C5-185FF7435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8D5A43-CA0D-43EA-983D-69F89ADBC586}"/>
  </w:font>
  <w:font w:name="Calibri Light">
    <w:panose1 w:val="020F0302020204030204"/>
    <w:charset w:val="00"/>
    <w:family w:val="auto"/>
    <w:pitch w:val="default"/>
    <w:sig w:usb0="E4002EFF" w:usb1="C000247B" w:usb2="00000009" w:usb3="00000000" w:csb0="200001FF" w:csb1="00000000"/>
    <w:embedRegular r:id="rId3" w:fontKey="{6CBDD6BB-4D76-4338-9621-323396AF2B7E}"/>
  </w:font>
  <w:font w:name="仿宋_GB2312">
    <w:altName w:val="仿宋"/>
    <w:panose1 w:val="02010609030101010101"/>
    <w:charset w:val="86"/>
    <w:family w:val="modern"/>
    <w:pitch w:val="default"/>
    <w:sig w:usb0="00000000" w:usb1="00000000" w:usb2="00000000" w:usb3="00000000" w:csb0="00040000" w:csb1="00000000"/>
    <w:embedRegular r:id="rId4" w:fontKey="{EF29ED7D-57C1-429E-A032-08067FF075C3}"/>
  </w:font>
  <w:font w:name="仿宋">
    <w:panose1 w:val="02010609060101010101"/>
    <w:charset w:val="86"/>
    <w:family w:val="auto"/>
    <w:pitch w:val="default"/>
    <w:sig w:usb0="800002BF" w:usb1="38CF7CFA" w:usb2="00000016" w:usb3="00000000" w:csb0="00040001" w:csb1="00000000"/>
    <w:embedRegular r:id="rId5" w:fontKey="{1A6D9711-72F2-4D9E-A4DA-DCCC9CB51773}"/>
  </w:font>
  <w:font w:name="方正小标宋简体">
    <w:panose1 w:val="02000000000000000000"/>
    <w:charset w:val="86"/>
    <w:family w:val="script"/>
    <w:pitch w:val="default"/>
    <w:sig w:usb0="00000001" w:usb1="08000000" w:usb2="00000000" w:usb3="00000000" w:csb0="00040000" w:csb1="00000000"/>
    <w:embedRegular r:id="rId6" w:fontKey="{CE6C36CF-DE9B-46D1-833E-F4D5D3CEC135}"/>
  </w:font>
  <w:font w:name="微软雅黑">
    <w:panose1 w:val="020B0503020204020204"/>
    <w:charset w:val="86"/>
    <w:family w:val="auto"/>
    <w:pitch w:val="default"/>
    <w:sig w:usb0="80000287" w:usb1="2ACF3C50" w:usb2="00000016" w:usb3="00000000" w:csb0="0004001F" w:csb1="00000000"/>
    <w:embedRegular r:id="rId7" w:fontKey="{6644CC42-43C7-4CE5-B212-19D5D7BFFB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60188E4">
        <w:pPr>
          <w:pStyle w:val="7"/>
          <w:jc w:val="center"/>
        </w:pPr>
        <w:r>
          <w:fldChar w:fldCharType="begin"/>
        </w:r>
        <w:r>
          <w:instrText xml:space="preserve">PAGE   \* MERGEFORMAT</w:instrText>
        </w:r>
        <w:r>
          <w:fldChar w:fldCharType="separate"/>
        </w:r>
        <w:r>
          <w:rPr>
            <w:lang w:val="zh-CN"/>
          </w:rPr>
          <w:t>8</w:t>
        </w:r>
        <w:r>
          <w:fldChar w:fldCharType="end"/>
        </w:r>
      </w:p>
    </w:sdtContent>
  </w:sdt>
  <w:p w14:paraId="7A81819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6CF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F13C0"/>
    <w:multiLevelType w:val="singleLevel"/>
    <w:tmpl w:val="C5EF13C0"/>
    <w:lvl w:ilvl="0" w:tentative="0">
      <w:start w:val="1"/>
      <w:numFmt w:val="chineseCounting"/>
      <w:suff w:val="nothing"/>
      <w:lvlText w:val="%1、"/>
      <w:lvlJc w:val="left"/>
      <w:rPr>
        <w:rFonts w:hint="eastAsia"/>
      </w:rPr>
    </w:lvl>
  </w:abstractNum>
  <w:abstractNum w:abstractNumId="1">
    <w:nsid w:val="C7C1A96A"/>
    <w:multiLevelType w:val="singleLevel"/>
    <w:tmpl w:val="C7C1A96A"/>
    <w:lvl w:ilvl="0" w:tentative="0">
      <w:start w:val="3"/>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4F39356"/>
    <w:multiLevelType w:val="singleLevel"/>
    <w:tmpl w:val="04F39356"/>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E507830"/>
    <w:multiLevelType w:val="singleLevel"/>
    <w:tmpl w:val="6E507830"/>
    <w:lvl w:ilvl="0" w:tentative="0">
      <w:start w:val="3"/>
      <w:numFmt w:val="chineseCounting"/>
      <w:suff w:val="nothing"/>
      <w:lvlText w:val="（%1）"/>
      <w:lvlJc w:val="left"/>
      <w:rPr>
        <w:rFonts w:hint="eastAsia"/>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OGI0ZjQ0NjliMzRjYzE2N2UwMzQ4NmU3YmJlZjcifQ=="/>
  </w:docVars>
  <w:rsids>
    <w:rsidRoot w:val="00000000"/>
    <w:rsid w:val="0018274C"/>
    <w:rsid w:val="00425A1B"/>
    <w:rsid w:val="00684030"/>
    <w:rsid w:val="007D211B"/>
    <w:rsid w:val="007F27CB"/>
    <w:rsid w:val="009B6CB7"/>
    <w:rsid w:val="00C862DF"/>
    <w:rsid w:val="016043AA"/>
    <w:rsid w:val="016B6AF1"/>
    <w:rsid w:val="017A36FD"/>
    <w:rsid w:val="01EE7C08"/>
    <w:rsid w:val="0317318F"/>
    <w:rsid w:val="032633D2"/>
    <w:rsid w:val="033217E1"/>
    <w:rsid w:val="053C029A"/>
    <w:rsid w:val="053F3C41"/>
    <w:rsid w:val="05614B95"/>
    <w:rsid w:val="056976B3"/>
    <w:rsid w:val="05773890"/>
    <w:rsid w:val="05EC14B5"/>
    <w:rsid w:val="068648B3"/>
    <w:rsid w:val="070752C8"/>
    <w:rsid w:val="073C06A5"/>
    <w:rsid w:val="075F5104"/>
    <w:rsid w:val="076B1CFB"/>
    <w:rsid w:val="07AE74E0"/>
    <w:rsid w:val="07CE6EBF"/>
    <w:rsid w:val="08420CAE"/>
    <w:rsid w:val="08AF79C5"/>
    <w:rsid w:val="08FC0E5C"/>
    <w:rsid w:val="095A5B83"/>
    <w:rsid w:val="096D58B6"/>
    <w:rsid w:val="09AA4B59"/>
    <w:rsid w:val="09CB082F"/>
    <w:rsid w:val="0A1421D6"/>
    <w:rsid w:val="0A4505E1"/>
    <w:rsid w:val="0AF5500B"/>
    <w:rsid w:val="0B5D7BAD"/>
    <w:rsid w:val="0B70168E"/>
    <w:rsid w:val="0B85422D"/>
    <w:rsid w:val="0B8B116F"/>
    <w:rsid w:val="0BB31D71"/>
    <w:rsid w:val="0BEB6F66"/>
    <w:rsid w:val="0C216E2C"/>
    <w:rsid w:val="0C796C68"/>
    <w:rsid w:val="0CF32576"/>
    <w:rsid w:val="0D470B14"/>
    <w:rsid w:val="0DFF3F74"/>
    <w:rsid w:val="0EA37FCC"/>
    <w:rsid w:val="0EB21FBD"/>
    <w:rsid w:val="0F2E5AE8"/>
    <w:rsid w:val="0FA933C0"/>
    <w:rsid w:val="0FD56E5D"/>
    <w:rsid w:val="1002449F"/>
    <w:rsid w:val="10725009"/>
    <w:rsid w:val="113B44EC"/>
    <w:rsid w:val="113E5D8A"/>
    <w:rsid w:val="118A0054"/>
    <w:rsid w:val="11A958FA"/>
    <w:rsid w:val="11B04970"/>
    <w:rsid w:val="11B76268"/>
    <w:rsid w:val="11CB5043"/>
    <w:rsid w:val="122A4834"/>
    <w:rsid w:val="122B630F"/>
    <w:rsid w:val="12FC7CAB"/>
    <w:rsid w:val="138076CE"/>
    <w:rsid w:val="13A520F1"/>
    <w:rsid w:val="13B406D9"/>
    <w:rsid w:val="13BC346B"/>
    <w:rsid w:val="13E93015"/>
    <w:rsid w:val="15196332"/>
    <w:rsid w:val="15F15AC1"/>
    <w:rsid w:val="171E28E6"/>
    <w:rsid w:val="174D4F79"/>
    <w:rsid w:val="17C72346"/>
    <w:rsid w:val="17E841F0"/>
    <w:rsid w:val="18027B12"/>
    <w:rsid w:val="18BD1C8B"/>
    <w:rsid w:val="18D625A2"/>
    <w:rsid w:val="198033E4"/>
    <w:rsid w:val="19B250D3"/>
    <w:rsid w:val="1A02204B"/>
    <w:rsid w:val="1ADA72BB"/>
    <w:rsid w:val="1B083691"/>
    <w:rsid w:val="1BBE683C"/>
    <w:rsid w:val="1BD417C5"/>
    <w:rsid w:val="1BD6553D"/>
    <w:rsid w:val="1BF754B3"/>
    <w:rsid w:val="1CBE2BEE"/>
    <w:rsid w:val="1CD50259"/>
    <w:rsid w:val="1CE4151A"/>
    <w:rsid w:val="1E253203"/>
    <w:rsid w:val="1F1B690A"/>
    <w:rsid w:val="1F44668D"/>
    <w:rsid w:val="1F4D3D68"/>
    <w:rsid w:val="1F5275D0"/>
    <w:rsid w:val="1FBF453A"/>
    <w:rsid w:val="1FD662F7"/>
    <w:rsid w:val="1FF32470"/>
    <w:rsid w:val="1FFB59A3"/>
    <w:rsid w:val="2095179B"/>
    <w:rsid w:val="20977E55"/>
    <w:rsid w:val="20A35C0A"/>
    <w:rsid w:val="20C75D9C"/>
    <w:rsid w:val="22205764"/>
    <w:rsid w:val="22513B6F"/>
    <w:rsid w:val="2252536B"/>
    <w:rsid w:val="22AA14D2"/>
    <w:rsid w:val="22C72083"/>
    <w:rsid w:val="22CA3922"/>
    <w:rsid w:val="22E26EBD"/>
    <w:rsid w:val="23897339"/>
    <w:rsid w:val="23F13D5A"/>
    <w:rsid w:val="23F549CE"/>
    <w:rsid w:val="247F00B7"/>
    <w:rsid w:val="24E231A5"/>
    <w:rsid w:val="24FC618E"/>
    <w:rsid w:val="254774AC"/>
    <w:rsid w:val="25542F17"/>
    <w:rsid w:val="25752322"/>
    <w:rsid w:val="260F621B"/>
    <w:rsid w:val="264241A2"/>
    <w:rsid w:val="26461FEB"/>
    <w:rsid w:val="26590709"/>
    <w:rsid w:val="266D5534"/>
    <w:rsid w:val="26CE3129"/>
    <w:rsid w:val="26F47310"/>
    <w:rsid w:val="272E26D1"/>
    <w:rsid w:val="27321A96"/>
    <w:rsid w:val="276022E1"/>
    <w:rsid w:val="27C04AC9"/>
    <w:rsid w:val="27C93585"/>
    <w:rsid w:val="27E64D5A"/>
    <w:rsid w:val="27F76F67"/>
    <w:rsid w:val="28173165"/>
    <w:rsid w:val="28406AB3"/>
    <w:rsid w:val="286B525F"/>
    <w:rsid w:val="28B9421C"/>
    <w:rsid w:val="28C74F99"/>
    <w:rsid w:val="29017971"/>
    <w:rsid w:val="293533D4"/>
    <w:rsid w:val="2957006F"/>
    <w:rsid w:val="297B506E"/>
    <w:rsid w:val="29F36631"/>
    <w:rsid w:val="2A107348"/>
    <w:rsid w:val="2A293624"/>
    <w:rsid w:val="2A4D429B"/>
    <w:rsid w:val="2A6F54DA"/>
    <w:rsid w:val="2A824AC9"/>
    <w:rsid w:val="2AB3299A"/>
    <w:rsid w:val="2AF96CC1"/>
    <w:rsid w:val="2B1E2A5D"/>
    <w:rsid w:val="2B2E0004"/>
    <w:rsid w:val="2B6E5792"/>
    <w:rsid w:val="2C324A12"/>
    <w:rsid w:val="2C4E7372"/>
    <w:rsid w:val="2D5B66A8"/>
    <w:rsid w:val="2D8D5C78"/>
    <w:rsid w:val="2DA364BB"/>
    <w:rsid w:val="2DB3388B"/>
    <w:rsid w:val="2DEB6B09"/>
    <w:rsid w:val="2E0276AC"/>
    <w:rsid w:val="2E187C37"/>
    <w:rsid w:val="2E206ED7"/>
    <w:rsid w:val="2E5F307B"/>
    <w:rsid w:val="2EDC2A13"/>
    <w:rsid w:val="2FF346DE"/>
    <w:rsid w:val="300C7328"/>
    <w:rsid w:val="305E54D0"/>
    <w:rsid w:val="307E39A9"/>
    <w:rsid w:val="30F524B2"/>
    <w:rsid w:val="31293F09"/>
    <w:rsid w:val="31436D79"/>
    <w:rsid w:val="31662A68"/>
    <w:rsid w:val="31AE5E18"/>
    <w:rsid w:val="31BC4D7D"/>
    <w:rsid w:val="31E22A36"/>
    <w:rsid w:val="32167961"/>
    <w:rsid w:val="32695085"/>
    <w:rsid w:val="327A16BC"/>
    <w:rsid w:val="32904240"/>
    <w:rsid w:val="32B06690"/>
    <w:rsid w:val="331F55C4"/>
    <w:rsid w:val="333252F7"/>
    <w:rsid w:val="341E4139"/>
    <w:rsid w:val="34473024"/>
    <w:rsid w:val="34B8182C"/>
    <w:rsid w:val="357065AB"/>
    <w:rsid w:val="360B1E2F"/>
    <w:rsid w:val="36274EBB"/>
    <w:rsid w:val="365B59FF"/>
    <w:rsid w:val="36AF3103"/>
    <w:rsid w:val="36DF5466"/>
    <w:rsid w:val="36E42DAC"/>
    <w:rsid w:val="37E93F88"/>
    <w:rsid w:val="3801173C"/>
    <w:rsid w:val="38F848ED"/>
    <w:rsid w:val="39014694"/>
    <w:rsid w:val="398268AC"/>
    <w:rsid w:val="39D013C6"/>
    <w:rsid w:val="39FE0BDB"/>
    <w:rsid w:val="3A992100"/>
    <w:rsid w:val="3AB74334"/>
    <w:rsid w:val="3B181276"/>
    <w:rsid w:val="3BEC7163"/>
    <w:rsid w:val="3BF770DE"/>
    <w:rsid w:val="3CCA65A0"/>
    <w:rsid w:val="3D74650C"/>
    <w:rsid w:val="3D7B5AED"/>
    <w:rsid w:val="3E667380"/>
    <w:rsid w:val="3EDC3E17"/>
    <w:rsid w:val="3EE6168C"/>
    <w:rsid w:val="3EE93B81"/>
    <w:rsid w:val="3F1D1B3A"/>
    <w:rsid w:val="3F397A0D"/>
    <w:rsid w:val="3F431BC8"/>
    <w:rsid w:val="3FEC0F24"/>
    <w:rsid w:val="400973E0"/>
    <w:rsid w:val="402C30CE"/>
    <w:rsid w:val="4162149D"/>
    <w:rsid w:val="41690A4E"/>
    <w:rsid w:val="41824C33"/>
    <w:rsid w:val="426E45CA"/>
    <w:rsid w:val="42D504B3"/>
    <w:rsid w:val="437C4A8F"/>
    <w:rsid w:val="440A3726"/>
    <w:rsid w:val="44242A3A"/>
    <w:rsid w:val="44366A11"/>
    <w:rsid w:val="446007FD"/>
    <w:rsid w:val="446A0C2B"/>
    <w:rsid w:val="448C6831"/>
    <w:rsid w:val="45060392"/>
    <w:rsid w:val="457875F6"/>
    <w:rsid w:val="45912351"/>
    <w:rsid w:val="46410AC4"/>
    <w:rsid w:val="46623CEE"/>
    <w:rsid w:val="46DA1AD6"/>
    <w:rsid w:val="46F25071"/>
    <w:rsid w:val="47173184"/>
    <w:rsid w:val="47357EE2"/>
    <w:rsid w:val="47615D53"/>
    <w:rsid w:val="47E32A9D"/>
    <w:rsid w:val="4814136D"/>
    <w:rsid w:val="48713109"/>
    <w:rsid w:val="487F0B87"/>
    <w:rsid w:val="489266CB"/>
    <w:rsid w:val="48B9571B"/>
    <w:rsid w:val="49153299"/>
    <w:rsid w:val="494838A4"/>
    <w:rsid w:val="4AA85A47"/>
    <w:rsid w:val="4AB60164"/>
    <w:rsid w:val="4B162612"/>
    <w:rsid w:val="4B6747B3"/>
    <w:rsid w:val="4B797B0F"/>
    <w:rsid w:val="4BA40904"/>
    <w:rsid w:val="4BE96317"/>
    <w:rsid w:val="4C716A38"/>
    <w:rsid w:val="4CA26BF2"/>
    <w:rsid w:val="4D094EC3"/>
    <w:rsid w:val="4D73771A"/>
    <w:rsid w:val="4D9752A9"/>
    <w:rsid w:val="4DD0778F"/>
    <w:rsid w:val="4E64442F"/>
    <w:rsid w:val="4F183D9C"/>
    <w:rsid w:val="4F31425D"/>
    <w:rsid w:val="4F820F5D"/>
    <w:rsid w:val="50334005"/>
    <w:rsid w:val="50722D7F"/>
    <w:rsid w:val="507F724A"/>
    <w:rsid w:val="50E00811"/>
    <w:rsid w:val="51312C3A"/>
    <w:rsid w:val="51422751"/>
    <w:rsid w:val="51452242"/>
    <w:rsid w:val="518E0F4B"/>
    <w:rsid w:val="51AB6549"/>
    <w:rsid w:val="52124378"/>
    <w:rsid w:val="527F1783"/>
    <w:rsid w:val="528045E4"/>
    <w:rsid w:val="52812DD6"/>
    <w:rsid w:val="528D3EA0"/>
    <w:rsid w:val="52A66D10"/>
    <w:rsid w:val="52E51ED0"/>
    <w:rsid w:val="532540D9"/>
    <w:rsid w:val="54247CE3"/>
    <w:rsid w:val="54AD6A7C"/>
    <w:rsid w:val="54B5148C"/>
    <w:rsid w:val="54CD67D6"/>
    <w:rsid w:val="55323CBA"/>
    <w:rsid w:val="55733821"/>
    <w:rsid w:val="55FA184D"/>
    <w:rsid w:val="56026953"/>
    <w:rsid w:val="56074D86"/>
    <w:rsid w:val="562C39D0"/>
    <w:rsid w:val="567E247E"/>
    <w:rsid w:val="576C0528"/>
    <w:rsid w:val="577613A7"/>
    <w:rsid w:val="577B4C0F"/>
    <w:rsid w:val="57BF2D4E"/>
    <w:rsid w:val="580D7A8E"/>
    <w:rsid w:val="58805AEB"/>
    <w:rsid w:val="58C3061C"/>
    <w:rsid w:val="593B3DAC"/>
    <w:rsid w:val="594C6863"/>
    <w:rsid w:val="595E20F3"/>
    <w:rsid w:val="598D0C2A"/>
    <w:rsid w:val="5A360CB9"/>
    <w:rsid w:val="5A853B90"/>
    <w:rsid w:val="5ABA77FD"/>
    <w:rsid w:val="5AED7BD2"/>
    <w:rsid w:val="5BF34271"/>
    <w:rsid w:val="5C836B11"/>
    <w:rsid w:val="5CCE7744"/>
    <w:rsid w:val="5CFA0384"/>
    <w:rsid w:val="5D362A80"/>
    <w:rsid w:val="5D5A52C7"/>
    <w:rsid w:val="5DA15896"/>
    <w:rsid w:val="5DAA3B58"/>
    <w:rsid w:val="5DB42C29"/>
    <w:rsid w:val="5E1C257C"/>
    <w:rsid w:val="5E231B5D"/>
    <w:rsid w:val="5E6F680C"/>
    <w:rsid w:val="5E9F11E3"/>
    <w:rsid w:val="5EB36A3D"/>
    <w:rsid w:val="5EBE09FF"/>
    <w:rsid w:val="5EC07D94"/>
    <w:rsid w:val="5EDF3CD6"/>
    <w:rsid w:val="5EE266ED"/>
    <w:rsid w:val="5F304531"/>
    <w:rsid w:val="5FE07D05"/>
    <w:rsid w:val="5FFD603B"/>
    <w:rsid w:val="602F47E9"/>
    <w:rsid w:val="603154C1"/>
    <w:rsid w:val="60471B32"/>
    <w:rsid w:val="61F335F4"/>
    <w:rsid w:val="61F950AE"/>
    <w:rsid w:val="629B63E4"/>
    <w:rsid w:val="62AD7C47"/>
    <w:rsid w:val="62C03E1E"/>
    <w:rsid w:val="62D3387F"/>
    <w:rsid w:val="62EE47AC"/>
    <w:rsid w:val="639037F0"/>
    <w:rsid w:val="640B0CE9"/>
    <w:rsid w:val="64104931"/>
    <w:rsid w:val="649248BB"/>
    <w:rsid w:val="64E536C8"/>
    <w:rsid w:val="652C579B"/>
    <w:rsid w:val="65D335CC"/>
    <w:rsid w:val="661C73DE"/>
    <w:rsid w:val="66974E96"/>
    <w:rsid w:val="66A538DA"/>
    <w:rsid w:val="66B21CD0"/>
    <w:rsid w:val="67BF46A4"/>
    <w:rsid w:val="68466B73"/>
    <w:rsid w:val="688431F8"/>
    <w:rsid w:val="689C3B6D"/>
    <w:rsid w:val="68D06853"/>
    <w:rsid w:val="698C753A"/>
    <w:rsid w:val="69AC0C58"/>
    <w:rsid w:val="69C064B2"/>
    <w:rsid w:val="69EA149B"/>
    <w:rsid w:val="6A0C5686"/>
    <w:rsid w:val="6AA14535"/>
    <w:rsid w:val="6ABE4CBA"/>
    <w:rsid w:val="6AD541DF"/>
    <w:rsid w:val="6AFA59F3"/>
    <w:rsid w:val="6B0074AE"/>
    <w:rsid w:val="6B6418AD"/>
    <w:rsid w:val="6C0905E4"/>
    <w:rsid w:val="6CBD532B"/>
    <w:rsid w:val="6CC4275D"/>
    <w:rsid w:val="6D0022E6"/>
    <w:rsid w:val="6D7101EF"/>
    <w:rsid w:val="6D981C1F"/>
    <w:rsid w:val="6DA41436"/>
    <w:rsid w:val="6DDA57ED"/>
    <w:rsid w:val="6E0F52F8"/>
    <w:rsid w:val="6E3336F6"/>
    <w:rsid w:val="6E812D4D"/>
    <w:rsid w:val="6E867CCA"/>
    <w:rsid w:val="6F2D45E9"/>
    <w:rsid w:val="6F631DB9"/>
    <w:rsid w:val="6F7B5355"/>
    <w:rsid w:val="6FAD1DAD"/>
    <w:rsid w:val="6FEA4288"/>
    <w:rsid w:val="705B2397"/>
    <w:rsid w:val="70812E3F"/>
    <w:rsid w:val="709F0B52"/>
    <w:rsid w:val="717A5889"/>
    <w:rsid w:val="71A54F3B"/>
    <w:rsid w:val="71BF1DD8"/>
    <w:rsid w:val="71CC4F60"/>
    <w:rsid w:val="72035AD5"/>
    <w:rsid w:val="72192C03"/>
    <w:rsid w:val="727F33AE"/>
    <w:rsid w:val="72C40DC1"/>
    <w:rsid w:val="7307523F"/>
    <w:rsid w:val="730C7301"/>
    <w:rsid w:val="730E4732"/>
    <w:rsid w:val="734E4B2E"/>
    <w:rsid w:val="736B56E0"/>
    <w:rsid w:val="737A5923"/>
    <w:rsid w:val="73AB3D2F"/>
    <w:rsid w:val="741E7E09"/>
    <w:rsid w:val="74FF2584"/>
    <w:rsid w:val="751678CE"/>
    <w:rsid w:val="753B10E2"/>
    <w:rsid w:val="75792336"/>
    <w:rsid w:val="759233F8"/>
    <w:rsid w:val="762615B0"/>
    <w:rsid w:val="764F753B"/>
    <w:rsid w:val="768D69D6"/>
    <w:rsid w:val="77B65A2E"/>
    <w:rsid w:val="77FD0AC4"/>
    <w:rsid w:val="78A31478"/>
    <w:rsid w:val="78AC2DD5"/>
    <w:rsid w:val="78CC09CF"/>
    <w:rsid w:val="78DB042C"/>
    <w:rsid w:val="791C2E64"/>
    <w:rsid w:val="79333411"/>
    <w:rsid w:val="793D367B"/>
    <w:rsid w:val="79BA084C"/>
    <w:rsid w:val="7A230972"/>
    <w:rsid w:val="7A9962B7"/>
    <w:rsid w:val="7AA5772A"/>
    <w:rsid w:val="7ABA1D31"/>
    <w:rsid w:val="7AFD1314"/>
    <w:rsid w:val="7BB5399C"/>
    <w:rsid w:val="7C0E09A5"/>
    <w:rsid w:val="7C211032"/>
    <w:rsid w:val="7C26471C"/>
    <w:rsid w:val="7C5C4760"/>
    <w:rsid w:val="7D0C2991"/>
    <w:rsid w:val="7D3A1A54"/>
    <w:rsid w:val="7DD86DC5"/>
    <w:rsid w:val="7DF06F0E"/>
    <w:rsid w:val="7E0B01EB"/>
    <w:rsid w:val="7E970E40"/>
    <w:rsid w:val="7EC860DC"/>
    <w:rsid w:val="7F581391"/>
    <w:rsid w:val="7FE63FE5"/>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6">
    <w:name w:val="Body Text"/>
    <w:basedOn w:val="1"/>
    <w:qFormat/>
    <w:uiPriority w:val="99"/>
    <w:pPr>
      <w:spacing w:beforeLines="30"/>
    </w:pPr>
    <w:rPr>
      <w:rFonts w:ascii="仿宋_GB2312" w:eastAsia="仿宋_GB2312"/>
      <w:kern w:val="0"/>
      <w:sz w:val="3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99"/>
    <w:rPr>
      <w:b/>
    </w:rPr>
  </w:style>
  <w:style w:type="character" w:customStyle="1" w:styleId="15">
    <w:name w:val="标题 1 Char"/>
    <w:basedOn w:val="13"/>
    <w:link w:val="4"/>
    <w:qFormat/>
    <w:uiPriority w:val="9"/>
    <w:rPr>
      <w:b/>
      <w:bCs/>
      <w:kern w:val="44"/>
      <w:sz w:val="44"/>
      <w:szCs w:val="44"/>
    </w:rPr>
  </w:style>
  <w:style w:type="character" w:customStyle="1" w:styleId="16">
    <w:name w:val="标题 2 Char"/>
    <w:basedOn w:val="13"/>
    <w:link w:val="5"/>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4"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5"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6"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7"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[工作簿4]Sheet1!$A$3</c:f>
              <c:strCache>
                <c:ptCount val="1"/>
                <c:pt idx="0">
                  <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2"/>
                        </a:solidFill>
                        <a:latin typeface="+mn-lt"/>
                        <a:ea typeface="+mn-ea"/>
                        <a:cs typeface="+mn-cs"/>
                      </a:defRPr>
                    </a:pPr>
                    <a:r>
                      <a:rPr lang="en-US" altLang="zh-CN" sz="1200" b="1"/>
                      <a:t>1132.10</a:t>
                    </a:r>
                    <a:endParaRPr lang="en-US" altLang="zh-CN" sz="1200" b="1"/>
                  </a:p>
                </c:rich>
              </c:tx>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[工作簿4]Sheet1!$B$2</c:f>
              <c:strCache>
                <c:ptCount val="1"/>
                <c:pt idx="0">
                  <c:v>一般公共预算财政拨款收入</c:v>
                </c:pt>
              </c:strCache>
            </c:strRef>
          </c:cat>
          <c:val>
            <c:numRef>
              <c:f>[工作簿4]Sheet1!$B$3</c:f>
              <c:numCache>
                <c:formatCode>General</c:formatCode>
                <c:ptCount val="1"/>
                <c:pt idx="0">
                  <c:v>842.21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cac2a7ca-2560-4fdc-9c02-8584d31afc14}"/>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[工作簿5]Sheet1!$A$2</c:f>
              <c:strCache>
                <c:ptCount val="1"/>
                <c:pt idx="0">
                  <c:v>基本支出</c:v>
                </c:pt>
              </c:strCache>
            </c:strRef>
          </c:tx>
          <c:spPr/>
          <c:explosion val="4"/>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2"/>
                        </a:solidFill>
                        <a:latin typeface="+mn-lt"/>
                        <a:ea typeface="+mn-ea"/>
                        <a:cs typeface="+mn-cs"/>
                      </a:defRPr>
                    </a:pPr>
                    <a:r>
                      <a:rPr lang="en-US" altLang="zh-CN" sz="1200" b="1"/>
                      <a:t>1132.10</a:t>
                    </a:r>
                    <a:endParaRPr lang="en-US" altLang="zh-CN" sz="1200" b="1"/>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2"/>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[工作簿5]Sheet1!$B$1</c:f>
              <c:strCache>
                <c:ptCount val="1"/>
                <c:pt idx="0">
                  <c:v>基本支出</c:v>
                </c:pt>
              </c:strCache>
            </c:strRef>
          </c:cat>
          <c:val>
            <c:numRef>
              <c:f>[工作簿5]Sheet1!$B$2</c:f>
              <c:numCache>
                <c:formatCode>General</c:formatCode>
                <c:ptCount val="1"/>
                <c:pt idx="0">
                  <c:v>842.21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5769f2ca-a79a-45c5-adda-a4660373dcff}"/>
      </c:ext>
    </c:extLst>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[工作簿6]Sheet1!$B$1:$B$4</c:f>
              <c:strCache>
                <c:ptCount val="1"/>
                <c:pt idx="0">
                  <c:v>85.74 58.79 645.39 52.3</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325063965453191"/>
                  <c:y val="0.1253916486520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133.03   </a:t>
                    </a:r>
                    <a:r>
                      <a:t>1</a:t>
                    </a:r>
                    <a:r>
                      <a:rPr lang="en-US" altLang="zh-CN"/>
                      <a:t>1.77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23281796946221"/>
                  <c:y val="0.1144762740777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30.83 2.8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00374689936189"/>
                  <c:y val="-0.09686041090529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909.33  80.46</a:t>
                    </a:r>
                    <a:r>
                      <a:t>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606069922662152"/>
                  <c:y val="0.08675651221564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54.89 4.8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[工作簿6]Sheet1!$A$1:$A$4</c:f>
              <c:strCache>
                <c:ptCount val="4"/>
                <c:pt idx="0">
                  <c:v>社会保障和就业支出</c:v>
                </c:pt>
                <c:pt idx="1">
                  <c:v>卫生健康支出</c:v>
                </c:pt>
                <c:pt idx="2">
                  <c:v>交通运输支出</c:v>
                </c:pt>
                <c:pt idx="3">
                  <c:v>住房保障支出</c:v>
                </c:pt>
              </c:strCache>
            </c:strRef>
          </c:cat>
          <c:val>
            <c:numRef>
              <c:f>[工作簿6]Sheet1!$B$1:$B$4</c:f>
              <c:numCache>
                <c:formatCode>General</c:formatCode>
                <c:ptCount val="4"/>
                <c:pt idx="0">
                  <c:v>85.74</c:v>
                </c:pt>
                <c:pt idx="1">
                  <c:v>58.79</c:v>
                </c:pt>
                <c:pt idx="2">
                  <c:v>645.39</c:v>
                </c:pt>
                <c:pt idx="3">
                  <c:v>52.3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6716db-6884-4a23-bc6b-244b90e14f2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50000"/>
                    <a:lumOff val="50000"/>
                  </a:schemeClr>
                </a:solidFill>
                <a:latin typeface="+mn-lt"/>
                <a:ea typeface="+mn-ea"/>
                <a:cs typeface="+mn-cs"/>
              </a:defRPr>
            </a:pPr>
            <a:r>
              <a:rPr>
                <a:solidFill>
                  <a:schemeClr val="tx1">
                    <a:lumMod val="50000"/>
                    <a:lumOff val="50000"/>
                  </a:schemeClr>
                </a:solidFill>
              </a:rPr>
              <a:t>“三公”经费财政拨款支出结构图</a:t>
            </a:r>
            <a:endParaRPr>
              <a:solidFill>
                <a:schemeClr val="tx1">
                  <a:lumMod val="50000"/>
                  <a:lumOff val="50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1"/>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lumMod val="65000"/>
                          <a:lumOff val="35000"/>
                        </a:schemeClr>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manualLayout>
                  <c:x val="0.245833333333333"/>
                  <c:y val="-0.0034722222222222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tx1">
                            <a:lumMod val="65000"/>
                            <a:lumOff val="35000"/>
                          </a:schemeClr>
                        </a:solidFill>
                        <a:latin typeface="+mn-lt"/>
                        <a:ea typeface="+mn-ea"/>
                        <a:cs typeface="+mn-cs"/>
                      </a:defRPr>
                    </a:pPr>
                    <a:r>
                      <a:rPr>
                        <a:solidFill>
                          <a:schemeClr val="tx1">
                            <a:lumMod val="65000"/>
                            <a:lumOff val="35000"/>
                          </a:schemeClr>
                        </a:solidFill>
                      </a:rPr>
                      <a:t>公务用车购置及运行维护费</a:t>
                    </a:r>
                    <a:r>
                      <a:rPr lang="en-US" altLang="zh-CN">
                        <a:solidFill>
                          <a:schemeClr val="tx1">
                            <a:lumMod val="65000"/>
                            <a:lumOff val="35000"/>
                          </a:schemeClr>
                        </a:solidFill>
                      </a:rPr>
                      <a:t>11.27</a:t>
                    </a:r>
                    <a:endParaRPr lang="en-US" altLang="zh-CN">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lumMod val="65000"/>
                          <a:lumOff val="35000"/>
                        </a:schemeClr>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362361111111111"/>
                      <c:h val="0.125"/>
                    </c:manualLayout>
                  </c15:layout>
                </c:ext>
              </c:extLst>
            </c:dLbl>
            <c:dLbl>
              <c:idx val="2"/>
              <c:layout>
                <c:manualLayout>
                  <c:x val="0.00236111111111111"/>
                  <c:y val="0.045138888888888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tx1">
                            <a:lumMod val="65000"/>
                            <a:lumOff val="35000"/>
                          </a:schemeClr>
                        </a:solidFill>
                        <a:latin typeface="+mn-lt"/>
                        <a:ea typeface="+mn-ea"/>
                        <a:cs typeface="+mn-cs"/>
                      </a:defRPr>
                    </a:pPr>
                    <a:r>
                      <a:rPr>
                        <a:solidFill>
                          <a:schemeClr val="tx1">
                            <a:lumMod val="65000"/>
                            <a:lumOff val="35000"/>
                          </a:schemeClr>
                        </a:solidFill>
                      </a:rPr>
                      <a:t>公务接待费</a:t>
                    </a:r>
                    <a:r>
                      <a:rPr lang="en-US" altLang="zh-CN">
                        <a:solidFill>
                          <a:schemeClr val="tx1">
                            <a:lumMod val="65000"/>
                            <a:lumOff val="35000"/>
                          </a:schemeClr>
                        </a:solidFill>
                      </a:rPr>
                      <a:t>   0</a:t>
                    </a:r>
                    <a:endParaRPr lang="en-US" altLang="zh-CN">
                      <a:solidFill>
                        <a:schemeClr val="tx1">
                          <a:lumMod val="65000"/>
                          <a:lumOff val="35000"/>
                        </a:schemeClr>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lumMod val="65000"/>
                          <a:lumOff val="35000"/>
                        </a:schemeClr>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tx1">
                        <a:lumMod val="65000"/>
                        <a:lumOff val="3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[工作簿7]Sheet1!$A$1:$A$3</c:f>
              <c:strCache>
                <c:ptCount val="3"/>
                <c:pt idx="1">
                  <c:v>公务用车购置及运行维护费</c:v>
                </c:pt>
                <c:pt idx="2">
                  <c:v>公务接待费</c:v>
                </c:pt>
              </c:strCache>
            </c:strRef>
          </c:cat>
          <c:val>
            <c:numRef>
              <c:f>[工作簿7]Sheet1!$B$1:$B$3</c:f>
              <c:numCache>
                <c:formatCode>General</c:formatCode>
                <c:ptCount val="3"/>
                <c:pt idx="1">
                  <c:v>19.15</c:v>
                </c:pt>
                <c:pt idx="2">
                  <c:v>0.03</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e4a5ebda-4992-4bab-9d62-ca9bbb6426c1}"/>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50000"/>
              <a:lumOff val="50000"/>
            </a:schemeClr>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7801</Words>
  <Characters>10448</Characters>
  <Lines>0</Lines>
  <Paragraphs>0</Paragraphs>
  <TotalTime>4</TotalTime>
  <ScaleCrop>false</ScaleCrop>
  <LinksUpToDate>false</LinksUpToDate>
  <CharactersWithSpaces>10501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2022-10-13T02:44:00Z</dcterms:created>
  <dc:creator>Administrator</dc:creator>
  <cp:lastModifiedBy>-</cp:lastModifiedBy>
  <dcterms:modified xsi:type="dcterms:W3CDTF">2024-11-14T02:23:47Z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5ECF77591A174DA7BEB8AB39790A2787</vt:lpwstr>
  </property>
</Properties>
</file>