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BF" w:rsidRDefault="00D34CDE" w:rsidP="00B541BF">
      <w:pPr>
        <w:spacing w:before="63" w:line="224" w:lineRule="auto"/>
        <w:ind w:firstLineChars="350" w:firstLine="1124"/>
        <w:outlineLvl w:val="0"/>
        <w:rPr>
          <w:rFonts w:asciiTheme="majorEastAsia" w:eastAsiaTheme="majorEastAsia" w:hAnsiTheme="majorEastAsia" w:cs="宋体"/>
          <w:b/>
          <w:bCs/>
          <w:sz w:val="32"/>
          <w:szCs w:val="32"/>
          <w:lang w:eastAsia="zh-CN"/>
        </w:rPr>
      </w:pPr>
      <w:r w:rsidRPr="00B541BF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万源市市场监督管理局购置一般压力表检定装置设备项目</w:t>
      </w:r>
    </w:p>
    <w:p w:rsidR="00D86D57" w:rsidRPr="00B541BF" w:rsidRDefault="00E84391" w:rsidP="00B541BF">
      <w:pPr>
        <w:spacing w:before="63" w:line="224" w:lineRule="auto"/>
        <w:ind w:firstLineChars="1100" w:firstLine="3633"/>
        <w:outlineLvl w:val="0"/>
        <w:rPr>
          <w:rFonts w:asciiTheme="majorEastAsia" w:eastAsiaTheme="majorEastAsia" w:hAnsiTheme="majorEastAsia" w:cs="黑体"/>
          <w:b/>
          <w:sz w:val="32"/>
          <w:szCs w:val="32"/>
        </w:rPr>
      </w:pPr>
      <w:r w:rsidRPr="00B541BF">
        <w:rPr>
          <w:rFonts w:asciiTheme="majorEastAsia" w:eastAsiaTheme="majorEastAsia" w:hAnsiTheme="majorEastAsia" w:cs="黑体"/>
          <w:b/>
          <w:spacing w:val="9"/>
          <w:sz w:val="32"/>
          <w:szCs w:val="32"/>
        </w:rPr>
        <w:t>采购</w:t>
      </w:r>
      <w:r w:rsidRPr="00B541BF">
        <w:rPr>
          <w:rFonts w:asciiTheme="majorEastAsia" w:eastAsiaTheme="majorEastAsia" w:hAnsiTheme="majorEastAsia"/>
          <w:b/>
          <w:bCs/>
          <w:spacing w:val="-3"/>
          <w:sz w:val="32"/>
          <w:szCs w:val="32"/>
        </w:rPr>
        <w:t>技术、服务</w:t>
      </w:r>
      <w:r w:rsidR="004F65B0" w:rsidRPr="00B541BF">
        <w:rPr>
          <w:rFonts w:asciiTheme="majorEastAsia" w:eastAsiaTheme="majorEastAsia" w:hAnsiTheme="majorEastAsia"/>
          <w:b/>
          <w:bCs/>
          <w:spacing w:val="-3"/>
          <w:sz w:val="32"/>
          <w:szCs w:val="32"/>
        </w:rPr>
        <w:t>要求</w:t>
      </w:r>
    </w:p>
    <w:p w:rsidR="00D86D57" w:rsidRPr="00B541BF" w:rsidRDefault="00D86D57" w:rsidP="00485CAE">
      <w:pPr>
        <w:pStyle w:val="a3"/>
        <w:spacing w:before="82" w:line="262" w:lineRule="auto"/>
        <w:ind w:right="249"/>
        <w:rPr>
          <w:sz w:val="32"/>
          <w:szCs w:val="32"/>
          <w:lang w:eastAsia="zh-CN"/>
        </w:rPr>
      </w:pPr>
    </w:p>
    <w:p w:rsidR="00D86D57" w:rsidRDefault="004F65B0">
      <w:pPr>
        <w:pStyle w:val="a3"/>
        <w:spacing w:before="40" w:line="220" w:lineRule="auto"/>
        <w:ind w:left="160"/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</w:rPr>
        <w:t>1.</w:t>
      </w:r>
      <w:r>
        <w:rPr>
          <w:b/>
          <w:bCs/>
          <w:color w:val="333333"/>
          <w:spacing w:val="-2"/>
        </w:rPr>
        <w:t>采购</w:t>
      </w:r>
      <w:r>
        <w:rPr>
          <w:b/>
          <w:bCs/>
          <w:spacing w:val="-2"/>
        </w:rPr>
        <w:t>内容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技术要求</w:t>
      </w:r>
    </w:p>
    <w:p w:rsidR="00D86D57" w:rsidRDefault="004F65B0">
      <w:pPr>
        <w:pStyle w:val="a3"/>
        <w:spacing w:before="90" w:line="219" w:lineRule="auto"/>
        <w:ind w:left="153"/>
      </w:pPr>
      <w:r>
        <w:rPr>
          <w:spacing w:val="-1"/>
        </w:rPr>
        <w:t>采购包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D34CDE">
        <w:rPr>
          <w:spacing w:val="-1"/>
        </w:rPr>
        <w:t>：采购包预算</w:t>
      </w:r>
      <w:r w:rsidR="00D34CDE">
        <w:rPr>
          <w:rFonts w:hint="eastAsia"/>
          <w:spacing w:val="-1"/>
          <w:lang w:eastAsia="zh-CN"/>
        </w:rPr>
        <w:t>金额</w:t>
      </w:r>
      <w:r>
        <w:rPr>
          <w:spacing w:val="-1"/>
        </w:rPr>
        <w:t>最高限价（元）</w:t>
      </w:r>
      <w:r w:rsidR="00D34CDE">
        <w:rPr>
          <w:rFonts w:ascii="Times New Roman" w:eastAsiaTheme="minorEastAsia" w:hAnsi="Times New Roman" w:cs="Times New Roman" w:hint="eastAsia"/>
          <w:spacing w:val="-1"/>
          <w:lang w:eastAsia="zh-CN"/>
        </w:rPr>
        <w:t>116000</w:t>
      </w:r>
      <w:r>
        <w:rPr>
          <w:rFonts w:ascii="Times New Roman" w:eastAsia="Times New Roman" w:hAnsi="Times New Roman" w:cs="Times New Roman"/>
          <w:spacing w:val="-1"/>
        </w:rPr>
        <w:t>.00</w:t>
      </w:r>
      <w:r>
        <w:rPr>
          <w:spacing w:val="-1"/>
        </w:rPr>
        <w:t>。</w:t>
      </w:r>
    </w:p>
    <w:p w:rsidR="00D86D57" w:rsidRDefault="00D86D57">
      <w:pPr>
        <w:spacing w:line="27" w:lineRule="auto"/>
        <w:rPr>
          <w:sz w:val="2"/>
        </w:rPr>
      </w:pPr>
    </w:p>
    <w:tbl>
      <w:tblPr>
        <w:tblStyle w:val="TableNormal"/>
        <w:tblW w:w="97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1134"/>
        <w:gridCol w:w="4113"/>
        <w:gridCol w:w="424"/>
        <w:gridCol w:w="427"/>
        <w:gridCol w:w="708"/>
        <w:gridCol w:w="708"/>
        <w:gridCol w:w="1700"/>
      </w:tblGrid>
      <w:tr w:rsidR="00D86D57" w:rsidTr="00A714DC">
        <w:trPr>
          <w:trHeight w:val="727"/>
        </w:trPr>
        <w:tc>
          <w:tcPr>
            <w:tcW w:w="568" w:type="dxa"/>
            <w:textDirection w:val="tbRlV"/>
          </w:tcPr>
          <w:p w:rsidR="00D86D57" w:rsidRDefault="004F65B0">
            <w:pPr>
              <w:spacing w:before="237" w:line="211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</w:rPr>
              <w:t>序</w:t>
            </w:r>
            <w:r>
              <w:rPr>
                <w:rFonts w:ascii="宋体" w:eastAsia="宋体" w:hAnsi="宋体" w:cs="宋体"/>
                <w:spacing w:val="23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</w:rPr>
              <w:t>号</w:t>
            </w:r>
          </w:p>
        </w:tc>
        <w:tc>
          <w:tcPr>
            <w:tcW w:w="1134" w:type="dxa"/>
            <w:vAlign w:val="center"/>
          </w:tcPr>
          <w:p w:rsidR="00D86D57" w:rsidRPr="00485CAE" w:rsidRDefault="00485CAE" w:rsidP="00A714DC">
            <w:pPr>
              <w:spacing w:before="264" w:line="285" w:lineRule="auto"/>
              <w:ind w:right="222"/>
              <w:jc w:val="center"/>
              <w:rPr>
                <w:rFonts w:ascii="宋体" w:eastAsia="宋体" w:hAnsi="宋体" w:cs="宋体"/>
                <w:b/>
                <w:bCs/>
                <w:spacing w:val="-7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7"/>
                <w:lang w:eastAsia="zh-CN"/>
              </w:rPr>
              <w:t>货物名</w:t>
            </w:r>
            <w:r w:rsidR="004F65B0">
              <w:rPr>
                <w:rFonts w:ascii="宋体" w:eastAsia="宋体" w:hAnsi="宋体" w:cs="宋体"/>
                <w:b/>
                <w:bCs/>
                <w:spacing w:val="-7"/>
              </w:rPr>
              <w:t>称</w:t>
            </w:r>
          </w:p>
        </w:tc>
        <w:tc>
          <w:tcPr>
            <w:tcW w:w="4113" w:type="dxa"/>
          </w:tcPr>
          <w:p w:rsidR="00D86D57" w:rsidRDefault="00D86D57">
            <w:pPr>
              <w:pStyle w:val="TableText"/>
              <w:spacing w:line="364" w:lineRule="auto"/>
            </w:pPr>
          </w:p>
          <w:p w:rsidR="00D86D57" w:rsidRDefault="004F65B0">
            <w:pPr>
              <w:spacing w:before="68" w:line="221" w:lineRule="auto"/>
              <w:ind w:left="1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★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技术参数与性能指标</w:t>
            </w:r>
          </w:p>
        </w:tc>
        <w:tc>
          <w:tcPr>
            <w:tcW w:w="424" w:type="dxa"/>
            <w:textDirection w:val="tbRlV"/>
          </w:tcPr>
          <w:p w:rsidR="00D86D57" w:rsidRDefault="004F65B0">
            <w:pPr>
              <w:spacing w:before="104" w:line="209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</w:rPr>
              <w:t>单</w:t>
            </w:r>
            <w:r>
              <w:rPr>
                <w:rFonts w:ascii="宋体" w:eastAsia="宋体" w:hAnsi="宋体" w:cs="宋体"/>
                <w:spacing w:val="23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</w:rPr>
              <w:t>位</w:t>
            </w:r>
          </w:p>
        </w:tc>
        <w:tc>
          <w:tcPr>
            <w:tcW w:w="427" w:type="dxa"/>
            <w:textDirection w:val="tbRlV"/>
          </w:tcPr>
          <w:p w:rsidR="00D86D57" w:rsidRDefault="004F65B0">
            <w:pPr>
              <w:spacing w:before="103" w:line="209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</w:rPr>
              <w:t>数</w:t>
            </w:r>
            <w:r>
              <w:rPr>
                <w:rFonts w:ascii="宋体" w:eastAsia="宋体" w:hAnsi="宋体" w:cs="宋体"/>
                <w:spacing w:val="23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</w:rPr>
              <w:t>量</w:t>
            </w:r>
          </w:p>
        </w:tc>
        <w:tc>
          <w:tcPr>
            <w:tcW w:w="708" w:type="dxa"/>
          </w:tcPr>
          <w:p w:rsidR="00D86D57" w:rsidRDefault="004F65B0">
            <w:pPr>
              <w:spacing w:before="265" w:line="284" w:lineRule="auto"/>
              <w:ind w:left="256" w:right="139" w:hanging="1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单价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元</w:t>
            </w:r>
          </w:p>
        </w:tc>
        <w:tc>
          <w:tcPr>
            <w:tcW w:w="708" w:type="dxa"/>
          </w:tcPr>
          <w:p w:rsidR="00D86D57" w:rsidRDefault="004F65B0">
            <w:pPr>
              <w:spacing w:before="265" w:line="284" w:lineRule="auto"/>
              <w:ind w:left="254" w:right="141" w:hanging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合价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元</w:t>
            </w:r>
          </w:p>
        </w:tc>
        <w:tc>
          <w:tcPr>
            <w:tcW w:w="1700" w:type="dxa"/>
            <w:vAlign w:val="center"/>
          </w:tcPr>
          <w:p w:rsidR="00D86D57" w:rsidRDefault="004F65B0" w:rsidP="00A714DC">
            <w:pPr>
              <w:spacing w:before="94" w:line="271" w:lineRule="auto"/>
              <w:ind w:left="113" w:right="107" w:firstLine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</w:rPr>
              <w:t>行业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宋体" w:eastAsia="宋体" w:hAnsi="宋体" w:cs="宋体"/>
                <w:b/>
                <w:bCs/>
                <w:spacing w:val="1"/>
              </w:rPr>
              <w:t>优先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标志</w:t>
            </w:r>
          </w:p>
        </w:tc>
      </w:tr>
      <w:tr w:rsidR="00A57426" w:rsidTr="00A714DC">
        <w:trPr>
          <w:trHeight w:val="10888"/>
        </w:trPr>
        <w:tc>
          <w:tcPr>
            <w:tcW w:w="568" w:type="dxa"/>
          </w:tcPr>
          <w:p w:rsidR="00A57426" w:rsidRPr="00485CAE" w:rsidRDefault="00A57426">
            <w:pPr>
              <w:pStyle w:val="TableText"/>
              <w:spacing w:line="241" w:lineRule="auto"/>
              <w:rPr>
                <w:rFonts w:eastAsiaTheme="minorEastAsia"/>
                <w:lang w:eastAsia="zh-CN"/>
              </w:rPr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1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spacing w:before="61" w:line="187" w:lineRule="auto"/>
              <w:ind w:left="2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2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>
            <w:pPr>
              <w:pStyle w:val="TableText"/>
              <w:spacing w:line="243" w:lineRule="auto"/>
            </w:pPr>
          </w:p>
          <w:p w:rsidR="00A57426" w:rsidRDefault="00A57426" w:rsidP="00A45331">
            <w:pPr>
              <w:spacing w:before="68" w:line="286" w:lineRule="auto"/>
              <w:ind w:right="116"/>
              <w:rPr>
                <w:rFonts w:ascii="宋体" w:eastAsia="宋体" w:hAnsi="宋体" w:cs="宋体"/>
              </w:rPr>
            </w:pPr>
            <w:r w:rsidRPr="009C191B">
              <w:rPr>
                <w:rFonts w:ascii="宋体" w:hAnsi="宋体" w:cs="宋体" w:hint="eastAsia"/>
                <w:bCs/>
                <w:sz w:val="24"/>
              </w:rPr>
              <w:t>一般压力表检定装置设备</w:t>
            </w:r>
          </w:p>
        </w:tc>
        <w:tc>
          <w:tcPr>
            <w:tcW w:w="4113" w:type="dxa"/>
            <w:vAlign w:val="center"/>
          </w:tcPr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1.功能要求</w:t>
            </w:r>
          </w:p>
          <w:p w:rsidR="00A57426" w:rsidRPr="003669BD" w:rsidRDefault="00A57426" w:rsidP="00D7095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压力源：</w:t>
            </w:r>
          </w:p>
          <w:p w:rsidR="00A57426" w:rsidRPr="003669BD" w:rsidRDefault="00A57426" w:rsidP="00E12EC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1、升降压平稳</w:t>
            </w:r>
            <w:r w:rsidR="00E12ECA">
              <w:rPr>
                <w:rFonts w:ascii="宋体" w:hAnsi="宋体" w:hint="eastAsia"/>
                <w:sz w:val="18"/>
                <w:szCs w:val="18"/>
                <w:lang w:eastAsia="zh-CN"/>
              </w:rPr>
              <w:t>，确保无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>传统截止阀回检不能精确控制的</w:t>
            </w:r>
            <w:r w:rsidR="00E12ECA">
              <w:rPr>
                <w:rFonts w:ascii="宋体" w:hAnsi="宋体" w:hint="eastAsia"/>
                <w:sz w:val="18"/>
                <w:szCs w:val="18"/>
                <w:lang w:eastAsia="zh-CN"/>
              </w:rPr>
              <w:t>技术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>难题;</w:t>
            </w:r>
          </w:p>
          <w:p w:rsidR="00A57426" w:rsidRPr="003669BD" w:rsidRDefault="00A57426" w:rsidP="00E12EC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2、便携式设计，适用于试验室工业现场使用;</w:t>
            </w:r>
          </w:p>
          <w:p w:rsidR="00A57426" w:rsidRPr="003669BD" w:rsidRDefault="00A57426" w:rsidP="00E12EC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3、三个标准连接口，一次可检定两块仪表，提高工作效率;</w:t>
            </w:r>
          </w:p>
          <w:p w:rsidR="00A57426" w:rsidRPr="003669BD" w:rsidRDefault="00A57426" w:rsidP="00E12EC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</w:t>
            </w:r>
            <w:r w:rsidR="00E12ECA">
              <w:rPr>
                <w:rFonts w:ascii="宋体" w:hAnsi="宋体" w:hint="eastAsia"/>
                <w:sz w:val="18"/>
                <w:szCs w:val="18"/>
                <w:lang w:eastAsia="zh-CN"/>
              </w:rPr>
              <w:t>4、</w:t>
            </w:r>
            <w:r w:rsidR="00E12ECA">
              <w:rPr>
                <w:rFonts w:ascii="宋体" w:hAnsi="宋体" w:hint="eastAsia"/>
                <w:sz w:val="18"/>
                <w:szCs w:val="18"/>
              </w:rPr>
              <w:t>介质外排和内循环两种模式，有明显指示的阀控模式，自主切换</w:t>
            </w:r>
            <w:r w:rsidR="00E12ECA">
              <w:rPr>
                <w:rFonts w:ascii="宋体" w:hAnsi="宋体" w:hint="eastAsia"/>
                <w:sz w:val="18"/>
                <w:szCs w:val="18"/>
                <w:lang w:eastAsia="zh-CN"/>
              </w:rPr>
              <w:t>，杜绝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 xml:space="preserve">介质对系统的污染; </w:t>
            </w:r>
          </w:p>
          <w:p w:rsidR="00A57426" w:rsidRPr="003669BD" w:rsidRDefault="00E12ECA" w:rsidP="00E12EC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5、</w:t>
            </w:r>
            <w:r>
              <w:rPr>
                <w:rFonts w:ascii="宋体" w:hAnsi="宋体" w:hint="eastAsia"/>
                <w:sz w:val="18"/>
                <w:szCs w:val="18"/>
              </w:rPr>
              <w:t>各零件采用进口不锈钢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制作</w:t>
            </w:r>
            <w:r w:rsidR="00A57426" w:rsidRPr="003669BD">
              <w:rPr>
                <w:rFonts w:ascii="宋体" w:hAnsi="宋体" w:hint="eastAsia"/>
                <w:sz w:val="18"/>
                <w:szCs w:val="18"/>
              </w:rPr>
              <w:t>，质量稳定可靠;</w:t>
            </w:r>
          </w:p>
          <w:p w:rsidR="00A57426" w:rsidRPr="003669BD" w:rsidRDefault="00E12ECA" w:rsidP="00E12EC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6、</w:t>
            </w:r>
            <w:r w:rsidR="00A57426" w:rsidRPr="003669BD">
              <w:rPr>
                <w:rFonts w:ascii="宋体" w:hAnsi="宋体" w:hint="eastAsia"/>
                <w:sz w:val="18"/>
                <w:szCs w:val="18"/>
              </w:rPr>
              <w:t>整体开放式结构，便于维修维护，造压安全可靠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，</w:t>
            </w:r>
            <w:r w:rsidR="00A57426" w:rsidRPr="003669BD">
              <w:rPr>
                <w:rFonts w:ascii="宋体" w:hAnsi="宋体" w:hint="eastAsia"/>
                <w:sz w:val="18"/>
                <w:szCs w:val="18"/>
              </w:rPr>
              <w:t>绝无不上压现象。</w:t>
            </w:r>
          </w:p>
          <w:p w:rsidR="00A57426" w:rsidRPr="003669BD" w:rsidRDefault="00A57426" w:rsidP="00D7095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数字压力计：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1.具有超大屏幕段码宽视角液晶显示；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2.具有存储和峰值记录功能；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3.具有kg/cm2、inHg、inH2O、Pa、kPa、MPa、bar、mbar、psi、mmHg 和mmH2O等11种压力单位供用户选择；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4.具有6位数字显示，位数可自行设定；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★5具有IP67防护等级；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★6具有CE认证；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★7具有防爆认证；</w:t>
            </w:r>
          </w:p>
          <w:p w:rsidR="00A57426" w:rsidRPr="003669BD" w:rsidRDefault="00E12ECA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</w:t>
            </w:r>
            <w:r w:rsidR="00A57426" w:rsidRPr="003669BD">
              <w:rPr>
                <w:rFonts w:ascii="宋体" w:hAnsi="宋体" w:hint="eastAsia"/>
                <w:sz w:val="18"/>
                <w:szCs w:val="18"/>
              </w:rPr>
              <w:t xml:space="preserve">8 具有计量器具型式批准证书； </w:t>
            </w:r>
          </w:p>
          <w:p w:rsidR="00A57426" w:rsidRPr="003669BD" w:rsidRDefault="00A57426" w:rsidP="00D7095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压力软件：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1.</w:t>
            </w:r>
            <w:r w:rsidRPr="003669BD">
              <w:rPr>
                <w:rFonts w:ascii="宋体" w:hAnsi="宋体"/>
                <w:sz w:val="18"/>
                <w:szCs w:val="18"/>
              </w:rPr>
              <w:t>在校验过程中可自动判断是否超出被检表的量程；可同时校验任意多块仪表，串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>口</w:t>
            </w:r>
            <w:r w:rsidRPr="003669BD">
              <w:rPr>
                <w:rFonts w:ascii="宋体" w:hAnsi="宋体"/>
                <w:sz w:val="18"/>
                <w:szCs w:val="18"/>
              </w:rPr>
              <w:t>通讯互不干扰，自动采集数据无需用户时刻监视；软件将自动进行相关计算，可消除人为计算的误差，根据仪表信息可自动判断是否合格，提示用户是否进行降级使用，在检定完成后可根据用户要求自动生成检定记录和检定证书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2.</w:t>
            </w:r>
            <w:r w:rsidRPr="003669BD">
              <w:rPr>
                <w:rFonts w:ascii="宋体" w:hAnsi="宋体"/>
                <w:sz w:val="18"/>
                <w:szCs w:val="18"/>
              </w:rPr>
              <w:t>检定记录查询方便，支持模糊查询和精确查询，支持批量删除记录，可方便的预览，打印检定记录和检定证书，记录和证书可另存为Word文件，方便用户打印和查阅。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3.</w:t>
            </w:r>
            <w:r w:rsidRPr="003669BD">
              <w:rPr>
                <w:rFonts w:ascii="宋体" w:hAnsi="宋体"/>
                <w:sz w:val="18"/>
                <w:szCs w:val="18"/>
              </w:rPr>
              <w:t>模块化设计，各个模块可以进行灵活定制，用户可根据自身需要，定制符合特色需求，如仪表项目的自由扩展，以及自行定制项目名称，以及显示顺序。可以定制用户特殊报告，快速查阅信息。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4.</w:t>
            </w:r>
            <w:r w:rsidRPr="003669BD">
              <w:rPr>
                <w:rFonts w:ascii="宋体" w:hAnsi="宋体"/>
                <w:sz w:val="18"/>
                <w:szCs w:val="18"/>
              </w:rPr>
              <w:t>可使用access，Sql server，My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669BD">
              <w:rPr>
                <w:rFonts w:ascii="宋体" w:hAnsi="宋体"/>
                <w:sz w:val="18"/>
                <w:szCs w:val="18"/>
              </w:rPr>
              <w:t>sql数据库，可实现网络化办公，局域网数据共享功能，并可实现多台设备多个操作人员分权管理，实现无纸化网络办公，以及现场操作与管理部门分工协作。设计高效数据库功能结构，提高数据处理能力，不会因数据多少影响软件性能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lastRenderedPageBreak/>
              <w:t>5.</w:t>
            </w:r>
            <w:r w:rsidRPr="003669BD">
              <w:rPr>
                <w:rFonts w:ascii="宋体" w:hAnsi="宋体"/>
                <w:sz w:val="18"/>
                <w:szCs w:val="18"/>
              </w:rPr>
              <w:t>统计数据显示以不同颜色标注不同状态的仪表，对于未测试仪表，过有效期仪表有不同颜色提示，方便用户快射操作。用户可以自行设置是否将自定义查询快捷操作显示到首页系统消息，可以导出统计报表等等。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6.</w:t>
            </w:r>
            <w:r w:rsidRPr="003669BD">
              <w:rPr>
                <w:rFonts w:ascii="宋体" w:hAnsi="宋体"/>
                <w:sz w:val="18"/>
                <w:szCs w:val="18"/>
              </w:rPr>
              <w:t>通讯模块与硬件设备管理相分离，可以实现不限量标准或被测仪表类型。通讯模块采用灵活定制命令特性，命令控制特性，使得知道通讯协议便可与设备进行通讯。无论是标准仪器还是被测仪器均可实现通讯自由定制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7.</w:t>
            </w:r>
            <w:r w:rsidRPr="003669BD">
              <w:rPr>
                <w:rFonts w:ascii="宋体" w:hAnsi="宋体"/>
                <w:sz w:val="18"/>
                <w:szCs w:val="18"/>
              </w:rPr>
              <w:t>提供用户自定义模板接口，设计高性能模板输出框架，使用户不更改软件情况下，自行修改模板，并且在软件升级时将保留用户的模板文件及配置信息。对于特殊需求用户，可由公司工程师定制模板DLL文件，并在软件升级时得到支持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8.</w:t>
            </w:r>
            <w:r w:rsidRPr="003669BD">
              <w:rPr>
                <w:rFonts w:ascii="宋体" w:hAnsi="宋体"/>
                <w:sz w:val="18"/>
                <w:szCs w:val="18"/>
              </w:rPr>
              <w:t>支持多个仪表，不同类型仪表同时操作(未作数量限制，取决与计算机的性能)，标准通讯模块可以共享，同时进行批量仪表的测试工作，各个测试界面采用荷叶式显示，各自独立运行，大大提高工作效率。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9.</w:t>
            </w:r>
            <w:r w:rsidRPr="003669BD">
              <w:rPr>
                <w:rFonts w:ascii="宋体" w:hAnsi="宋体"/>
                <w:sz w:val="18"/>
                <w:szCs w:val="18"/>
              </w:rPr>
              <w:t>检定记录的原始数据具有可追溯性和不可更改性，符合规程要求。对于仪表检定数据，可以在线浏览，打印，或存储到计算机，可以支持批量操作，减少操作人员工作量。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2.技术参数</w:t>
            </w:r>
          </w:p>
          <w:p w:rsidR="00A57426" w:rsidRPr="003669BD" w:rsidRDefault="00A57426" w:rsidP="00D7095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压力源：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1、造压范围：(0～60)MPa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2、最小可控调节度：0.01kPa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3、使用环境：现场/实验室</w:t>
            </w:r>
          </w:p>
          <w:p w:rsidR="00A57426" w:rsidRPr="003669BD" w:rsidRDefault="00A57426" w:rsidP="00B541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4、传压介质：矿物质油和纯净水各一台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5、外形尺寸：不大于(465×370×240)mm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6、接口尺寸：M20×</w:t>
            </w:r>
            <w:r w:rsidR="00B541BF">
              <w:rPr>
                <w:rFonts w:ascii="宋体" w:hAnsi="宋体" w:hint="eastAsia"/>
                <w:sz w:val="18"/>
                <w:szCs w:val="18"/>
              </w:rPr>
              <w:t>1.5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>（3个）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7、重    量：不大于15kg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8、油箱容积：不小于0.38L</w:t>
            </w:r>
          </w:p>
          <w:p w:rsidR="00A57426" w:rsidRPr="003669BD" w:rsidRDefault="00A57426" w:rsidP="00D7095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数字压力计：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1.量程范围：（0-1.6）MPa,（0-6）MPa,（0-16）MPa,（0-60）MPa;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★2.精度等级：0.05级；</w:t>
            </w:r>
          </w:p>
          <w:p w:rsidR="00A57426" w:rsidRPr="003669BD" w:rsidRDefault="00A57426" w:rsidP="00B541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★3.配置软件，须和原有SPMK软件通讯；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4.使用环境：温</w:t>
            </w:r>
            <w:r w:rsidR="00B541BF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669BD">
              <w:rPr>
                <w:rFonts w:ascii="宋体" w:hAnsi="宋体" w:hint="eastAsia"/>
                <w:sz w:val="18"/>
                <w:szCs w:val="18"/>
              </w:rPr>
              <w:t>度：(0～50)℃；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5.相对湿度：＜90%非凝露；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6.大 气 压：(86～</w:t>
            </w:r>
            <w:r w:rsidR="00B541BF">
              <w:rPr>
                <w:rFonts w:ascii="宋体" w:hAnsi="宋体" w:hint="eastAsia"/>
                <w:sz w:val="18"/>
                <w:szCs w:val="18"/>
              </w:rPr>
              <w:t>106)kPa</w:t>
            </w:r>
            <w:r w:rsidR="00B541BF">
              <w:rPr>
                <w:rFonts w:ascii="宋体" w:hAnsi="宋体" w:hint="eastAsia"/>
                <w:sz w:val="18"/>
                <w:szCs w:val="18"/>
                <w:lang w:eastAsia="zh-CN"/>
              </w:rPr>
              <w:t>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7.外形尺寸：表头：Ø120mmx45mm</w:t>
            </w:r>
            <w:r w:rsidR="00B541BF">
              <w:rPr>
                <w:rFonts w:ascii="宋体" w:hAnsi="宋体" w:hint="eastAsia"/>
                <w:sz w:val="18"/>
                <w:szCs w:val="18"/>
                <w:lang w:eastAsia="zh-CN"/>
              </w:rPr>
              <w:t>；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电脑;</w:t>
            </w:r>
          </w:p>
          <w:p w:rsidR="00A57426" w:rsidRPr="003669BD" w:rsidRDefault="00A57426" w:rsidP="00B541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/>
                <w:sz w:val="18"/>
                <w:szCs w:val="18"/>
              </w:rPr>
              <w:t>CPU处理器i5 ，12代及以上、8G内存、1T+128硬盘、显示器22英寸，</w:t>
            </w:r>
          </w:p>
          <w:p w:rsidR="00A57426" w:rsidRPr="003669BD" w:rsidRDefault="00A57426" w:rsidP="00D7095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69BD">
              <w:rPr>
                <w:rFonts w:ascii="宋体" w:hAnsi="宋体" w:hint="eastAsia"/>
                <w:b/>
                <w:bCs/>
                <w:sz w:val="18"/>
                <w:szCs w:val="18"/>
              </w:rPr>
              <w:t>打印机：</w:t>
            </w:r>
          </w:p>
          <w:p w:rsidR="00A57426" w:rsidRPr="003669BD" w:rsidRDefault="00A57426" w:rsidP="00B541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669BD">
              <w:rPr>
                <w:rFonts w:ascii="宋体" w:hAnsi="宋体" w:hint="eastAsia"/>
                <w:sz w:val="18"/>
                <w:szCs w:val="18"/>
              </w:rPr>
              <w:t>黑白激光无线打印机,复印扫描多功能一体机,(三合一+USB连接)</w:t>
            </w:r>
            <w:r w:rsidRPr="003669BD">
              <w:rPr>
                <w:rFonts w:ascii="宋体" w:hAnsi="宋体"/>
                <w:sz w:val="18"/>
                <w:szCs w:val="18"/>
              </w:rPr>
              <w:t> </w:t>
            </w:r>
          </w:p>
          <w:p w:rsidR="00A57426" w:rsidRDefault="00A57426" w:rsidP="00D7095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A57426" w:rsidRDefault="00D34CDE" w:rsidP="00A714DC">
            <w:pPr>
              <w:spacing w:before="68" w:line="223" w:lineRule="auto"/>
              <w:ind w:firstLineChars="50" w:firstLine="105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lastRenderedPageBreak/>
              <w:t>套</w:t>
            </w:r>
          </w:p>
        </w:tc>
        <w:tc>
          <w:tcPr>
            <w:tcW w:w="427" w:type="dxa"/>
            <w:vAlign w:val="center"/>
          </w:tcPr>
          <w:p w:rsidR="00A57426" w:rsidRDefault="00A57426" w:rsidP="00A714DC">
            <w:pPr>
              <w:spacing w:before="61" w:line="187" w:lineRule="auto"/>
              <w:ind w:firstLineChars="50" w:firstLine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A57426" w:rsidRPr="00D34CDE" w:rsidRDefault="00D34CDE" w:rsidP="00A714DC">
            <w:pPr>
              <w:spacing w:before="60" w:line="187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116000</w:t>
            </w:r>
          </w:p>
        </w:tc>
        <w:tc>
          <w:tcPr>
            <w:tcW w:w="708" w:type="dxa"/>
            <w:vAlign w:val="center"/>
          </w:tcPr>
          <w:p w:rsidR="00A57426" w:rsidRPr="00D34CDE" w:rsidRDefault="00D34CDE" w:rsidP="00A714DC">
            <w:pPr>
              <w:spacing w:before="60" w:line="187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116000</w:t>
            </w:r>
          </w:p>
        </w:tc>
        <w:tc>
          <w:tcPr>
            <w:tcW w:w="1700" w:type="dxa"/>
            <w:vAlign w:val="center"/>
          </w:tcPr>
          <w:p w:rsidR="00A57426" w:rsidRDefault="00A57426" w:rsidP="00A714DC">
            <w:pPr>
              <w:spacing w:before="68" w:line="286" w:lineRule="auto"/>
              <w:ind w:right="1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工业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宋体" w:eastAsia="宋体" w:hAnsi="宋体" w:cs="宋体"/>
                <w:spacing w:val="-2"/>
              </w:rPr>
              <w:t>优先</w:t>
            </w:r>
            <w:r w:rsidR="00EB005E">
              <w:rPr>
                <w:rFonts w:ascii="宋体" w:eastAsia="宋体" w:hAnsi="宋体" w:cs="宋体" w:hint="eastAsia"/>
                <w:lang w:eastAsia="zh-CN"/>
              </w:rPr>
              <w:t>CPA</w:t>
            </w:r>
            <w:r>
              <w:rPr>
                <w:rFonts w:ascii="宋体" w:eastAsia="宋体" w:hAnsi="宋体" w:cs="宋体"/>
                <w:spacing w:val="-2"/>
              </w:rPr>
              <w:t>标志</w:t>
            </w:r>
          </w:p>
        </w:tc>
      </w:tr>
    </w:tbl>
    <w:p w:rsidR="00D86D57" w:rsidRDefault="004F65B0" w:rsidP="00485CAE">
      <w:pPr>
        <w:pStyle w:val="a3"/>
        <w:spacing w:before="90" w:line="294" w:lineRule="auto"/>
        <w:ind w:right="653"/>
        <w:rPr>
          <w:lang w:eastAsia="zh-CN"/>
        </w:rPr>
      </w:pPr>
      <w:r>
        <w:lastRenderedPageBreak/>
        <w:t>备注：</w:t>
      </w:r>
      <w:r>
        <w:rPr>
          <w:spacing w:val="-64"/>
        </w:rPr>
        <w:t xml:space="preserve"> </w:t>
      </w:r>
      <w:r>
        <w:t>①带</w:t>
      </w:r>
      <w:r>
        <w:rPr>
          <w:rFonts w:ascii="Times New Roman" w:eastAsia="Times New Roman" w:hAnsi="Times New Roman" w:cs="Times New Roman"/>
        </w:rPr>
        <w:t>“</w:t>
      </w:r>
      <w:r>
        <w:t>★</w:t>
      </w:r>
      <w:r>
        <w:rPr>
          <w:rFonts w:ascii="Times New Roman" w:eastAsia="Times New Roman" w:hAnsi="Times New Roman" w:cs="Times New Roman"/>
        </w:rPr>
        <w:t>”</w:t>
      </w:r>
      <w:r>
        <w:t xml:space="preserve">要求为实质性要求，供应商必须进行实质性响应，不允许负偏离，否则作无效响 </w:t>
      </w:r>
      <w:r>
        <w:rPr>
          <w:spacing w:val="1"/>
        </w:rPr>
        <w:t>应处理；</w:t>
      </w:r>
      <w:r w:rsidR="00485CAE">
        <w:rPr>
          <w:rFonts w:hint="eastAsia"/>
          <w:spacing w:val="1"/>
          <w:lang w:eastAsia="zh-CN"/>
        </w:rPr>
        <w:t xml:space="preserve"> </w:t>
      </w:r>
    </w:p>
    <w:p w:rsidR="00D86D57" w:rsidRDefault="004F65B0">
      <w:pPr>
        <w:pStyle w:val="a3"/>
        <w:spacing w:before="54" w:line="234" w:lineRule="auto"/>
        <w:ind w:left="716"/>
        <w:outlineLvl w:val="1"/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b/>
          <w:bCs/>
          <w:spacing w:val="-2"/>
        </w:rPr>
        <w:t>服务要求</w:t>
      </w:r>
    </w:p>
    <w:p w:rsidR="00EC4185" w:rsidRPr="001A38F7" w:rsidRDefault="004F65B0" w:rsidP="001A38F7">
      <w:pPr>
        <w:pStyle w:val="a3"/>
        <w:spacing w:before="71" w:line="221" w:lineRule="auto"/>
        <w:ind w:left="727"/>
        <w:outlineLvl w:val="2"/>
        <w:rPr>
          <w:lang w:eastAsia="zh-CN"/>
        </w:rPr>
      </w:pPr>
      <w:r>
        <w:rPr>
          <w:b/>
          <w:bCs/>
          <w:spacing w:val="-5"/>
        </w:rPr>
        <w:t>（</w:t>
      </w:r>
      <w:r>
        <w:rPr>
          <w:rFonts w:ascii="Times New Roman" w:eastAsia="Times New Roman" w:hAnsi="Times New Roman" w:cs="Times New Roman"/>
          <w:b/>
          <w:bCs/>
          <w:spacing w:val="-5"/>
        </w:rPr>
        <w:t>1</w:t>
      </w:r>
      <w:r>
        <w:rPr>
          <w:b/>
          <w:bCs/>
          <w:spacing w:val="-5"/>
        </w:rPr>
        <w:t>）服务内容</w:t>
      </w:r>
    </w:p>
    <w:p w:rsidR="00EC4185" w:rsidRDefault="00EC4185">
      <w:pPr>
        <w:rPr>
          <w:lang w:eastAsia="zh-CN"/>
        </w:rPr>
      </w:pPr>
    </w:p>
    <w:tbl>
      <w:tblPr>
        <w:tblStyle w:val="TableNormal"/>
        <w:tblW w:w="102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30"/>
        <w:gridCol w:w="710"/>
        <w:gridCol w:w="1129"/>
        <w:gridCol w:w="7944"/>
      </w:tblGrid>
      <w:tr w:rsidR="00EC4185" w:rsidTr="00A714DC">
        <w:trPr>
          <w:trHeight w:val="610"/>
        </w:trPr>
        <w:tc>
          <w:tcPr>
            <w:tcW w:w="430" w:type="dxa"/>
            <w:textDirection w:val="tbRlV"/>
          </w:tcPr>
          <w:p w:rsidR="00EC4185" w:rsidRDefault="00EC4185" w:rsidP="00D70956">
            <w:pPr>
              <w:spacing w:before="108" w:line="211" w:lineRule="auto"/>
              <w:ind w:left="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</w:rPr>
              <w:lastRenderedPageBreak/>
              <w:t>序</w:t>
            </w:r>
            <w:r>
              <w:rPr>
                <w:rFonts w:ascii="宋体" w:eastAsia="宋体" w:hAnsi="宋体" w:cs="宋体"/>
                <w:spacing w:val="-16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</w:rPr>
              <w:t>号</w:t>
            </w:r>
          </w:p>
        </w:tc>
        <w:tc>
          <w:tcPr>
            <w:tcW w:w="710" w:type="dxa"/>
          </w:tcPr>
          <w:p w:rsidR="00EC4185" w:rsidRDefault="00EC4185" w:rsidP="00D70956">
            <w:pPr>
              <w:spacing w:before="63" w:line="236" w:lineRule="auto"/>
              <w:ind w:left="102" w:right="1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符号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标识</w:t>
            </w: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63" w:line="236" w:lineRule="auto"/>
              <w:ind w:left="101" w:right="11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商务要求名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称</w:t>
            </w:r>
          </w:p>
        </w:tc>
        <w:tc>
          <w:tcPr>
            <w:tcW w:w="7944" w:type="dxa"/>
          </w:tcPr>
          <w:p w:rsidR="00EC4185" w:rsidRDefault="00EC4185" w:rsidP="00D70956">
            <w:pPr>
              <w:spacing w:before="214" w:line="22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商务要求内容</w:t>
            </w:r>
          </w:p>
        </w:tc>
      </w:tr>
      <w:tr w:rsidR="00EC4185" w:rsidTr="00A714DC">
        <w:trPr>
          <w:trHeight w:val="304"/>
        </w:trPr>
        <w:tc>
          <w:tcPr>
            <w:tcW w:w="430" w:type="dxa"/>
          </w:tcPr>
          <w:p w:rsidR="00EC4185" w:rsidRDefault="00EC4185" w:rsidP="00D70956">
            <w:pPr>
              <w:spacing w:before="97" w:line="187" w:lineRule="auto"/>
              <w:ind w:left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</w:pP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58" w:line="207" w:lineRule="auto"/>
              <w:jc w:val="center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pacing w:val="-3"/>
              </w:rPr>
              <w:t>交货时间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58" w:line="207" w:lineRule="auto"/>
              <w:ind w:left="14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3003AF">
              <w:rPr>
                <w:rFonts w:ascii="宋体" w:eastAsia="宋体" w:hAnsi="宋体" w:cs="宋体"/>
                <w:spacing w:val="-8"/>
                <w:sz w:val="18"/>
                <w:szCs w:val="18"/>
              </w:rPr>
              <w:t>自合同签订之日起</w:t>
            </w:r>
            <w:r w:rsidRPr="003003AF">
              <w:rPr>
                <w:rFonts w:ascii="宋体" w:eastAsia="宋体" w:hAnsi="宋体" w:cs="宋体"/>
                <w:spacing w:val="-42"/>
                <w:sz w:val="18"/>
                <w:szCs w:val="18"/>
              </w:rPr>
              <w:t xml:space="preserve"> </w:t>
            </w:r>
            <w:r w:rsidR="001A38F7" w:rsidRPr="003003AF"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30</w:t>
            </w:r>
            <w:r w:rsidRPr="003003AF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="000224BC">
              <w:rPr>
                <w:rFonts w:ascii="宋体" w:eastAsia="宋体" w:hAnsi="宋体" w:cs="宋体"/>
                <w:spacing w:val="-8"/>
                <w:sz w:val="18"/>
                <w:szCs w:val="18"/>
              </w:rPr>
              <w:t>日</w:t>
            </w:r>
            <w:r w:rsidR="000224BC">
              <w:rPr>
                <w:rFonts w:ascii="宋体" w:eastAsia="宋体" w:hAnsi="宋体" w:cs="宋体" w:hint="eastAsia"/>
                <w:spacing w:val="-8"/>
                <w:sz w:val="18"/>
                <w:szCs w:val="18"/>
                <w:lang w:eastAsia="zh-CN"/>
              </w:rPr>
              <w:t>。</w:t>
            </w:r>
          </w:p>
        </w:tc>
      </w:tr>
      <w:tr w:rsidR="00EC4185" w:rsidTr="00A714DC">
        <w:trPr>
          <w:trHeight w:val="307"/>
        </w:trPr>
        <w:tc>
          <w:tcPr>
            <w:tcW w:w="430" w:type="dxa"/>
          </w:tcPr>
          <w:p w:rsidR="00EC4185" w:rsidRDefault="00EC4185" w:rsidP="00D70956">
            <w:pPr>
              <w:spacing w:before="100" w:line="187" w:lineRule="auto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</w:pP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61" w:line="207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交货地点</w:t>
            </w:r>
          </w:p>
        </w:tc>
        <w:tc>
          <w:tcPr>
            <w:tcW w:w="7944" w:type="dxa"/>
          </w:tcPr>
          <w:p w:rsidR="00EC4185" w:rsidRPr="003003AF" w:rsidRDefault="001A38F7" w:rsidP="001A38F7">
            <w:pPr>
              <w:spacing w:before="61" w:line="207" w:lineRule="auto"/>
              <w:ind w:left="11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万源市</w:t>
            </w:r>
            <w:r w:rsidRPr="003003AF"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市场监督管理局</w:t>
            </w:r>
            <w:r w:rsidR="000224BC"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。</w:t>
            </w:r>
          </w:p>
        </w:tc>
      </w:tr>
      <w:tr w:rsidR="00EC4185" w:rsidTr="00A714DC">
        <w:trPr>
          <w:trHeight w:val="304"/>
        </w:trPr>
        <w:tc>
          <w:tcPr>
            <w:tcW w:w="430" w:type="dxa"/>
          </w:tcPr>
          <w:p w:rsidR="00EC4185" w:rsidRDefault="00EC4185" w:rsidP="00D70956">
            <w:pPr>
              <w:spacing w:before="97" w:line="187" w:lineRule="auto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</w:pP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58" w:line="207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支付方式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58" w:line="207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一次付清。</w:t>
            </w:r>
          </w:p>
        </w:tc>
      </w:tr>
      <w:tr w:rsidR="00EC4185" w:rsidTr="00A714DC">
        <w:trPr>
          <w:trHeight w:val="304"/>
        </w:trPr>
        <w:tc>
          <w:tcPr>
            <w:tcW w:w="430" w:type="dxa"/>
          </w:tcPr>
          <w:p w:rsidR="00EC4185" w:rsidRDefault="00EC4185" w:rsidP="00D70956">
            <w:pPr>
              <w:spacing w:before="98" w:line="187" w:lineRule="auto"/>
              <w:ind w:lef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</w:pP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59" w:line="20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支付约定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59" w:line="206" w:lineRule="auto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、验收合格。达到付款条件起</w:t>
            </w:r>
            <w:r w:rsidRPr="003003AF">
              <w:rPr>
                <w:rFonts w:ascii="宋体" w:eastAsia="宋体" w:hAnsi="宋体" w:cs="宋体"/>
                <w:spacing w:val="-27"/>
                <w:sz w:val="18"/>
                <w:szCs w:val="18"/>
              </w:rPr>
              <w:t xml:space="preserve"> </w:t>
            </w:r>
            <w:r w:rsidRPr="003003A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15</w:t>
            </w:r>
            <w:r w:rsidRPr="003003AF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日内。支付合</w:t>
            </w:r>
            <w:r w:rsidRPr="003003AF">
              <w:rPr>
                <w:rFonts w:ascii="宋体" w:eastAsia="宋体" w:hAnsi="宋体" w:cs="宋体"/>
                <w:spacing w:val="-4"/>
                <w:sz w:val="18"/>
                <w:szCs w:val="18"/>
              </w:rPr>
              <w:t>同总金额的</w:t>
            </w:r>
            <w:r w:rsidRPr="003003AF">
              <w:rPr>
                <w:rFonts w:ascii="宋体" w:eastAsia="宋体" w:hAnsi="宋体" w:cs="宋体"/>
                <w:spacing w:val="-27"/>
                <w:sz w:val="18"/>
                <w:szCs w:val="18"/>
              </w:rPr>
              <w:t xml:space="preserve"> </w:t>
            </w:r>
            <w:r w:rsidRPr="003003A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100.00%</w:t>
            </w:r>
            <w:r w:rsidRPr="003003AF">
              <w:rPr>
                <w:rFonts w:ascii="宋体" w:eastAsia="宋体" w:hAnsi="宋体" w:cs="宋体"/>
                <w:spacing w:val="-4"/>
                <w:sz w:val="18"/>
                <w:szCs w:val="18"/>
              </w:rPr>
              <w:t>。</w:t>
            </w:r>
          </w:p>
        </w:tc>
      </w:tr>
      <w:tr w:rsidR="00EC4185" w:rsidTr="00A714DC">
        <w:trPr>
          <w:trHeight w:val="904"/>
        </w:trPr>
        <w:tc>
          <w:tcPr>
            <w:tcW w:w="430" w:type="dxa"/>
          </w:tcPr>
          <w:p w:rsidR="00EC4185" w:rsidRDefault="00EC4185" w:rsidP="00D70956">
            <w:pPr>
              <w:pStyle w:val="TableText"/>
              <w:spacing w:line="339" w:lineRule="auto"/>
            </w:pPr>
          </w:p>
          <w:p w:rsidR="00EC4185" w:rsidRDefault="00EC4185" w:rsidP="00D70956">
            <w:pPr>
              <w:spacing w:before="60" w:line="184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  <w:spacing w:line="289" w:lineRule="auto"/>
            </w:pPr>
          </w:p>
          <w:p w:rsidR="00EC4185" w:rsidRDefault="00EC4185" w:rsidP="00D70956">
            <w:pPr>
              <w:spacing w:before="69" w:line="228" w:lineRule="auto"/>
              <w:ind w:left="2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★</w:t>
            </w: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211" w:line="250" w:lineRule="auto"/>
              <w:ind w:right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包装方式及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运输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61" w:line="244" w:lineRule="auto"/>
              <w:ind w:left="106" w:right="21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宋体" w:eastAsia="宋体" w:hAnsi="宋体" w:cs="宋体"/>
                <w:spacing w:val="-6"/>
                <w:sz w:val="18"/>
                <w:szCs w:val="18"/>
              </w:rPr>
              <w:t>涉及的商品包装和快递包装，均应符合《商品包装政府采购需求标准（试行）》《快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 w:rsidRPr="003003AF">
              <w:rPr>
                <w:rFonts w:ascii="宋体" w:eastAsia="宋体" w:hAnsi="宋体" w:cs="宋体"/>
                <w:spacing w:val="-8"/>
                <w:sz w:val="18"/>
                <w:szCs w:val="18"/>
              </w:rPr>
              <w:t>递包装政府采购需求标准（试行）》的要求，包装应适应于远距</w:t>
            </w:r>
            <w:r w:rsidRPr="003003AF">
              <w:rPr>
                <w:rFonts w:ascii="宋体" w:eastAsia="宋体" w:hAnsi="宋体" w:cs="宋体"/>
                <w:spacing w:val="-9"/>
                <w:sz w:val="18"/>
                <w:szCs w:val="18"/>
              </w:rPr>
              <w:t>离运输、防潮、防震、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防锈和防野蛮装卸，以确保货物安全无损运抵指定地点。</w:t>
            </w:r>
          </w:p>
        </w:tc>
      </w:tr>
      <w:tr w:rsidR="00EC4185" w:rsidTr="00A714DC">
        <w:trPr>
          <w:trHeight w:val="905"/>
        </w:trPr>
        <w:tc>
          <w:tcPr>
            <w:tcW w:w="430" w:type="dxa"/>
          </w:tcPr>
          <w:p w:rsidR="00EC4185" w:rsidRDefault="00EC4185" w:rsidP="00D70956">
            <w:pPr>
              <w:pStyle w:val="TableText"/>
              <w:spacing w:line="336" w:lineRule="auto"/>
            </w:pPr>
          </w:p>
          <w:p w:rsidR="00EC4185" w:rsidRDefault="00EC4185" w:rsidP="00D70956">
            <w:pPr>
              <w:spacing w:before="61" w:line="187" w:lineRule="auto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  <w:spacing w:line="290" w:lineRule="auto"/>
            </w:pPr>
          </w:p>
          <w:p w:rsidR="00EC4185" w:rsidRDefault="00EC4185" w:rsidP="00D70956">
            <w:pPr>
              <w:spacing w:before="68" w:line="228" w:lineRule="auto"/>
              <w:ind w:left="2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★</w:t>
            </w: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211" w:line="251" w:lineRule="auto"/>
              <w:ind w:right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验收、交付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标准和方法</w:t>
            </w:r>
          </w:p>
        </w:tc>
        <w:tc>
          <w:tcPr>
            <w:tcW w:w="7944" w:type="dxa"/>
          </w:tcPr>
          <w:p w:rsidR="00EC4185" w:rsidRPr="003003AF" w:rsidRDefault="00EC4185" w:rsidP="00E84391">
            <w:pPr>
              <w:spacing w:before="60" w:line="220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按照《财政部关于进一步加强政府采购需求和履约验收管理的指导</w:t>
            </w:r>
            <w:r w:rsidRPr="003003AF">
              <w:rPr>
                <w:rFonts w:ascii="宋体" w:eastAsia="宋体" w:hAnsi="宋体" w:cs="宋体"/>
                <w:spacing w:val="-4"/>
                <w:sz w:val="18"/>
                <w:szCs w:val="18"/>
              </w:rPr>
              <w:t>意见》（财库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（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2016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）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205</w:t>
            </w:r>
            <w:r w:rsidRPr="003003AF">
              <w:rPr>
                <w:rFonts w:ascii="Times New Roman" w:eastAsia="Times New Roman" w:hAnsi="Times New Roman" w:cs="Times New Roman"/>
                <w:spacing w:val="31"/>
                <w:w w:val="101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号）的要求，依据采购文件、响应文件、合同约定以及国家相关标准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要求进行验收。</w:t>
            </w:r>
            <w:r w:rsidR="00E84391">
              <w:rPr>
                <w:rFonts w:ascii="Times New Roman" w:eastAsia="宋体" w:hAnsi="Times New Roman" w:cs="Times New Roman" w:hint="eastAsia"/>
                <w:noProof w:val="0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</w:p>
        </w:tc>
      </w:tr>
      <w:tr w:rsidR="00EC4185" w:rsidTr="00A714DC">
        <w:trPr>
          <w:trHeight w:val="905"/>
        </w:trPr>
        <w:tc>
          <w:tcPr>
            <w:tcW w:w="430" w:type="dxa"/>
          </w:tcPr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3" w:lineRule="auto"/>
            </w:pPr>
          </w:p>
          <w:p w:rsidR="00EC4185" w:rsidRDefault="00EC4185" w:rsidP="00D70956">
            <w:pPr>
              <w:pStyle w:val="TableText"/>
              <w:spacing w:line="254" w:lineRule="auto"/>
            </w:pPr>
          </w:p>
          <w:p w:rsidR="00EC4185" w:rsidRDefault="00EC4185" w:rsidP="00D70956">
            <w:pPr>
              <w:pStyle w:val="TableText"/>
              <w:spacing w:line="254" w:lineRule="auto"/>
            </w:pPr>
          </w:p>
          <w:p w:rsidR="00EC4185" w:rsidRDefault="00EC4185" w:rsidP="00D70956">
            <w:pPr>
              <w:spacing w:before="60" w:line="184" w:lineRule="auto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0" w:type="dxa"/>
            <w:vAlign w:val="center"/>
          </w:tcPr>
          <w:p w:rsidR="00EC4185" w:rsidRDefault="00EC4185" w:rsidP="00A714DC">
            <w:pPr>
              <w:spacing w:before="68" w:line="228" w:lineRule="auto"/>
              <w:ind w:left="2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★</w:t>
            </w: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68" w:line="250" w:lineRule="auto"/>
              <w:ind w:right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质量保修范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围和保修期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60" w:line="220" w:lineRule="auto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1.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质保期限：</w:t>
            </w:r>
            <w:r w:rsidRPr="003003AF">
              <w:rPr>
                <w:rFonts w:ascii="宋体" w:eastAsia="宋体" w:hAnsi="宋体" w:cs="宋体"/>
                <w:spacing w:val="-55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自验收合格之日起不少于</w:t>
            </w:r>
            <w:r w:rsidRPr="003003AF">
              <w:rPr>
                <w:rFonts w:ascii="宋体" w:eastAsia="宋体" w:hAnsi="宋体" w:cs="宋体"/>
                <w:spacing w:val="-28"/>
                <w:sz w:val="18"/>
                <w:szCs w:val="18"/>
              </w:rPr>
              <w:t xml:space="preserve"> </w:t>
            </w:r>
            <w:r w:rsidRPr="003003A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1 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年，提供免费质保服务及系统升级服务。</w:t>
            </w:r>
          </w:p>
          <w:p w:rsidR="00EC4185" w:rsidRPr="003003AF" w:rsidRDefault="00EC4185" w:rsidP="00D70956">
            <w:pPr>
              <w:spacing w:before="51" w:line="259" w:lineRule="auto"/>
              <w:ind w:left="104" w:right="98" w:hanging="2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2.</w:t>
            </w: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质保期内：产品出现任何质量问题，供应商应负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责三包（包修、包换、包退</w:t>
            </w:r>
            <w:r w:rsidRPr="003003AF">
              <w:rPr>
                <w:rFonts w:ascii="宋体" w:eastAsia="宋体" w:hAnsi="宋体" w:cs="宋体"/>
                <w:spacing w:val="-20"/>
                <w:sz w:val="18"/>
                <w:szCs w:val="18"/>
              </w:rPr>
              <w:t>）；</w:t>
            </w:r>
            <w:r w:rsidRPr="003003AF">
              <w:rPr>
                <w:rFonts w:ascii="宋体" w:eastAsia="宋体" w:hAnsi="宋体" w:cs="宋体"/>
                <w:spacing w:val="-3"/>
                <w:sz w:val="18"/>
                <w:szCs w:val="18"/>
              </w:rPr>
              <w:t>软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>件系统须</w:t>
            </w:r>
            <w:r w:rsidR="003003AF" w:rsidRPr="003003AF">
              <w:rPr>
                <w:rFonts w:ascii="宋体" w:eastAsia="宋体" w:hAnsi="宋体" w:cs="宋体"/>
                <w:sz w:val="18"/>
                <w:szCs w:val="18"/>
              </w:rPr>
              <w:t>提供运维保障、功能升级、漏洞修复等服务，产生的相关费用由供应商</w:t>
            </w:r>
            <w:r w:rsidR="003003AF" w:rsidRPr="003003AF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承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担。凡</w:t>
            </w:r>
            <w:r w:rsidRPr="003003AF">
              <w:rPr>
                <w:rFonts w:ascii="宋体" w:eastAsia="宋体" w:hAnsi="宋体" w:cs="宋体"/>
                <w:spacing w:val="-27"/>
                <w:sz w:val="18"/>
                <w:szCs w:val="18"/>
              </w:rPr>
              <w:t xml:space="preserve"> 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年内因质量问题发生故障无法修复的，应免费</w:t>
            </w: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更换同品牌、同型号、同质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 xml:space="preserve"> 量的新设备。在质保期内，供应商须保证全部设备的各种部件均保证齐备、充足供应，若因设备升级更新等原因不能保障供应造成采购人损失的，供应商承担全部赔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偿责任。</w:t>
            </w:r>
          </w:p>
          <w:p w:rsidR="00EC4185" w:rsidRPr="003003AF" w:rsidRDefault="00EC4185" w:rsidP="003003AF">
            <w:pPr>
              <w:spacing w:before="31" w:line="257" w:lineRule="auto"/>
              <w:ind w:left="104" w:right="23" w:firstLine="2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>中标（成交）后供应商须满足以下售后服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务</w:t>
            </w:r>
            <w:r w:rsidRPr="003003AF">
              <w:rPr>
                <w:rFonts w:ascii="宋体" w:eastAsia="宋体" w:hAnsi="宋体" w:cs="宋体"/>
                <w:spacing w:val="-50"/>
                <w:w w:val="90"/>
                <w:sz w:val="18"/>
                <w:szCs w:val="18"/>
              </w:rPr>
              <w:t>：（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）供应商配置专业售后服务人员、</w:t>
            </w:r>
            <w:r w:rsidRPr="003003AF"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服务电话等，提供</w:t>
            </w:r>
            <w:r w:rsidRPr="003003AF">
              <w:rPr>
                <w:rFonts w:ascii="宋体" w:eastAsia="宋体" w:hAnsi="宋体" w:cs="宋体"/>
                <w:spacing w:val="-42"/>
                <w:sz w:val="18"/>
                <w:szCs w:val="18"/>
              </w:rPr>
              <w:t xml:space="preserve"> 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7*24</w:t>
            </w:r>
            <w:r w:rsidRPr="003003AF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小时远程技术支持服务</w:t>
            </w:r>
            <w:r w:rsidRPr="003003AF">
              <w:rPr>
                <w:rFonts w:ascii="宋体" w:eastAsia="宋体" w:hAnsi="宋体" w:cs="宋体"/>
                <w:spacing w:val="-47"/>
                <w:w w:val="84"/>
                <w:sz w:val="18"/>
                <w:szCs w:val="18"/>
              </w:rPr>
              <w:t>；（</w:t>
            </w:r>
            <w:r w:rsidRPr="003003A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）供应商接到采购人电话或</w:t>
            </w: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其他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形式的故障报修服务要求后，</w:t>
            </w:r>
            <w:r w:rsidR="003003AF" w:rsidRPr="003003AF">
              <w:rPr>
                <w:rFonts w:ascii="宋体" w:eastAsia="宋体" w:hAnsi="宋体" w:cs="Times New Roman" w:hint="eastAsia"/>
                <w:noProof w:val="0"/>
                <w:snapToGrid/>
                <w:color w:val="auto"/>
                <w:kern w:val="2"/>
                <w:sz w:val="18"/>
                <w:szCs w:val="18"/>
                <w:lang w:eastAsia="zh-CN"/>
              </w:rPr>
              <w:t>2小时内回应，通过电话、传真及邮件的方式指导排除故障；若故障仍不能排除，需在24小时到达现场维护</w:t>
            </w:r>
            <w:r w:rsidR="00E90D18">
              <w:rPr>
                <w:rFonts w:ascii="宋体" w:eastAsia="宋体" w:hAnsi="宋体" w:cs="Times New Roman" w:hint="eastAsia"/>
                <w:noProof w:val="0"/>
                <w:snapToGrid/>
                <w:color w:val="auto"/>
                <w:kern w:val="2"/>
                <w:sz w:val="18"/>
                <w:szCs w:val="18"/>
                <w:lang w:eastAsia="zh-CN"/>
              </w:rPr>
              <w:t>，</w:t>
            </w: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故障问题解决后 24 小时内，应向采购人提交问题处理报告，说明问</w:t>
            </w:r>
            <w:r w:rsidR="00E90D18">
              <w:rPr>
                <w:rFonts w:ascii="宋体" w:eastAsia="宋体" w:hAnsi="宋体" w:cs="宋体"/>
                <w:spacing w:val="-2"/>
                <w:sz w:val="18"/>
                <w:szCs w:val="18"/>
              </w:rPr>
              <w:t>题种类、问题原因、问题解决中使用的方法</w:t>
            </w:r>
            <w:r w:rsidRPr="003003AF">
              <w:rPr>
                <w:rFonts w:ascii="宋体" w:eastAsia="宋体" w:hAnsi="宋体" w:cs="宋体"/>
                <w:spacing w:val="-2"/>
                <w:sz w:val="18"/>
                <w:szCs w:val="18"/>
              </w:rPr>
              <w:t>等情况。</w:t>
            </w:r>
          </w:p>
        </w:tc>
      </w:tr>
      <w:tr w:rsidR="00EC4185" w:rsidTr="00A714DC">
        <w:trPr>
          <w:trHeight w:val="1211"/>
        </w:trPr>
        <w:tc>
          <w:tcPr>
            <w:tcW w:w="430" w:type="dxa"/>
          </w:tcPr>
          <w:p w:rsidR="00EC4185" w:rsidRDefault="00EC4185" w:rsidP="00D70956">
            <w:pPr>
              <w:pStyle w:val="TableText"/>
              <w:spacing w:line="244" w:lineRule="auto"/>
            </w:pPr>
          </w:p>
          <w:p w:rsidR="00EC4185" w:rsidRDefault="00EC4185" w:rsidP="00D70956">
            <w:pPr>
              <w:pStyle w:val="TableText"/>
              <w:spacing w:line="245" w:lineRule="auto"/>
            </w:pPr>
          </w:p>
          <w:p w:rsidR="00EC4185" w:rsidRDefault="00EC4185" w:rsidP="00D70956">
            <w:pPr>
              <w:spacing w:before="60" w:line="187" w:lineRule="auto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EC4185" w:rsidRDefault="00EC4185" w:rsidP="00D70956">
            <w:pPr>
              <w:pStyle w:val="TableText"/>
              <w:spacing w:line="442" w:lineRule="auto"/>
            </w:pPr>
          </w:p>
          <w:p w:rsidR="00EC4185" w:rsidRDefault="00EC4185" w:rsidP="00D70956">
            <w:pPr>
              <w:spacing w:before="69" w:line="228" w:lineRule="auto"/>
              <w:ind w:left="2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★</w:t>
            </w:r>
          </w:p>
        </w:tc>
        <w:tc>
          <w:tcPr>
            <w:tcW w:w="1129" w:type="dxa"/>
            <w:vAlign w:val="center"/>
          </w:tcPr>
          <w:p w:rsidR="00EC4185" w:rsidRDefault="00EC4185" w:rsidP="00A714DC">
            <w:pPr>
              <w:spacing w:before="214" w:line="255" w:lineRule="auto"/>
              <w:ind w:right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违约责任与解决争议的</w:t>
            </w:r>
            <w:r>
              <w:rPr>
                <w:rFonts w:ascii="宋体" w:eastAsia="宋体" w:hAnsi="宋体" w:cs="宋体"/>
                <w:spacing w:val="-2"/>
              </w:rPr>
              <w:t>方法</w:t>
            </w:r>
          </w:p>
        </w:tc>
        <w:tc>
          <w:tcPr>
            <w:tcW w:w="7944" w:type="dxa"/>
          </w:tcPr>
          <w:p w:rsidR="00EC4185" w:rsidRPr="003003AF" w:rsidRDefault="00EC4185" w:rsidP="00D70956">
            <w:pPr>
              <w:spacing w:before="63" w:line="250" w:lineRule="auto"/>
              <w:ind w:left="104" w:right="129" w:firstLine="1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因本合同及合同有关事项发生的争议，由甲乙双方友好协商解决。协商不成时，可</w:t>
            </w:r>
            <w:r w:rsidRPr="003003AF">
              <w:rPr>
                <w:rFonts w:ascii="宋体" w:eastAsia="宋体" w:hAnsi="宋体" w:cs="宋体"/>
                <w:spacing w:val="18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>以向有关组织申请调解。合同一方或双方不愿调解或调解不成的，可以通过仲裁或 诉讼的方式解决争议。如甲乙双方有争议的事项不影响合同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其他部分的履行，在争</w:t>
            </w:r>
            <w:r w:rsidRPr="003003A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Pr="003003AF">
              <w:rPr>
                <w:rFonts w:ascii="宋体" w:eastAsia="宋体" w:hAnsi="宋体" w:cs="宋体"/>
                <w:spacing w:val="-1"/>
                <w:sz w:val="18"/>
                <w:szCs w:val="18"/>
              </w:rPr>
              <w:t>议解决期间，合同其他部分应当继续履行。</w:t>
            </w:r>
          </w:p>
        </w:tc>
      </w:tr>
    </w:tbl>
    <w:p w:rsidR="00D86D57" w:rsidRDefault="00D86D57" w:rsidP="00EC4185">
      <w:pPr>
        <w:pStyle w:val="a3"/>
        <w:spacing w:before="89" w:line="221" w:lineRule="auto"/>
        <w:outlineLvl w:val="2"/>
        <w:rPr>
          <w:lang w:eastAsia="zh-CN"/>
        </w:rPr>
      </w:pPr>
    </w:p>
    <w:sectPr w:rsidR="00D86D57" w:rsidSect="003E7332">
      <w:pgSz w:w="11907" w:h="16839"/>
      <w:pgMar w:top="1418" w:right="811" w:bottom="1395" w:left="875" w:header="0" w:footer="11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FB" w:rsidRDefault="00134DFB">
      <w:r>
        <w:separator/>
      </w:r>
    </w:p>
  </w:endnote>
  <w:endnote w:type="continuationSeparator" w:id="0">
    <w:p w:rsidR="00134DFB" w:rsidRDefault="0013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FB" w:rsidRDefault="00134DFB">
      <w:r>
        <w:separator/>
      </w:r>
    </w:p>
  </w:footnote>
  <w:footnote w:type="continuationSeparator" w:id="0">
    <w:p w:rsidR="00134DFB" w:rsidRDefault="00134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86D57"/>
    <w:rsid w:val="000224BC"/>
    <w:rsid w:val="00134DFB"/>
    <w:rsid w:val="00186A45"/>
    <w:rsid w:val="001A38F7"/>
    <w:rsid w:val="003003AF"/>
    <w:rsid w:val="003E7332"/>
    <w:rsid w:val="00485CAE"/>
    <w:rsid w:val="004F0059"/>
    <w:rsid w:val="004F65B0"/>
    <w:rsid w:val="00A45331"/>
    <w:rsid w:val="00A57426"/>
    <w:rsid w:val="00A714DC"/>
    <w:rsid w:val="00B541BF"/>
    <w:rsid w:val="00D34CDE"/>
    <w:rsid w:val="00D86D57"/>
    <w:rsid w:val="00DD067F"/>
    <w:rsid w:val="00E12ECA"/>
    <w:rsid w:val="00E84391"/>
    <w:rsid w:val="00E90D18"/>
    <w:rsid w:val="00EB005E"/>
    <w:rsid w:val="00EC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E733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E7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3E7332"/>
    <w:rPr>
      <w:rFonts w:ascii="宋体" w:eastAsia="宋体" w:hAnsi="宋体" w:cs="宋体"/>
    </w:rPr>
  </w:style>
  <w:style w:type="paragraph" w:customStyle="1" w:styleId="TableText">
    <w:name w:val="Table Text"/>
    <w:basedOn w:val="a"/>
    <w:semiHidden/>
    <w:qFormat/>
    <w:rsid w:val="003E7332"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A453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331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3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331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A453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331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3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331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田云</cp:lastModifiedBy>
  <cp:revision>2</cp:revision>
  <dcterms:created xsi:type="dcterms:W3CDTF">2025-03-12T05:33:00Z</dcterms:created>
  <dcterms:modified xsi:type="dcterms:W3CDTF">2025-03-12T05:33:00Z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2025-03-12T11:03:21Z</vt:filetime>
  </property>
</Properties>
</file>