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7193"/>
      <w:bookmarkStart w:id="3" w:name="_Toc15378441"/>
      <w:bookmarkStart w:id="4" w:name="_Toc15396475"/>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8442"/>
      <w:bookmarkStart w:id="8" w:name="_Toc15396598"/>
      <w:bookmarkStart w:id="9" w:name="_Toc15377426"/>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万源市医疗保障局单位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2"/>
      </w:pPr>
    </w:p>
    <w:p>
      <w:pPr>
        <w:pStyle w:val="12"/>
        <w:adjustRightInd w:val="0"/>
        <w:snapToGrid w:val="0"/>
        <w:spacing w:line="440" w:lineRule="exact"/>
        <w:ind w:left="0" w:leftChars="0" w:firstLine="0" w:firstLineChars="0"/>
        <w:jc w:val="center"/>
        <w:rPr>
          <w:rFonts w:hint="eastAsia"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公开时间：2022年10月25日</w:t>
      </w:r>
    </w:p>
    <w:p>
      <w:pPr>
        <w:rPr>
          <w:rFonts w:hint="eastAsia"/>
          <w:lang w:val="en-US" w:eastAsia="zh-CN"/>
        </w:rPr>
      </w:pPr>
    </w:p>
    <w:p>
      <w:pPr>
        <w:rPr>
          <w:color w:val="auto"/>
          <w:highlight w:val="none"/>
        </w:rPr>
      </w:pPr>
      <w:bookmarkStart w:id="67" w:name="_GoBack"/>
      <w:bookmarkEnd w:id="67"/>
    </w:p>
    <w:p>
      <w:pPr>
        <w:pStyle w:val="11"/>
        <w:adjustRightInd w:val="0"/>
        <w:snapToGrid w:val="0"/>
        <w:spacing w:before="0" w:line="440" w:lineRule="exact"/>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第一部分</w:t>
      </w:r>
      <w:r>
        <w:rPr>
          <w:rFonts w:hint="eastAsia" w:ascii="Times New Roman" w:hAnsi="Times New Roman" w:cs="仿宋"/>
          <w:b w:val="0"/>
          <w:bCs w:val="0"/>
          <w:kern w:val="2"/>
          <w:sz w:val="32"/>
          <w:szCs w:val="32"/>
          <w:lang w:val="en-US" w:eastAsia="zh-CN" w:bidi="ar-SA"/>
        </w:rPr>
        <w:t xml:space="preserve"> </w:t>
      </w:r>
      <w:r>
        <w:rPr>
          <w:rFonts w:hint="eastAsia" w:ascii="Times New Roman" w:hAnsi="Times New Roman" w:eastAsia="仿宋" w:cs="仿宋"/>
          <w:b w:val="0"/>
          <w:bCs w:val="0"/>
          <w:kern w:val="2"/>
          <w:sz w:val="32"/>
          <w:szCs w:val="32"/>
          <w:lang w:val="en-US" w:eastAsia="zh-CN" w:bidi="ar-SA"/>
        </w:rPr>
        <w:t>单位概况........................</w:t>
      </w:r>
      <w:r>
        <w:rPr>
          <w:rFonts w:hint="eastAsia" w:ascii="Times New Roman" w:hAnsi="Times New Roman"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..........................4</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一、职能简介........</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....4</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二、2021年重点工作完成情况...........................</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...4</w:t>
      </w:r>
    </w:p>
    <w:p>
      <w:pPr>
        <w:pStyle w:val="11"/>
        <w:adjustRightInd w:val="0"/>
        <w:snapToGrid w:val="0"/>
        <w:spacing w:before="0" w:line="440" w:lineRule="exact"/>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第二部分 2021年度单位决算情况说明................................</w:t>
      </w:r>
      <w:r>
        <w:rPr>
          <w:rFonts w:hint="eastAsia" w:ascii="Times New Roman" w:hAnsi="Times New Roman"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..9</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一、收入支出决算总体情况说明.............................</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........9</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二、收入决算情况说明..........</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...................10</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三、支出决算情况说明..........................</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..................10</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四、财政拨款收入支出决算总体情况说明.....................11</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五、一般公共预算财政拨款支出决算情况说明............11</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六、一般公共预算财政拨款基本支出决算情况说明..</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13</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七、“三公”经费财政拨款支出决算情况说明.................13</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八、政府性基金预算支出决算情况说明...............</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....15</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九、国有资本经营预算支出决算情况说明.........</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.15</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十、其他重要事项的情况说明.................................</w:t>
      </w:r>
      <w:r>
        <w:rPr>
          <w:rFonts w:hint="eastAsia" w:eastAsia="仿宋"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15</w:t>
      </w:r>
    </w:p>
    <w:p>
      <w:pPr>
        <w:pStyle w:val="11"/>
        <w:adjustRightInd w:val="0"/>
        <w:snapToGrid w:val="0"/>
        <w:spacing w:before="0" w:line="440" w:lineRule="exact"/>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第三部分 名词解释................................</w:t>
      </w:r>
      <w:r>
        <w:rPr>
          <w:rFonts w:hint="eastAsia" w:ascii="Times New Roman" w:hAnsi="Times New Roman"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..................17</w:t>
      </w:r>
    </w:p>
    <w:p>
      <w:pPr>
        <w:pStyle w:val="11"/>
        <w:adjustRightInd w:val="0"/>
        <w:snapToGrid w:val="0"/>
        <w:spacing w:before="0" w:line="440" w:lineRule="exact"/>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第四部分 附件.............................................</w:t>
      </w:r>
      <w:r>
        <w:rPr>
          <w:rFonts w:hint="eastAsia" w:ascii="Times New Roman" w:hAnsi="Times New Roman"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.........19</w:t>
      </w:r>
    </w:p>
    <w:p>
      <w:pPr>
        <w:pStyle w:val="11"/>
        <w:adjustRightInd w:val="0"/>
        <w:snapToGrid w:val="0"/>
        <w:spacing w:before="0" w:line="440" w:lineRule="exact"/>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第五部分 附表...............................................</w:t>
      </w:r>
      <w:r>
        <w:rPr>
          <w:rFonts w:hint="eastAsia" w:ascii="Times New Roman" w:hAnsi="Times New Roman" w:cs="仿宋"/>
          <w:b w:val="0"/>
          <w:bCs w:val="0"/>
          <w:kern w:val="2"/>
          <w:sz w:val="32"/>
          <w:szCs w:val="32"/>
          <w:lang w:val="en-US" w:eastAsia="zh-CN" w:bidi="ar-SA"/>
        </w:rPr>
        <w:t>...................</w:t>
      </w:r>
      <w:r>
        <w:rPr>
          <w:rFonts w:hint="eastAsia" w:ascii="Times New Roman" w:hAnsi="Times New Roman" w:eastAsia="仿宋" w:cs="仿宋"/>
          <w:b w:val="0"/>
          <w:bCs w:val="0"/>
          <w:kern w:val="2"/>
          <w:sz w:val="32"/>
          <w:szCs w:val="32"/>
          <w:lang w:val="en-US" w:eastAsia="zh-CN" w:bidi="ar-SA"/>
        </w:rPr>
        <w:t>.......28</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一、收入支出决算总表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二、收入决算表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三、支出决算表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四、财政拨款收入支出决算总表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五、财政拨款支出决算明细表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六、一般公共预算财政拨款支出决算表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七、一般公共预算财政拨款支出决算明细表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八、一般公共预算财政拨款基本支出决算表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九、一般公共预算财政拨款项目支出决算表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十、一般公共预算财政拨款“三公”经费支出决算表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十一、政府性基金预算财政拨款收入支出决算表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十二、政府性基金预算财政拨款“三公”经费支出决算表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十三、国有资本经营预算财政拨款收入支出决算表</w:t>
      </w:r>
    </w:p>
    <w:p>
      <w:pPr>
        <w:pStyle w:val="12"/>
        <w:adjustRightInd w:val="0"/>
        <w:snapToGrid w:val="0"/>
        <w:spacing w:line="440" w:lineRule="exact"/>
        <w:ind w:left="0" w:leftChars="0" w:firstLine="640" w:firstLineChars="200"/>
        <w:jc w:val="left"/>
        <w:rPr>
          <w:rFonts w:hint="default" w:ascii="Times New Roman" w:hAnsi="Times New Roman" w:eastAsia="仿宋" w:cs="仿宋"/>
          <w:b w:val="0"/>
          <w:bCs w:val="0"/>
          <w:kern w:val="2"/>
          <w:sz w:val="32"/>
          <w:szCs w:val="32"/>
          <w:lang w:val="en-US" w:eastAsia="zh-CN" w:bidi="ar-SA"/>
        </w:rPr>
      </w:pPr>
      <w:r>
        <w:rPr>
          <w:rFonts w:hint="eastAsia" w:ascii="Times New Roman" w:hAnsi="Times New Roman" w:eastAsia="仿宋" w:cs="仿宋"/>
          <w:b w:val="0"/>
          <w:bCs w:val="0"/>
          <w:kern w:val="2"/>
          <w:sz w:val="32"/>
          <w:szCs w:val="32"/>
          <w:lang w:val="en-US" w:eastAsia="zh-CN" w:bidi="ar-SA"/>
        </w:rPr>
        <w:t>十四、国有资本经营预算财政拨款支出决算表</w:t>
      </w:r>
    </w:p>
    <w:p>
      <w:pPr>
        <w:widowControl/>
        <w:adjustRightInd w:val="0"/>
        <w:snapToGrid w:val="0"/>
        <w:spacing w:line="440" w:lineRule="exact"/>
        <w:jc w:val="left"/>
        <w:rPr>
          <w:rFonts w:ascii="仿宋" w:hAnsi="仿宋" w:eastAsia="仿宋"/>
          <w:color w:val="auto"/>
          <w:sz w:val="24"/>
          <w:highlight w:val="none"/>
        </w:rPr>
      </w:pP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7"/>
          <w:rFonts w:ascii="Times New Roman" w:hAnsi="Times New Roman" w:eastAsia="黑体"/>
          <w:b/>
          <w:bCs w:val="0"/>
          <w:color w:val="auto"/>
          <w:highlight w:val="none"/>
        </w:rPr>
      </w:pPr>
      <w:r>
        <w:rPr>
          <w:rFonts w:hint="eastAsia" w:ascii="Times New Roman" w:hAnsi="Times New Roman" w:eastAsia="黑体"/>
          <w:b w:val="0"/>
          <w:color w:val="auto"/>
          <w:highlight w:val="none"/>
        </w:rPr>
        <w:t xml:space="preserve">第一部分 </w:t>
      </w:r>
      <w:r>
        <w:rPr>
          <w:rFonts w:hint="eastAsia" w:ascii="Times New Roman" w:hAnsi="Times New Roman" w:eastAsia="黑体"/>
          <w:b w:val="0"/>
          <w:color w:val="auto"/>
          <w:highlight w:val="none"/>
          <w:lang w:eastAsia="zh-CN"/>
        </w:rPr>
        <w:t>单位</w:t>
      </w:r>
      <w:r>
        <w:rPr>
          <w:rStyle w:val="27"/>
          <w:rFonts w:hint="eastAsia" w:ascii="Times New Roman" w:hAnsi="Times New Roman" w:eastAsia="黑体"/>
          <w:b w:val="0"/>
          <w:bCs w:val="0"/>
          <w:color w:val="auto"/>
          <w:highlight w:val="none"/>
        </w:rPr>
        <w:t>概况</w:t>
      </w:r>
      <w:bookmarkEnd w:id="12"/>
      <w:bookmarkEnd w:id="13"/>
    </w:p>
    <w:p>
      <w:pPr>
        <w:pStyle w:val="4"/>
        <w:pageBreakBefore w:val="0"/>
        <w:widowControl w:val="0"/>
        <w:numPr>
          <w:ilvl w:val="0"/>
          <w:numId w:val="0"/>
        </w:numPr>
        <w:kinsoku/>
        <w:wordWrap/>
        <w:overflowPunct/>
        <w:topLinePunct w:val="0"/>
        <w:autoSpaceDE/>
        <w:autoSpaceDN/>
        <w:bidi w:val="0"/>
        <w:adjustRightInd/>
        <w:spacing w:before="0" w:after="0" w:line="578" w:lineRule="exact"/>
        <w:textAlignment w:val="auto"/>
        <w:rPr>
          <w:rFonts w:hint="eastAsia" w:ascii="Times New Roman" w:hAnsi="Times New Roman"/>
          <w:color w:val="auto"/>
          <w:sz w:val="32"/>
          <w:highlight w:val="none"/>
        </w:rPr>
      </w:pPr>
      <w:bookmarkStart w:id="14" w:name="_Toc15396600"/>
      <w:bookmarkStart w:id="15" w:name="_Toc15377197"/>
      <w:r>
        <w:rPr>
          <w:rStyle w:val="28"/>
          <w:rFonts w:hint="eastAsia" w:ascii="Times New Roman" w:hAnsi="Times New Roman" w:eastAsia="黑体"/>
          <w:b w:val="0"/>
          <w:bCs w:val="0"/>
          <w:color w:val="auto"/>
          <w:sz w:val="32"/>
          <w:highlight w:val="none"/>
          <w:lang w:eastAsia="zh-CN"/>
        </w:rPr>
        <w:t>一、</w:t>
      </w:r>
      <w:r>
        <w:rPr>
          <w:rStyle w:val="28"/>
          <w:rFonts w:hint="eastAsia" w:ascii="Times New Roman" w:hAnsi="Times New Roman" w:eastAsia="黑体"/>
          <w:b w:val="0"/>
          <w:bCs w:val="0"/>
          <w:color w:val="auto"/>
          <w:sz w:val="32"/>
          <w:highlight w:val="none"/>
        </w:rPr>
        <w:t>职能</w:t>
      </w:r>
      <w:r>
        <w:rPr>
          <w:rStyle w:val="28"/>
          <w:rFonts w:hint="eastAsia" w:ascii="Times New Roman" w:hAnsi="Times New Roman" w:eastAsia="黑体"/>
          <w:b w:val="0"/>
          <w:bCs w:val="0"/>
          <w:color w:val="auto"/>
          <w:sz w:val="32"/>
          <w:highlight w:val="none"/>
          <w:lang w:eastAsia="zh-CN"/>
        </w:rPr>
        <w:t>简介</w:t>
      </w:r>
    </w:p>
    <w:p>
      <w:pPr>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Times New Roman" w:hAnsi="Times New Roman" w:eastAsia="仿宋" w:cs="仿宋"/>
          <w:b w:val="0"/>
          <w:bCs w:val="0"/>
          <w:sz w:val="32"/>
          <w:szCs w:val="32"/>
          <w:lang w:eastAsia="zh-CN"/>
        </w:rPr>
      </w:pPr>
      <w:r>
        <w:rPr>
          <w:rFonts w:hint="eastAsia" w:ascii="Times New Roman" w:hAnsi="Times New Roman" w:eastAsia="仿宋" w:cs="仿宋"/>
          <w:b w:val="0"/>
          <w:bCs w:val="0"/>
          <w:sz w:val="32"/>
          <w:szCs w:val="32"/>
          <w:lang w:eastAsia="zh-CN"/>
        </w:rPr>
        <w:t>贯彻执行国家、省、达州市关于医疗保障工作的法律法规，</w:t>
      </w:r>
      <w:r>
        <w:rPr>
          <w:rFonts w:hint="eastAsia" w:ascii="Times New Roman" w:hAnsi="Times New Roman" w:eastAsia="仿宋" w:cs="仿宋"/>
          <w:b w:val="0"/>
          <w:bCs w:val="0"/>
          <w:sz w:val="32"/>
          <w:szCs w:val="32"/>
        </w:rPr>
        <w:t>负责全市城镇职工、城乡居民的参保征缴工作；实施基金审批管理工作，监督管理纳入医疗保障范围内的医疗服务行为和医疗费用，依法查处医疗保障领域违法违规行为；负责国家和省、达州市药品、医用耗材招标采购政策的实施工作，参与药品、医用耗材招标采购平台建设；推进医疗保障基金支付方式改革，拟订全市定点医药机构协议和支付管理办法并组织实施；完善异地就医管理政策；建立健全医疗保障关系转移接续制度；负责规划实施全市医疗保障信息化系统建设</w:t>
      </w:r>
      <w:r>
        <w:rPr>
          <w:rFonts w:hint="eastAsia" w:ascii="Times New Roman" w:hAnsi="Times New Roman" w:eastAsia="仿宋" w:cs="仿宋"/>
          <w:b w:val="0"/>
          <w:bCs w:val="0"/>
          <w:sz w:val="32"/>
          <w:szCs w:val="32"/>
          <w:lang w:eastAsia="zh-CN"/>
        </w:rPr>
        <w:t>，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完成市委、市政府交办的其他任务。</w:t>
      </w:r>
    </w:p>
    <w:p>
      <w:pPr>
        <w:pStyle w:val="4"/>
        <w:pageBreakBefore w:val="0"/>
        <w:widowControl w:val="0"/>
        <w:numPr>
          <w:ilvl w:val="0"/>
          <w:numId w:val="0"/>
        </w:numPr>
        <w:kinsoku/>
        <w:wordWrap/>
        <w:overflowPunct/>
        <w:topLinePunct w:val="0"/>
        <w:autoSpaceDE/>
        <w:autoSpaceDN/>
        <w:bidi w:val="0"/>
        <w:adjustRightInd/>
        <w:spacing w:before="0" w:after="0" w:line="578" w:lineRule="exact"/>
        <w:textAlignment w:val="auto"/>
        <w:rPr>
          <w:rStyle w:val="28"/>
          <w:rFonts w:hint="eastAsia" w:ascii="Times New Roman" w:hAnsi="Times New Roman" w:eastAsia="黑体"/>
          <w:b w:val="0"/>
          <w:bCs w:val="0"/>
          <w:color w:val="auto"/>
          <w:sz w:val="32"/>
          <w:highlight w:val="none"/>
          <w:lang w:eastAsia="zh-CN"/>
        </w:rPr>
      </w:pPr>
      <w:r>
        <w:rPr>
          <w:rStyle w:val="28"/>
          <w:rFonts w:hint="eastAsia" w:ascii="Times New Roman" w:hAnsi="Times New Roman" w:eastAsia="黑体"/>
          <w:b w:val="0"/>
          <w:bCs w:val="0"/>
          <w:color w:val="auto"/>
          <w:sz w:val="32"/>
          <w:highlight w:val="none"/>
          <w:lang w:val="en-US" w:eastAsia="zh-CN"/>
        </w:rPr>
        <w:t>二、2021年重点</w:t>
      </w:r>
      <w:r>
        <w:rPr>
          <w:rStyle w:val="28"/>
          <w:rFonts w:hint="eastAsia" w:ascii="Times New Roman" w:hAnsi="Times New Roman" w:eastAsia="黑体"/>
          <w:b w:val="0"/>
          <w:bCs w:val="0"/>
          <w:color w:val="auto"/>
          <w:sz w:val="32"/>
          <w:highlight w:val="none"/>
          <w:lang w:eastAsia="zh-CN"/>
        </w:rPr>
        <w:t>工作</w:t>
      </w:r>
      <w:bookmarkEnd w:id="14"/>
      <w:bookmarkEnd w:id="15"/>
      <w:r>
        <w:rPr>
          <w:rStyle w:val="28"/>
          <w:rFonts w:hint="eastAsia" w:ascii="Times New Roman" w:hAnsi="Times New Roman" w:eastAsia="黑体"/>
          <w:b w:val="0"/>
          <w:bCs w:val="0"/>
          <w:color w:val="auto"/>
          <w:sz w:val="32"/>
          <w:highlight w:val="none"/>
          <w:lang w:eastAsia="zh-CN"/>
        </w:rPr>
        <w:t>完成情况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1.做好全市医保征缴工作，做到应保尽保。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城乡居民参保情况：确保贫困人口全员参保，全面完成2021年政府工作报告目标任务，2021年参保任务数462525人，集中参保期内参保454504人，完成率98.27%，位居达州市第一。截止目前，万源市参保缴费人数462978人，任务完成率100.1%，圆满完成参保任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城镇职工参保情况：我市城镇职工参保人数2.2万人，目前各参保单位正常缴费，征收进度在达州排名靠前。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2.稳步推进DRG付费方式改革。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万源市中心医院、中医院、妇幼保健院3家二级以上公立医院已于2021年1月正式启动DRG付费方式改革试点工作，4月底前已经完成DRG经办业务培训及权限分配，对4月及以前医院上传病例数据进行了审核，完成了各医院入组病例的抽审工作。目前，我市一边推行改革一边总结，为将DRG付费方式改革推广到全市所有符合条件的医疗机构做准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3.深入构建多层次医疗保障制度体系。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稳步扩大基本医疗保险保障范围，在加强医疗管理、节约医疗费用、保障患者基本医疗需求、基金结余适度的基础上，动态调整和确定基本医疗保险待遇，使得城镇职工和城乡居民在基本医疗保险政策范围内的住院费用支付比例稳定在70%以上；全面实施城乡居民大病保险制度和城镇职工补助医疗制度，使参保人员在基本医保报销后还可根据情况享受二次报销；执行落实好特殊人群医疗救助和财政供养人员公务员医疗补助政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4.优化异地就医结算管理。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实现省内参保人员住院直接刷卡结算、省外住院备案直接结算、省内职工门诊费用直接刷卡结算。截止目前，能提供包括门诊费用在内的医疗费用跨省直接结算服务的有一家（万源市中心医院），能提供西南片区职工门诊及购药费用直接结算业务的有9家定点医疗机构、14家定点零售药店。进一步优化异地就医备案流程，除到医保大厅现场备案外，开通了电话备案，省外就医可在微信国家异地就医平台备案、市外省内就医可在四川医保APP备案。提高了异地就医直接结算率，增加了群众满意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（二）其他重点工作推动落实情况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1.高度重视疫情防控。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按照市委、市政府要求及时到位疫情防控资金。截止目前，已拨付疫苗接种费用2008335元，其中预拨费用56万元。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2.做好脱贫攻坚与乡村振兴有效衔接工作。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加强与万源市乡村振兴局的联系，制定了过渡期医疗保障工作方案，对医疗费用较高的风险人群进行数据推送，截止目前共推送风险人群392人，并对2021年未参加医保的69名监测对象进医保代缴参保。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3.实施住院费用医保付费总额控制。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根据达州市下达的总控额度，按照我市控制基数“量入为出、略有剩余”的原则，已经对全市63家定点医疗机构（除3家已经实行DRG付费结算模式医院）下达总控并签订协议。总额控费范围为参保人员在统筹区内定点医疗机构发生的住院医疗费用，包括联网结算费用、现金结算费用。今年总控下达前，我局结合2020的总控推行情况、定点医疗机构实际，对部分医疗机构的总控额度作出了适当调整，做到总控额度实事求是、客观合理、医院认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4.加大医保基金监管力度。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医保局是万源市2021年度重点行业领域突出问题系统治理工作领导小组的成员单位之一。截至12月底，共计追收违规基金513.2万元，其中：自查自纠主动上交违规基金66.5万元，全覆盖检查共追回违规基金134.4万元，基金使用情况审计共追回违规基金134.4万元，配合达州市医局开展回头看检查共追回违规基金110.5万元。对10家医疗机构进行了行政处罚，处罚金额60.4万元；对1家医院和1家定点药店解除医保服务协议，对1家医院暂停医保联网结算，对2家在2020年定点机构考核中排名靠后的药店分别停网整改2个月和1个月,向纪委监委移交案件线索2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5.严格落实药品集中采购。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截止目前，我市已开展七批次245种药品两批次医用耗材的集中带量采购工作。最近一次组织落地77种第五批国家集采（药品平均降幅56%，最高降幅达98.3%）、“八省二区”省际联盟集采中选药品（药品平均降幅66.7%），我市公立医疗机构和部分民营医疗机构已从10月22日起全面陆续销售此类“团购”药品，让全市患者再次享受到药品集中带量采购改革带来的政策利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6.加快医保信息化建设。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进一步加强医保信息化建设，为参保群众提供更高质量的医保服务，更好地便民惠民。按照达州市医疗保障局的统一部署，“医疗保险业务经办系统”于2021年11月切换上线到国家医疗保障局新建成的“全国医疗保障信息一体化平台”。“全国医疗保障信息一体化平台”的上线保障了异地就医备案、直接结算和网上医保业务通办等工作的顺利开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7.优化医保业务经办。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一是树立窗口服务意识，落实责任制。实行服务大厅负责制、一次性告知制、限时办结制和责任追究制，坚持领导带头、问题导向，坚决杜绝“歪风邪气、推诿扯皮、踢皮球”现象发生，完善“前台综合受理、后台分类审批、综合窗口出件”工作模式。二是推动医保报销一单制结算。统筹医保、保险公司、财政等部门，加强协调配合，减化流程、提高效率，逐步实现基本医疗保险、大病保险、医疗救助“一单制”联网结算，真正实现让群众少跑路、让数据多跑路。</w:t>
      </w:r>
    </w:p>
    <w:p>
      <w:pPr>
        <w:widowControl/>
        <w:jc w:val="left"/>
        <w:rPr>
          <w:rFonts w:hint="eastAsia" w:ascii="Times New Roman" w:hAnsi="Times New Roman" w:eastAsia="仿宋" w:cs="仿宋"/>
          <w:color w:val="auto"/>
          <w:kern w:val="0"/>
          <w:sz w:val="32"/>
          <w:szCs w:val="32"/>
          <w:highlight w:val="none"/>
        </w:rPr>
      </w:pPr>
      <w:r>
        <w:rPr>
          <w:rFonts w:hint="eastAsia" w:ascii="Times New Roman" w:hAnsi="Times New Roman" w:eastAsia="仿宋" w:cs="仿宋"/>
          <w:color w:val="auto"/>
          <w:sz w:val="32"/>
          <w:szCs w:val="32"/>
          <w:highlight w:val="none"/>
        </w:rPr>
        <w:br w:type="page"/>
      </w:r>
    </w:p>
    <w:p>
      <w:pPr>
        <w:pStyle w:val="3"/>
        <w:ind w:right="440"/>
        <w:jc w:val="center"/>
        <w:rPr>
          <w:rStyle w:val="27"/>
          <w:rFonts w:ascii="Times New Roman" w:hAnsi="Times New Roman" w:eastAsia="黑体"/>
          <w:b w:val="0"/>
          <w:bCs/>
          <w:color w:val="auto"/>
          <w:highlight w:val="none"/>
        </w:rPr>
      </w:pPr>
      <w:bookmarkStart w:id="16" w:name="_Toc15396602"/>
      <w:bookmarkStart w:id="17" w:name="_Toc15377204"/>
      <w:r>
        <w:rPr>
          <w:rFonts w:hint="eastAsia" w:ascii="Times New Roman" w:hAnsi="Times New Roman" w:eastAsia="黑体"/>
          <w:b w:val="0"/>
          <w:bCs/>
          <w:color w:val="auto"/>
          <w:highlight w:val="none"/>
        </w:rPr>
        <w:t xml:space="preserve">第二部分 </w:t>
      </w:r>
      <w:r>
        <w:rPr>
          <w:rFonts w:hint="eastAsia" w:ascii="Times New Roman" w:hAnsi="Times New Roman" w:eastAsia="黑体"/>
          <w:b w:val="0"/>
          <w:bCs/>
          <w:color w:val="auto"/>
          <w:highlight w:val="none"/>
          <w:lang w:val="en-US" w:eastAsia="zh-CN"/>
        </w:rPr>
        <w:t>2021年度</w:t>
      </w:r>
      <w:r>
        <w:rPr>
          <w:rStyle w:val="27"/>
          <w:rFonts w:hint="eastAsia" w:ascii="Times New Roman" w:hAnsi="Times New Roman" w:eastAsia="黑体"/>
          <w:b w:val="0"/>
          <w:bCs/>
          <w:color w:val="auto"/>
          <w:highlight w:val="none"/>
          <w:lang w:eastAsia="zh-CN"/>
        </w:rPr>
        <w:t>单位</w:t>
      </w:r>
      <w:r>
        <w:rPr>
          <w:rStyle w:val="27"/>
          <w:rFonts w:hint="eastAsia" w:ascii="Times New Roman" w:hAnsi="Times New Roman" w:eastAsia="黑体"/>
          <w:b w:val="0"/>
          <w:bCs/>
          <w:color w:val="auto"/>
          <w:highlight w:val="none"/>
        </w:rPr>
        <w:t>决算情况说明</w:t>
      </w:r>
      <w:bookmarkEnd w:id="16"/>
      <w:bookmarkEnd w:id="17"/>
    </w:p>
    <w:p>
      <w:pPr>
        <w:rPr>
          <w:rFonts w:ascii="Times New Roman" w:hAnsi="Times New Roman"/>
          <w:color w:val="auto"/>
          <w:highlight w:val="none"/>
        </w:rPr>
      </w:pPr>
    </w:p>
    <w:p>
      <w:pPr>
        <w:pStyle w:val="26"/>
        <w:numPr>
          <w:ilvl w:val="0"/>
          <w:numId w:val="1"/>
        </w:numPr>
        <w:spacing w:line="600" w:lineRule="exact"/>
        <w:ind w:firstLineChars="0"/>
        <w:outlineLvl w:val="1"/>
        <w:rPr>
          <w:rStyle w:val="28"/>
          <w:rFonts w:ascii="Times New Roman" w:hAnsi="Times New Roman" w:eastAsia="黑体"/>
          <w:b w:val="0"/>
          <w:color w:val="auto"/>
          <w:highlight w:val="none"/>
        </w:rPr>
      </w:pPr>
      <w:bookmarkStart w:id="18" w:name="_Toc15377205"/>
      <w:bookmarkStart w:id="19" w:name="_Toc15396603"/>
      <w:r>
        <w:rPr>
          <w:rFonts w:hint="eastAsia" w:ascii="Times New Roman" w:hAnsi="Times New Roman" w:eastAsia="黑体"/>
          <w:color w:val="auto"/>
          <w:sz w:val="32"/>
          <w:szCs w:val="32"/>
          <w:highlight w:val="none"/>
        </w:rPr>
        <w:t>收</w:t>
      </w:r>
      <w:r>
        <w:rPr>
          <w:rStyle w:val="28"/>
          <w:rFonts w:hint="eastAsia" w:ascii="Times New Roman" w:hAnsi="Times New Roman" w:eastAsia="黑体"/>
          <w:b w:val="0"/>
          <w:color w:val="auto"/>
          <w:highlight w:val="none"/>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rPr>
      </w:pPr>
      <w:r>
        <w:rPr>
          <w:rFonts w:hint="eastAsia" w:ascii="Times New Roman" w:hAnsi="Times New Roman" w:eastAsia="仿宋" w:cs="仿宋"/>
          <w:sz w:val="32"/>
          <w:szCs w:val="32"/>
          <w:lang w:val="en-US" w:eastAsia="zh-CN"/>
        </w:rPr>
        <w:t>2021年度收、支总计680万元。与2020年相比，收、支总计各减少1833.27万元，下降269%。主要变动原因是减少了参保代缴和医疗救助。</w:t>
      </w:r>
    </w:p>
    <w:p>
      <w:pPr>
        <w:rPr>
          <w:rFonts w:ascii="Times New Roman" w:hAnsi="Times New Roman" w:eastAsia="仿宋_GB2312"/>
          <w:color w:val="auto"/>
          <w:sz w:val="32"/>
          <w:szCs w:val="32"/>
          <w:highlight w:val="none"/>
        </w:rPr>
      </w:pPr>
      <w:r>
        <w:rPr>
          <w:rFonts w:ascii="Times New Roman" w:hAnsi="Times New Roman"/>
        </w:rPr>
        <w:drawing>
          <wp:inline distT="0" distB="0" distL="114300" distR="114300">
            <wp:extent cx="5304155" cy="3451860"/>
            <wp:effectExtent l="5080" t="4445" r="5715" b="1079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6"/>
        <w:numPr>
          <w:ilvl w:val="0"/>
          <w:numId w:val="0"/>
        </w:numPr>
        <w:spacing w:line="600" w:lineRule="exact"/>
        <w:ind w:firstLine="640" w:firstLineChars="200"/>
        <w:outlineLvl w:val="1"/>
        <w:rPr>
          <w:rStyle w:val="28"/>
          <w:rFonts w:ascii="Times New Roman" w:hAnsi="Times New Roman" w:eastAsia="黑体"/>
          <w:b w:val="0"/>
          <w:color w:val="auto"/>
          <w:highlight w:val="none"/>
        </w:rPr>
      </w:pPr>
      <w:bookmarkStart w:id="20" w:name="_Toc15377206"/>
      <w:bookmarkStart w:id="21" w:name="_Toc15396604"/>
      <w:r>
        <w:rPr>
          <w:rFonts w:hint="eastAsia" w:ascii="Times New Roman" w:hAnsi="Times New Roman" w:eastAsia="黑体"/>
          <w:color w:val="auto"/>
          <w:sz w:val="32"/>
          <w:szCs w:val="32"/>
          <w:highlight w:val="none"/>
          <w:lang w:eastAsia="zh-CN"/>
        </w:rPr>
        <w:t>二、</w:t>
      </w:r>
      <w:r>
        <w:rPr>
          <w:rFonts w:hint="eastAsia" w:ascii="Times New Roman" w:hAnsi="Times New Roman" w:eastAsia="黑体"/>
          <w:color w:val="auto"/>
          <w:sz w:val="32"/>
          <w:szCs w:val="32"/>
          <w:highlight w:val="none"/>
        </w:rPr>
        <w:t>收</w:t>
      </w:r>
      <w:r>
        <w:rPr>
          <w:rStyle w:val="28"/>
          <w:rFonts w:hint="eastAsia" w:ascii="Times New Roman" w:hAnsi="Times New Roman" w:eastAsia="黑体"/>
          <w:b w:val="0"/>
          <w:color w:val="auto"/>
          <w:highlight w:val="none"/>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仿宋_GB2312"/>
          <w:color w:val="auto"/>
          <w:sz w:val="32"/>
          <w:szCs w:val="32"/>
          <w:highlight w:val="none"/>
        </w:rPr>
      </w:pPr>
      <w:r>
        <w:rPr>
          <w:rFonts w:hint="eastAsia" w:ascii="Times New Roman" w:hAnsi="Times New Roman" w:eastAsia="仿宋" w:cs="仿宋"/>
          <w:sz w:val="32"/>
          <w:szCs w:val="32"/>
          <w:lang w:val="en-US" w:eastAsia="zh-CN"/>
        </w:rPr>
        <w:t>2021年本年收入合计390.81万元，其中：一般公共预算财政拨款收入390.81万元，占100%；政府性基金预算财政拨款收入0万元，占0%；国有资本经营预算财政拨款收入0万元，占0%；上级补助收入0万元，占0%；事业收入0万元，占0%；经营收入0万元，占0%；附属单位上缴收入0万元，占0%；其他收入0万元，占0%。</w:t>
      </w:r>
    </w:p>
    <w:p>
      <w:pPr>
        <w:rPr>
          <w:rStyle w:val="28"/>
          <w:rFonts w:ascii="Times New Roman" w:hAnsi="Times New Roman" w:eastAsia="黑体"/>
          <w:b w:val="0"/>
          <w:color w:val="auto"/>
          <w:highlight w:val="none"/>
        </w:rPr>
      </w:pPr>
      <w:r>
        <w:rPr>
          <w:rFonts w:ascii="Times New Roman" w:hAnsi="Times New Roman"/>
        </w:rPr>
        <w:drawing>
          <wp:inline distT="0" distB="0" distL="114300" distR="114300">
            <wp:extent cx="5476875" cy="3571875"/>
            <wp:effectExtent l="4445" t="4445" r="5080"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22" w:name="_Toc15377207"/>
      <w:bookmarkStart w:id="23" w:name="_Toc15396605"/>
    </w:p>
    <w:p>
      <w:pPr>
        <w:pStyle w:val="26"/>
        <w:numPr>
          <w:ilvl w:val="0"/>
          <w:numId w:val="0"/>
        </w:numPr>
        <w:spacing w:line="600" w:lineRule="exact"/>
        <w:ind w:left="640" w:leftChars="0"/>
        <w:outlineLvl w:val="1"/>
        <w:rPr>
          <w:rStyle w:val="28"/>
          <w:rFonts w:ascii="Times New Roman" w:hAnsi="Times New Roman" w:eastAsia="黑体"/>
          <w:b w:val="0"/>
          <w:color w:val="auto"/>
          <w:highlight w:val="none"/>
        </w:rPr>
      </w:pPr>
      <w:r>
        <w:rPr>
          <w:rFonts w:hint="eastAsia" w:ascii="Times New Roman" w:hAnsi="Times New Roman" w:eastAsia="黑体"/>
          <w:color w:val="auto"/>
          <w:sz w:val="32"/>
          <w:szCs w:val="32"/>
          <w:highlight w:val="none"/>
          <w:lang w:val="en-US" w:eastAsia="zh-CN"/>
        </w:rPr>
        <w:t>三、</w:t>
      </w:r>
      <w:r>
        <w:rPr>
          <w:rFonts w:hint="eastAsia" w:ascii="Times New Roman" w:hAnsi="Times New Roman" w:eastAsia="黑体"/>
          <w:color w:val="auto"/>
          <w:sz w:val="32"/>
          <w:szCs w:val="32"/>
          <w:highlight w:val="none"/>
        </w:rPr>
        <w:t>支</w:t>
      </w:r>
      <w:r>
        <w:rPr>
          <w:rStyle w:val="28"/>
          <w:rFonts w:hint="eastAsia" w:ascii="Times New Roman" w:hAnsi="Times New Roman" w:eastAsia="黑体"/>
          <w:b w:val="0"/>
          <w:color w:val="auto"/>
          <w:highlight w:val="none"/>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
          <w:color w:val="auto"/>
          <w:sz w:val="32"/>
          <w:szCs w:val="32"/>
          <w:highlight w:val="none"/>
          <w:lang w:val="en-US" w:eastAsia="zh-CN"/>
        </w:rPr>
      </w:pPr>
      <w:r>
        <w:rPr>
          <w:rFonts w:hint="eastAsia" w:ascii="Times New Roman" w:hAnsi="Times New Roman" w:eastAsia="仿宋" w:cs="仿宋"/>
          <w:sz w:val="32"/>
          <w:szCs w:val="32"/>
          <w:lang w:val="en-US" w:eastAsia="zh-CN"/>
        </w:rPr>
        <w:t>2021年本年支出合计390.81万元，其中：基本支出300.21万元，占76.8%；项目支出90.6万元，占23.2%；上缴上级支出0万元，占0%；经营支出0万元，占0%；对附属单位补助支出0万元，占0%。</w:t>
      </w:r>
    </w:p>
    <w:p>
      <w:pPr>
        <w:rPr>
          <w:rFonts w:hint="eastAsia" w:ascii="Times New Roman" w:hAnsi="Times New Roman" w:eastAsia="仿宋"/>
          <w:color w:val="auto"/>
          <w:sz w:val="32"/>
          <w:szCs w:val="32"/>
          <w:highlight w:val="none"/>
          <w:lang w:val="en-US" w:eastAsia="zh-CN"/>
        </w:rPr>
      </w:pPr>
      <w:r>
        <w:rPr>
          <w:rFonts w:ascii="Times New Roman" w:hAnsi="Times New Roman"/>
        </w:rPr>
        <w:drawing>
          <wp:inline distT="0" distB="0" distL="114300" distR="114300">
            <wp:extent cx="5296535" cy="2800985"/>
            <wp:effectExtent l="4445" t="4445" r="13970" b="1397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8"/>
          <w:rFonts w:ascii="Times New Roman" w:hAnsi="Times New Roman" w:eastAsia="黑体"/>
          <w:b w:val="0"/>
          <w:color w:val="auto"/>
          <w:highlight w:val="none"/>
        </w:rPr>
      </w:pPr>
      <w:bookmarkStart w:id="24" w:name="_Toc15377208"/>
      <w:bookmarkStart w:id="25" w:name="_Toc15396606"/>
      <w:r>
        <w:rPr>
          <w:rFonts w:hint="eastAsia" w:ascii="Times New Roman" w:hAnsi="Times New Roman" w:eastAsia="黑体"/>
          <w:color w:val="auto"/>
          <w:sz w:val="32"/>
          <w:szCs w:val="32"/>
          <w:highlight w:val="none"/>
        </w:rPr>
        <w:t>四、财</w:t>
      </w:r>
      <w:r>
        <w:rPr>
          <w:rStyle w:val="28"/>
          <w:rFonts w:hint="eastAsia" w:ascii="Times New Roman" w:hAnsi="Times New Roman" w:eastAsia="黑体"/>
          <w:b w:val="0"/>
          <w:color w:val="auto"/>
          <w:highlight w:val="none"/>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仿宋"/>
          <w:b/>
          <w:color w:val="auto"/>
          <w:sz w:val="32"/>
          <w:szCs w:val="32"/>
          <w:highlight w:val="none"/>
        </w:rPr>
      </w:pPr>
      <w:r>
        <w:rPr>
          <w:rFonts w:hint="eastAsia" w:ascii="Times New Roman" w:hAnsi="Times New Roman" w:eastAsia="仿宋" w:cs="仿宋"/>
          <w:sz w:val="32"/>
          <w:szCs w:val="32"/>
          <w:lang w:val="en-US" w:eastAsia="zh-CN"/>
        </w:rPr>
        <w:t>2021年财政拨款收、支总计680万元。与2020年相比，财政拨款收、支总计各减少1833.27万元，下降269%。主要变动原因是减少了参保代缴和医疗救助。</w:t>
      </w:r>
    </w:p>
    <w:p>
      <w:pPr>
        <w:pStyle w:val="2"/>
        <w:ind w:left="0" w:leftChars="0" w:firstLine="0" w:firstLineChars="0"/>
        <w:rPr>
          <w:rFonts w:ascii="Times New Roman" w:hAnsi="Times New Roman"/>
        </w:rPr>
      </w:pPr>
      <w:r>
        <w:rPr>
          <w:rFonts w:ascii="Times New Roman" w:hAnsi="Times New Roman"/>
        </w:rPr>
        <w:drawing>
          <wp:inline distT="0" distB="0" distL="114300" distR="114300">
            <wp:extent cx="5102225" cy="2679700"/>
            <wp:effectExtent l="4445" t="4445" r="17780" b="20955"/>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26" w:name="_Toc15396607"/>
      <w:bookmarkStart w:id="27" w:name="_Toc15377209"/>
    </w:p>
    <w:p>
      <w:pPr>
        <w:pStyle w:val="2"/>
        <w:keepNext w:val="0"/>
        <w:keepLines w:val="0"/>
        <w:pageBreakBefore w:val="0"/>
        <w:widowControl w:val="0"/>
        <w:kinsoku/>
        <w:wordWrap/>
        <w:overflowPunct/>
        <w:topLinePunct w:val="0"/>
        <w:bidi w:val="0"/>
        <w:snapToGrid/>
        <w:spacing w:line="578" w:lineRule="exact"/>
        <w:ind w:left="0" w:leftChars="0" w:firstLine="640" w:firstLineChars="200"/>
        <w:textAlignment w:val="auto"/>
        <w:rPr>
          <w:rStyle w:val="28"/>
          <w:rFonts w:ascii="Times New Roman" w:hAnsi="Times New Roman" w:eastAsia="黑体"/>
          <w:b w:val="0"/>
          <w:color w:val="auto"/>
          <w:highlight w:val="none"/>
        </w:rPr>
      </w:pPr>
      <w:r>
        <w:rPr>
          <w:rFonts w:hint="eastAsia" w:ascii="Times New Roman" w:hAnsi="Times New Roman" w:eastAsia="黑体"/>
          <w:color w:val="auto"/>
          <w:sz w:val="32"/>
          <w:szCs w:val="32"/>
          <w:highlight w:val="none"/>
        </w:rPr>
        <w:t>五、</w:t>
      </w:r>
      <w:r>
        <w:rPr>
          <w:rFonts w:hint="eastAsia" w:ascii="Times New Roman" w:hAnsi="Times New Roman" w:eastAsia="黑体"/>
          <w:b/>
          <w:color w:val="auto"/>
          <w:sz w:val="32"/>
          <w:szCs w:val="32"/>
          <w:highlight w:val="none"/>
        </w:rPr>
        <w:t>一</w:t>
      </w:r>
      <w:r>
        <w:rPr>
          <w:rStyle w:val="28"/>
          <w:rFonts w:hint="eastAsia" w:ascii="Times New Roman" w:hAnsi="Times New Roman" w:eastAsia="黑体"/>
          <w:b w:val="0"/>
          <w:color w:val="auto"/>
          <w:highlight w:val="none"/>
        </w:rPr>
        <w:t>般公共预算财政拨款支出决算情况说明</w:t>
      </w:r>
      <w:bookmarkEnd w:id="26"/>
      <w:bookmarkEnd w:id="27"/>
    </w:p>
    <w:p>
      <w:pPr>
        <w:keepNext w:val="0"/>
        <w:keepLines w:val="0"/>
        <w:pageBreakBefore w:val="0"/>
        <w:widowControl w:val="0"/>
        <w:kinsoku/>
        <w:wordWrap/>
        <w:overflowPunct/>
        <w:topLinePunct w:val="0"/>
        <w:bidi w:val="0"/>
        <w:snapToGrid/>
        <w:spacing w:line="578" w:lineRule="exact"/>
        <w:ind w:firstLine="643" w:firstLineChars="200"/>
        <w:textAlignment w:val="auto"/>
        <w:outlineLvl w:val="2"/>
        <w:rPr>
          <w:rFonts w:ascii="Times New Roman" w:hAnsi="Times New Roman" w:eastAsia="仿宋"/>
          <w:b/>
          <w:color w:val="auto"/>
          <w:sz w:val="32"/>
          <w:szCs w:val="32"/>
          <w:highlight w:val="none"/>
        </w:rPr>
      </w:pPr>
      <w:bookmarkStart w:id="28" w:name="_Toc15377210"/>
      <w:r>
        <w:rPr>
          <w:rFonts w:hint="eastAsia" w:ascii="Times New Roman" w:hAnsi="Times New Roman" w:eastAsia="仿宋"/>
          <w:b/>
          <w:color w:val="auto"/>
          <w:sz w:val="32"/>
          <w:szCs w:val="32"/>
          <w:highlight w:val="none"/>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jc w:val="left"/>
        <w:textAlignment w:val="auto"/>
        <w:rPr>
          <w:rFonts w:hint="eastAsia" w:ascii="Times New Roman" w:hAnsi="Times New Roman"/>
          <w:lang w:val="en-US" w:eastAsia="zh-CN"/>
        </w:rPr>
      </w:pPr>
      <w:r>
        <w:rPr>
          <w:rFonts w:ascii="Times New Roman" w:hAnsi="Times New Roman"/>
        </w:rPr>
        <w:drawing>
          <wp:anchor distT="0" distB="0" distL="114300" distR="114300" simplePos="0" relativeHeight="251661312" behindDoc="0" locked="0" layoutInCell="1" allowOverlap="1">
            <wp:simplePos x="0" y="0"/>
            <wp:positionH relativeFrom="column">
              <wp:posOffset>220980</wp:posOffset>
            </wp:positionH>
            <wp:positionV relativeFrom="paragraph">
              <wp:posOffset>1496060</wp:posOffset>
            </wp:positionV>
            <wp:extent cx="4864100" cy="2250440"/>
            <wp:effectExtent l="5080" t="4445" r="7620" b="12065"/>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Times New Roman" w:hAnsi="Times New Roman" w:eastAsia="仿宋" w:cs="仿宋"/>
          <w:sz w:val="32"/>
          <w:szCs w:val="32"/>
          <w:lang w:val="en-US" w:eastAsia="zh-CN"/>
        </w:rPr>
        <w:t>2021年一般公共预算财政拨款支出390.81万元，占本年支出合计的100%。与2020年相比，一般公共预算财政拨款支出减少1866.41万元，下降477%。主要变动原因是减少了参保代缴和医疗救助。</w:t>
      </w:r>
      <w:bookmarkStart w:id="29" w:name="_Toc15377211"/>
    </w:p>
    <w:p>
      <w:pPr>
        <w:keepNext w:val="0"/>
        <w:keepLines w:val="0"/>
        <w:pageBreakBefore w:val="0"/>
        <w:widowControl w:val="0"/>
        <w:kinsoku/>
        <w:wordWrap/>
        <w:overflowPunct/>
        <w:topLinePunct w:val="0"/>
        <w:bidi w:val="0"/>
        <w:snapToGrid/>
        <w:spacing w:line="578" w:lineRule="exact"/>
        <w:textAlignment w:val="auto"/>
        <w:rPr>
          <w:rFonts w:ascii="Times New Roman" w:hAnsi="Times New Roman" w:eastAsia="仿宋"/>
          <w:b/>
          <w:color w:val="auto"/>
          <w:sz w:val="32"/>
          <w:szCs w:val="32"/>
          <w:highlight w:val="none"/>
        </w:rPr>
      </w:pPr>
      <w:r>
        <w:rPr>
          <w:rFonts w:hint="eastAsia" w:ascii="Times New Roman" w:hAnsi="Times New Roman" w:eastAsia="仿宋"/>
          <w:b/>
          <w:color w:val="auto"/>
          <w:sz w:val="32"/>
          <w:szCs w:val="32"/>
          <w:highlight w:val="none"/>
        </w:rPr>
        <w:t>（二）一般公共预算财政拨款支出决算结构情况</w:t>
      </w:r>
      <w:bookmarkEnd w:id="29"/>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仿宋"/>
          <w:b/>
          <w:color w:val="auto"/>
          <w:sz w:val="32"/>
          <w:szCs w:val="32"/>
          <w:highlight w:val="none"/>
          <w:lang w:eastAsia="zh-CN"/>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年一般公共预算财政拨款支出</w:t>
      </w:r>
      <w:r>
        <w:rPr>
          <w:rFonts w:hint="eastAsia" w:ascii="Times New Roman" w:hAnsi="Times New Roman" w:eastAsia="仿宋"/>
          <w:color w:val="auto"/>
          <w:sz w:val="32"/>
          <w:szCs w:val="32"/>
          <w:highlight w:val="none"/>
          <w:lang w:val="en-US" w:eastAsia="zh-CN"/>
        </w:rPr>
        <w:t>390.81</w:t>
      </w:r>
      <w:r>
        <w:rPr>
          <w:rFonts w:hint="eastAsia" w:ascii="Times New Roman" w:hAnsi="Times New Roman" w:eastAsia="仿宋"/>
          <w:color w:val="auto"/>
          <w:sz w:val="32"/>
          <w:szCs w:val="32"/>
          <w:highlight w:val="none"/>
        </w:rPr>
        <w:t>万元，主要用于以下方面</w:t>
      </w:r>
      <w:r>
        <w:rPr>
          <w:rFonts w:ascii="Times New Roman" w:hAnsi="Times New Roman" w:eastAsia="仿宋"/>
          <w:color w:val="auto"/>
          <w:sz w:val="32"/>
          <w:szCs w:val="32"/>
          <w:highlight w:val="none"/>
        </w:rPr>
        <w:t>:</w:t>
      </w:r>
      <w:r>
        <w:rPr>
          <w:rFonts w:hint="eastAsia" w:ascii="Times New Roman" w:hAnsi="Times New Roman" w:eastAsia="仿宋"/>
          <w:b/>
          <w:color w:val="auto"/>
          <w:sz w:val="32"/>
          <w:szCs w:val="32"/>
          <w:highlight w:val="none"/>
        </w:rPr>
        <w:t>社会保障和就业（类）</w:t>
      </w:r>
      <w:r>
        <w:rPr>
          <w:rFonts w:hint="eastAsia" w:ascii="Times New Roman" w:hAnsi="Times New Roman" w:eastAsia="仿宋"/>
          <w:color w:val="auto"/>
          <w:sz w:val="32"/>
          <w:szCs w:val="32"/>
          <w:highlight w:val="none"/>
        </w:rPr>
        <w:t>支出</w:t>
      </w:r>
      <w:r>
        <w:rPr>
          <w:rFonts w:hint="eastAsia" w:ascii="Times New Roman" w:hAnsi="Times New Roman" w:eastAsia="仿宋"/>
          <w:color w:val="auto"/>
          <w:sz w:val="32"/>
          <w:szCs w:val="32"/>
          <w:highlight w:val="none"/>
          <w:lang w:val="en-US" w:eastAsia="zh-CN"/>
        </w:rPr>
        <w:t>29.99</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8</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卫生健康支出</w:t>
      </w:r>
      <w:r>
        <w:rPr>
          <w:rFonts w:hint="eastAsia" w:ascii="Times New Roman" w:hAnsi="Times New Roman" w:eastAsia="仿宋"/>
          <w:b/>
          <w:bCs/>
          <w:color w:val="auto"/>
          <w:sz w:val="32"/>
          <w:szCs w:val="32"/>
          <w:highlight w:val="none"/>
          <w:lang w:eastAsia="zh-CN"/>
        </w:rPr>
        <w:t>（类）</w:t>
      </w:r>
      <w:r>
        <w:rPr>
          <w:rFonts w:hint="eastAsia" w:ascii="Times New Roman" w:hAnsi="Times New Roman" w:eastAsia="仿宋"/>
          <w:b/>
          <w:bCs/>
          <w:color w:val="auto"/>
          <w:sz w:val="32"/>
          <w:szCs w:val="32"/>
          <w:highlight w:val="none"/>
          <w:lang w:val="en-US" w:eastAsia="zh-CN"/>
        </w:rPr>
        <w:t>339.34</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87</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住房保障支出</w:t>
      </w:r>
      <w:r>
        <w:rPr>
          <w:rFonts w:hint="eastAsia" w:ascii="Times New Roman" w:hAnsi="Times New Roman" w:eastAsia="仿宋"/>
          <w:b/>
          <w:bCs/>
          <w:color w:val="auto"/>
          <w:sz w:val="32"/>
          <w:szCs w:val="32"/>
          <w:highlight w:val="none"/>
          <w:lang w:eastAsia="zh-CN"/>
        </w:rPr>
        <w:t>（类）</w:t>
      </w:r>
      <w:r>
        <w:rPr>
          <w:rFonts w:hint="eastAsia" w:ascii="Times New Roman" w:hAnsi="Times New Roman" w:eastAsia="仿宋"/>
          <w:color w:val="auto"/>
          <w:sz w:val="32"/>
          <w:szCs w:val="32"/>
          <w:highlight w:val="none"/>
          <w:lang w:val="en-US" w:eastAsia="zh-CN"/>
        </w:rPr>
        <w:t>21.48</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w:t>
      </w:r>
    </w:p>
    <w:p>
      <w:pPr>
        <w:keepNext w:val="0"/>
        <w:keepLines w:val="0"/>
        <w:pageBreakBefore w:val="0"/>
        <w:widowControl w:val="0"/>
        <w:kinsoku/>
        <w:wordWrap/>
        <w:overflowPunct/>
        <w:topLinePunct w:val="0"/>
        <w:bidi w:val="0"/>
        <w:snapToGrid/>
        <w:spacing w:line="578" w:lineRule="exact"/>
        <w:textAlignment w:val="auto"/>
        <w:rPr>
          <w:rFonts w:ascii="Times New Roman" w:hAnsi="Times New Roman" w:eastAsia="仿宋"/>
          <w:b/>
          <w:color w:val="auto"/>
          <w:sz w:val="32"/>
          <w:szCs w:val="32"/>
          <w:highlight w:val="none"/>
        </w:rPr>
      </w:pPr>
      <w:bookmarkStart w:id="30" w:name="_Toc15377212"/>
      <w:r>
        <w:rPr>
          <w:rFonts w:ascii="Times New Roman" w:hAnsi="Times New Roman"/>
        </w:rPr>
        <w:drawing>
          <wp:anchor distT="0" distB="0" distL="114300" distR="114300" simplePos="0" relativeHeight="251660288" behindDoc="0" locked="0" layoutInCell="1" allowOverlap="1">
            <wp:simplePos x="0" y="0"/>
            <wp:positionH relativeFrom="column">
              <wp:posOffset>459105</wp:posOffset>
            </wp:positionH>
            <wp:positionV relativeFrom="page">
              <wp:posOffset>2858770</wp:posOffset>
            </wp:positionV>
            <wp:extent cx="4467860" cy="2657475"/>
            <wp:effectExtent l="0" t="0" r="8890" b="9525"/>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4467860" cy="2657475"/>
                    </a:xfrm>
                    <a:prstGeom prst="rect">
                      <a:avLst/>
                    </a:prstGeom>
                    <a:noFill/>
                    <a:ln>
                      <a:noFill/>
                    </a:ln>
                  </pic:spPr>
                </pic:pic>
              </a:graphicData>
            </a:graphic>
          </wp:anchor>
        </w:drawing>
      </w:r>
      <w:r>
        <w:rPr>
          <w:rFonts w:hint="eastAsia" w:ascii="Times New Roman" w:hAnsi="Times New Roman"/>
          <w:lang w:val="en-US" w:eastAsia="zh-CN"/>
        </w:rPr>
        <w:t xml:space="preserve">    </w:t>
      </w:r>
      <w:r>
        <w:rPr>
          <w:rFonts w:hint="eastAsia" w:ascii="Times New Roman" w:hAnsi="Times New Roman" w:eastAsia="仿宋"/>
          <w:b/>
          <w:color w:val="auto"/>
          <w:sz w:val="32"/>
          <w:szCs w:val="32"/>
          <w:highlight w:val="none"/>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ascii="Times New Roman" w:hAnsi="Times New Roman" w:eastAsia="仿宋"/>
          <w:b/>
          <w:color w:val="auto"/>
          <w:sz w:val="32"/>
          <w:szCs w:val="32"/>
          <w:highlight w:val="none"/>
        </w:rPr>
      </w:pPr>
      <w:bookmarkStart w:id="31" w:name="_Toc15377213"/>
      <w:bookmarkStart w:id="32" w:name="_Toc15377444"/>
      <w:bookmarkStart w:id="33" w:name="_Toc15378460"/>
      <w:r>
        <w:rPr>
          <w:rFonts w:hint="eastAsia" w:ascii="Times New Roman" w:hAnsi="Times New Roman" w:eastAsia="仿宋"/>
          <w:b/>
          <w:color w:val="auto"/>
          <w:sz w:val="32"/>
          <w:szCs w:val="32"/>
          <w:highlight w:val="none"/>
        </w:rPr>
        <w:t>20</w:t>
      </w:r>
      <w:r>
        <w:rPr>
          <w:rFonts w:hint="eastAsia" w:ascii="Times New Roman" w:hAnsi="Times New Roman" w:eastAsia="仿宋"/>
          <w:b/>
          <w:color w:val="auto"/>
          <w:sz w:val="32"/>
          <w:szCs w:val="32"/>
          <w:highlight w:val="none"/>
          <w:lang w:val="en-US" w:eastAsia="zh-CN"/>
        </w:rPr>
        <w:t>21</w:t>
      </w:r>
      <w:r>
        <w:rPr>
          <w:rFonts w:hint="eastAsia" w:ascii="Times New Roman" w:hAnsi="Times New Roman" w:eastAsia="仿宋"/>
          <w:b/>
          <w:color w:val="auto"/>
          <w:sz w:val="32"/>
          <w:szCs w:val="32"/>
          <w:highlight w:val="none"/>
        </w:rPr>
        <w:t>年</w:t>
      </w:r>
      <w:r>
        <w:rPr>
          <w:rFonts w:hint="eastAsia" w:ascii="Times New Roman" w:hAnsi="Times New Roman" w:eastAsia="仿宋"/>
          <w:b/>
          <w:color w:val="auto"/>
          <w:sz w:val="32"/>
          <w:szCs w:val="32"/>
          <w:highlight w:val="none"/>
          <w:lang w:eastAsia="zh-CN"/>
        </w:rPr>
        <w:t>一</w:t>
      </w:r>
      <w:r>
        <w:rPr>
          <w:rFonts w:hint="eastAsia" w:ascii="Times New Roman" w:hAnsi="Times New Roman" w:eastAsia="仿宋"/>
          <w:b/>
          <w:color w:val="auto"/>
          <w:sz w:val="32"/>
          <w:szCs w:val="32"/>
          <w:highlight w:val="none"/>
        </w:rPr>
        <w:t>般公共预算支出决算数为</w:t>
      </w:r>
      <w:r>
        <w:rPr>
          <w:rFonts w:hint="eastAsia" w:ascii="Times New Roman" w:hAnsi="Times New Roman" w:eastAsia="仿宋"/>
          <w:b/>
          <w:color w:val="auto"/>
          <w:sz w:val="32"/>
          <w:szCs w:val="32"/>
          <w:highlight w:val="none"/>
          <w:lang w:val="en-US" w:eastAsia="zh-CN"/>
        </w:rPr>
        <w:t>390.81万元</w:t>
      </w:r>
      <w:r>
        <w:rPr>
          <w:rFonts w:hint="eastAsia" w:ascii="Times New Roman" w:hAnsi="Times New Roman" w:eastAsia="仿宋"/>
          <w:color w:val="auto"/>
          <w:sz w:val="32"/>
          <w:szCs w:val="32"/>
          <w:highlight w:val="none"/>
        </w:rPr>
        <w:t>，</w:t>
      </w:r>
      <w:r>
        <w:rPr>
          <w:rStyle w:val="16"/>
          <w:rFonts w:hint="eastAsia" w:ascii="Times New Roman" w:hAnsi="Times New Roman" w:eastAsia="仿宋"/>
          <w:bCs/>
          <w:color w:val="auto"/>
          <w:sz w:val="32"/>
          <w:szCs w:val="32"/>
          <w:highlight w:val="none"/>
        </w:rPr>
        <w:t>完成预算</w:t>
      </w:r>
      <w:r>
        <w:rPr>
          <w:rStyle w:val="16"/>
          <w:rFonts w:hint="eastAsia" w:ascii="Times New Roman" w:hAnsi="Times New Roman" w:eastAsia="仿宋"/>
          <w:bCs/>
          <w:color w:val="auto"/>
          <w:sz w:val="32"/>
          <w:szCs w:val="32"/>
          <w:highlight w:val="none"/>
          <w:lang w:val="en-US" w:eastAsia="zh-CN"/>
        </w:rPr>
        <w:t>100</w:t>
      </w:r>
      <w:r>
        <w:rPr>
          <w:rStyle w:val="16"/>
          <w:rFonts w:ascii="Times New Roman" w:hAnsi="Times New Roman" w:eastAsia="仿宋"/>
          <w:bCs/>
          <w:color w:val="auto"/>
          <w:sz w:val="32"/>
          <w:szCs w:val="32"/>
          <w:highlight w:val="none"/>
        </w:rPr>
        <w:t>%</w:t>
      </w:r>
      <w:r>
        <w:rPr>
          <w:rStyle w:val="16"/>
          <w:rFonts w:hint="eastAsia" w:ascii="Times New Roman" w:hAnsi="Times New Roman" w:eastAsia="仿宋"/>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仿宋"/>
          <w:b/>
          <w:color w:val="000000"/>
          <w:sz w:val="32"/>
          <w:szCs w:val="32"/>
          <w:lang w:eastAsia="zh-CN"/>
        </w:rPr>
      </w:pPr>
      <w:r>
        <w:rPr>
          <w:rStyle w:val="16"/>
          <w:rFonts w:hint="eastAsia" w:ascii="Times New Roman" w:hAnsi="Times New Roman" w:eastAsia="仿宋"/>
          <w:bCs/>
          <w:color w:val="auto"/>
          <w:sz w:val="32"/>
          <w:szCs w:val="32"/>
          <w:highlight w:val="none"/>
          <w:lang w:val="en-US" w:eastAsia="zh-CN"/>
        </w:rPr>
        <w:t>1</w:t>
      </w:r>
      <w:r>
        <w:rPr>
          <w:rStyle w:val="16"/>
          <w:rFonts w:ascii="Times New Roman" w:hAnsi="Times New Roman" w:eastAsia="仿宋"/>
          <w:bCs/>
          <w:color w:val="auto"/>
          <w:sz w:val="32"/>
          <w:szCs w:val="32"/>
          <w:highlight w:val="none"/>
        </w:rPr>
        <w:t>.</w:t>
      </w:r>
      <w:r>
        <w:rPr>
          <w:rStyle w:val="16"/>
          <w:rFonts w:hint="eastAsia" w:ascii="Times New Roman" w:hAnsi="Times New Roman" w:eastAsia="仿宋"/>
          <w:bCs/>
          <w:color w:val="000000"/>
          <w:sz w:val="32"/>
          <w:szCs w:val="32"/>
        </w:rPr>
        <w:t>社会保障和就业（类）</w:t>
      </w:r>
      <w:r>
        <w:rPr>
          <w:rStyle w:val="16"/>
          <w:rFonts w:hint="eastAsia" w:ascii="Times New Roman" w:hAnsi="Times New Roman" w:eastAsia="仿宋"/>
          <w:bCs/>
          <w:color w:val="000000"/>
          <w:sz w:val="32"/>
          <w:szCs w:val="32"/>
          <w:lang w:eastAsia="zh-CN"/>
        </w:rPr>
        <w:t>行政事业单位养老支出（款）机关事业单位基本养老保险缴费支出（项）</w:t>
      </w:r>
      <w:r>
        <w:rPr>
          <w:rStyle w:val="16"/>
          <w:rFonts w:hint="eastAsia" w:ascii="Times New Roman" w:hAnsi="Times New Roman" w:eastAsia="仿宋"/>
          <w:b w:val="0"/>
          <w:bCs/>
          <w:color w:val="000000"/>
          <w:sz w:val="32"/>
          <w:szCs w:val="32"/>
        </w:rPr>
        <w:t>支出决算为</w:t>
      </w:r>
      <w:r>
        <w:rPr>
          <w:rStyle w:val="16"/>
          <w:rFonts w:hint="eastAsia" w:ascii="Times New Roman" w:hAnsi="Times New Roman" w:eastAsia="仿宋"/>
          <w:b w:val="0"/>
          <w:bCs/>
          <w:color w:val="000000"/>
          <w:sz w:val="32"/>
          <w:szCs w:val="32"/>
          <w:lang w:val="en-US" w:eastAsia="zh-CN"/>
        </w:rPr>
        <w:t>29.99</w:t>
      </w:r>
      <w:r>
        <w:rPr>
          <w:rStyle w:val="16"/>
          <w:rFonts w:hint="eastAsia" w:ascii="Times New Roman" w:hAnsi="Times New Roman" w:eastAsia="仿宋"/>
          <w:b w:val="0"/>
          <w:bCs/>
          <w:color w:val="000000"/>
          <w:sz w:val="32"/>
          <w:szCs w:val="32"/>
        </w:rPr>
        <w:t>万元</w:t>
      </w:r>
      <w:r>
        <w:rPr>
          <w:rStyle w:val="16"/>
          <w:rFonts w:hint="eastAsia" w:ascii="Times New Roman" w:hAnsi="Times New Roman" w:eastAsia="仿宋"/>
          <w:b w:val="0"/>
          <w:bCs/>
          <w:color w:val="000000"/>
          <w:sz w:val="32"/>
          <w:szCs w:val="32"/>
          <w:lang w:eastAsia="zh-CN"/>
        </w:rPr>
        <w:t>，</w:t>
      </w:r>
      <w:r>
        <w:rPr>
          <w:rStyle w:val="16"/>
          <w:rFonts w:hint="eastAsia" w:ascii="Times New Roman" w:hAnsi="Times New Roman" w:eastAsia="仿宋"/>
          <w:b w:val="0"/>
          <w:bCs/>
          <w:color w:val="000000"/>
          <w:sz w:val="32"/>
          <w:szCs w:val="32"/>
        </w:rPr>
        <w:t>完成预算</w:t>
      </w:r>
      <w:r>
        <w:rPr>
          <w:rStyle w:val="16"/>
          <w:rFonts w:hint="eastAsia" w:ascii="Times New Roman" w:hAnsi="Times New Roman" w:eastAsia="仿宋"/>
          <w:b w:val="0"/>
          <w:bCs/>
          <w:color w:val="000000"/>
          <w:sz w:val="32"/>
          <w:szCs w:val="32"/>
          <w:lang w:val="en-US" w:eastAsia="zh-CN"/>
        </w:rPr>
        <w:t>100</w:t>
      </w:r>
      <w:r>
        <w:rPr>
          <w:rStyle w:val="16"/>
          <w:rFonts w:ascii="Times New Roman" w:hAnsi="Times New Roman" w:eastAsia="仿宋"/>
          <w:b w:val="0"/>
          <w:bCs/>
          <w:color w:val="000000"/>
          <w:sz w:val="32"/>
          <w:szCs w:val="32"/>
        </w:rPr>
        <w:t>%</w:t>
      </w:r>
      <w:r>
        <w:rPr>
          <w:rStyle w:val="16"/>
          <w:rFonts w:hint="eastAsia" w:ascii="Times New Roman" w:hAnsi="Times New Roman" w:eastAsia="仿宋"/>
          <w:b w:val="0"/>
          <w:bCs/>
          <w:color w:val="000000"/>
          <w:sz w:val="32"/>
          <w:szCs w:val="32"/>
        </w:rPr>
        <w:t>。</w:t>
      </w:r>
      <w:r>
        <w:rPr>
          <w:rStyle w:val="16"/>
          <w:rFonts w:hint="eastAsia" w:ascii="Times New Roman" w:hAnsi="Times New Roman" w:eastAsia="仿宋"/>
          <w:b w:val="0"/>
          <w:bCs/>
          <w:color w:val="000000"/>
          <w:sz w:val="32"/>
          <w:szCs w:val="32"/>
          <w:lang w:eastAsia="zh-CN"/>
        </w:rPr>
        <w:t>决算数等于预算数。</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ascii="Times New Roman" w:hAnsi="Times New Roman" w:eastAsia="仿宋"/>
          <w:b/>
          <w:color w:val="auto"/>
          <w:sz w:val="32"/>
          <w:szCs w:val="32"/>
          <w:highlight w:val="none"/>
        </w:rPr>
      </w:pPr>
      <w:r>
        <w:rPr>
          <w:rStyle w:val="16"/>
          <w:rFonts w:hint="eastAsia" w:ascii="Times New Roman" w:hAnsi="Times New Roman" w:eastAsia="仿宋"/>
          <w:bCs/>
          <w:color w:val="auto"/>
          <w:sz w:val="32"/>
          <w:szCs w:val="32"/>
          <w:highlight w:val="none"/>
          <w:lang w:val="en-US" w:eastAsia="zh-CN"/>
        </w:rPr>
        <w:t>2</w:t>
      </w:r>
      <w:r>
        <w:rPr>
          <w:rStyle w:val="16"/>
          <w:rFonts w:ascii="Times New Roman" w:hAnsi="Times New Roman" w:eastAsia="仿宋"/>
          <w:bCs/>
          <w:color w:val="auto"/>
          <w:sz w:val="32"/>
          <w:szCs w:val="32"/>
          <w:highlight w:val="none"/>
        </w:rPr>
        <w:t>.</w:t>
      </w:r>
      <w:r>
        <w:rPr>
          <w:rFonts w:hint="eastAsia" w:ascii="Times New Roman" w:hAnsi="Times New Roman" w:eastAsia="仿宋"/>
          <w:b/>
          <w:bCs/>
          <w:color w:val="000000"/>
          <w:sz w:val="32"/>
          <w:szCs w:val="32"/>
        </w:rPr>
        <w:t>卫生健康</w:t>
      </w:r>
      <w:r>
        <w:rPr>
          <w:rStyle w:val="16"/>
          <w:rFonts w:hint="eastAsia" w:ascii="Times New Roman" w:hAnsi="Times New Roman" w:eastAsia="仿宋"/>
          <w:bCs/>
          <w:color w:val="000000"/>
          <w:sz w:val="32"/>
          <w:szCs w:val="32"/>
        </w:rPr>
        <w:t>（类）</w:t>
      </w:r>
      <w:r>
        <w:rPr>
          <w:rStyle w:val="16"/>
          <w:rFonts w:hint="eastAsia" w:ascii="Times New Roman" w:hAnsi="Times New Roman" w:eastAsia="仿宋"/>
          <w:bCs/>
          <w:color w:val="000000"/>
          <w:sz w:val="32"/>
          <w:szCs w:val="32"/>
          <w:lang w:eastAsia="zh-CN"/>
        </w:rPr>
        <w:t>行政事业单位医疗（款</w:t>
      </w:r>
      <w:r>
        <w:rPr>
          <w:rStyle w:val="16"/>
          <w:rFonts w:hint="eastAsia" w:ascii="Times New Roman" w:hAnsi="Times New Roman" w:eastAsia="仿宋"/>
          <w:bCs/>
          <w:color w:val="000000"/>
          <w:sz w:val="32"/>
          <w:szCs w:val="32"/>
          <w:lang w:val="en-US" w:eastAsia="zh-CN"/>
        </w:rPr>
        <w:t>）行政单位医疗、事业单位医疗（项）</w:t>
      </w:r>
      <w:r>
        <w:rPr>
          <w:rStyle w:val="16"/>
          <w:rFonts w:ascii="Times New Roman" w:hAnsi="Times New Roman" w:eastAsia="仿宋"/>
          <w:bCs/>
          <w:color w:val="000000"/>
          <w:sz w:val="32"/>
          <w:szCs w:val="32"/>
        </w:rPr>
        <w:t>:</w:t>
      </w:r>
      <w:r>
        <w:rPr>
          <w:rStyle w:val="16"/>
          <w:rFonts w:hint="eastAsia" w:ascii="Times New Roman" w:hAnsi="Times New Roman" w:eastAsia="仿宋"/>
          <w:b w:val="0"/>
          <w:bCs/>
          <w:color w:val="auto"/>
          <w:sz w:val="32"/>
          <w:szCs w:val="32"/>
          <w:highlight w:val="none"/>
        </w:rPr>
        <w:t>支出决算为</w:t>
      </w:r>
      <w:r>
        <w:rPr>
          <w:rStyle w:val="16"/>
          <w:rFonts w:hint="eastAsia" w:ascii="Times New Roman" w:hAnsi="Times New Roman" w:eastAsia="仿宋"/>
          <w:b w:val="0"/>
          <w:bCs/>
          <w:color w:val="auto"/>
          <w:sz w:val="32"/>
          <w:szCs w:val="32"/>
          <w:highlight w:val="none"/>
          <w:lang w:val="en-US" w:eastAsia="zh-CN"/>
        </w:rPr>
        <w:t>11.74</w:t>
      </w:r>
      <w:r>
        <w:rPr>
          <w:rStyle w:val="16"/>
          <w:rFonts w:hint="eastAsia" w:ascii="Times New Roman" w:hAnsi="Times New Roman" w:eastAsia="仿宋"/>
          <w:b w:val="0"/>
          <w:bCs/>
          <w:color w:val="auto"/>
          <w:sz w:val="32"/>
          <w:szCs w:val="32"/>
          <w:highlight w:val="none"/>
        </w:rPr>
        <w:t>万元，完成预算</w:t>
      </w:r>
      <w:r>
        <w:rPr>
          <w:rStyle w:val="16"/>
          <w:rFonts w:hint="eastAsia" w:ascii="Times New Roman" w:hAnsi="Times New Roman" w:eastAsia="仿宋"/>
          <w:b w:val="0"/>
          <w:bCs/>
          <w:color w:val="auto"/>
          <w:sz w:val="32"/>
          <w:szCs w:val="32"/>
          <w:highlight w:val="none"/>
          <w:lang w:val="en-US" w:eastAsia="zh-CN"/>
        </w:rPr>
        <w:t>100</w:t>
      </w:r>
      <w:r>
        <w:rPr>
          <w:rStyle w:val="16"/>
          <w:rFonts w:ascii="Times New Roman" w:hAnsi="Times New Roman" w:eastAsia="仿宋"/>
          <w:b w:val="0"/>
          <w:bCs/>
          <w:color w:val="auto"/>
          <w:sz w:val="32"/>
          <w:szCs w:val="32"/>
          <w:highlight w:val="none"/>
        </w:rPr>
        <w:t>%</w:t>
      </w:r>
      <w:r>
        <w:rPr>
          <w:rStyle w:val="16"/>
          <w:rFonts w:hint="eastAsia" w:ascii="Times New Roman" w:hAnsi="Times New Roman" w:eastAsia="仿宋"/>
          <w:b w:val="0"/>
          <w:bCs/>
          <w:color w:val="auto"/>
          <w:sz w:val="32"/>
          <w:szCs w:val="32"/>
          <w:highlight w:val="none"/>
        </w:rPr>
        <w:t>，决算数等于预算数。</w:t>
      </w:r>
      <w:r>
        <w:rPr>
          <w:rFonts w:hint="eastAsia" w:ascii="Times New Roman" w:hAnsi="Times New Roman" w:eastAsia="仿宋"/>
          <w:b/>
          <w:bCs/>
          <w:color w:val="000000"/>
          <w:sz w:val="32"/>
          <w:szCs w:val="32"/>
        </w:rPr>
        <w:t>卫生健康</w:t>
      </w:r>
      <w:r>
        <w:rPr>
          <w:rStyle w:val="16"/>
          <w:rFonts w:hint="eastAsia" w:ascii="Times New Roman" w:hAnsi="Times New Roman" w:eastAsia="仿宋"/>
          <w:bCs/>
          <w:color w:val="000000"/>
          <w:sz w:val="32"/>
          <w:szCs w:val="32"/>
        </w:rPr>
        <w:t>（类）</w:t>
      </w:r>
      <w:r>
        <w:rPr>
          <w:rStyle w:val="16"/>
          <w:rFonts w:hint="eastAsia" w:ascii="Times New Roman" w:hAnsi="Times New Roman" w:eastAsia="仿宋"/>
          <w:bCs/>
          <w:color w:val="000000"/>
          <w:sz w:val="32"/>
          <w:szCs w:val="32"/>
          <w:lang w:eastAsia="zh-CN"/>
        </w:rPr>
        <w:t>医疗保障管理事务</w:t>
      </w:r>
      <w:r>
        <w:rPr>
          <w:rStyle w:val="16"/>
          <w:rFonts w:hint="eastAsia" w:ascii="Times New Roman" w:hAnsi="Times New Roman" w:eastAsia="仿宋"/>
          <w:bCs/>
          <w:color w:val="000000"/>
          <w:sz w:val="32"/>
          <w:szCs w:val="32"/>
        </w:rPr>
        <w:t>（款）</w:t>
      </w:r>
      <w:r>
        <w:rPr>
          <w:rStyle w:val="16"/>
          <w:rFonts w:hint="eastAsia" w:ascii="Times New Roman" w:hAnsi="Times New Roman" w:eastAsia="仿宋"/>
          <w:bCs/>
          <w:color w:val="000000"/>
          <w:sz w:val="32"/>
          <w:szCs w:val="32"/>
          <w:lang w:eastAsia="zh-CN"/>
        </w:rPr>
        <w:t>行政运行（项）：</w:t>
      </w:r>
      <w:r>
        <w:rPr>
          <w:rStyle w:val="16"/>
          <w:rFonts w:hint="eastAsia" w:ascii="Times New Roman" w:hAnsi="Times New Roman" w:eastAsia="仿宋"/>
          <w:b w:val="0"/>
          <w:bCs/>
          <w:color w:val="auto"/>
          <w:sz w:val="32"/>
          <w:szCs w:val="32"/>
          <w:highlight w:val="none"/>
        </w:rPr>
        <w:t>支出决算为</w:t>
      </w:r>
      <w:r>
        <w:rPr>
          <w:rStyle w:val="16"/>
          <w:rFonts w:hint="eastAsia" w:ascii="Times New Roman" w:hAnsi="Times New Roman" w:eastAsia="仿宋"/>
          <w:b w:val="0"/>
          <w:bCs/>
          <w:color w:val="auto"/>
          <w:sz w:val="32"/>
          <w:szCs w:val="32"/>
          <w:highlight w:val="none"/>
          <w:lang w:val="en-US" w:eastAsia="zh-CN"/>
        </w:rPr>
        <w:t>237</w:t>
      </w:r>
      <w:r>
        <w:rPr>
          <w:rStyle w:val="16"/>
          <w:rFonts w:hint="eastAsia" w:ascii="Times New Roman" w:hAnsi="Times New Roman" w:eastAsia="仿宋"/>
          <w:b w:val="0"/>
          <w:bCs/>
          <w:color w:val="auto"/>
          <w:sz w:val="32"/>
          <w:szCs w:val="32"/>
          <w:highlight w:val="none"/>
        </w:rPr>
        <w:t>万元，完成预算</w:t>
      </w:r>
      <w:r>
        <w:rPr>
          <w:rStyle w:val="16"/>
          <w:rFonts w:hint="eastAsia" w:ascii="Times New Roman" w:hAnsi="Times New Roman" w:eastAsia="仿宋"/>
          <w:b w:val="0"/>
          <w:bCs/>
          <w:color w:val="auto"/>
          <w:sz w:val="32"/>
          <w:szCs w:val="32"/>
          <w:highlight w:val="none"/>
          <w:lang w:val="en-US" w:eastAsia="zh-CN"/>
        </w:rPr>
        <w:t>100</w:t>
      </w:r>
      <w:r>
        <w:rPr>
          <w:rStyle w:val="16"/>
          <w:rFonts w:ascii="Times New Roman" w:hAnsi="Times New Roman" w:eastAsia="仿宋"/>
          <w:b w:val="0"/>
          <w:bCs/>
          <w:color w:val="auto"/>
          <w:sz w:val="32"/>
          <w:szCs w:val="32"/>
          <w:highlight w:val="none"/>
        </w:rPr>
        <w:t>%</w:t>
      </w:r>
      <w:r>
        <w:rPr>
          <w:rStyle w:val="16"/>
          <w:rFonts w:hint="eastAsia" w:ascii="Times New Roman" w:hAnsi="Times New Roman" w:eastAsia="仿宋"/>
          <w:b w:val="0"/>
          <w:bCs/>
          <w:color w:val="auto"/>
          <w:sz w:val="32"/>
          <w:szCs w:val="32"/>
          <w:highlight w:val="none"/>
        </w:rPr>
        <w:t>，决算数等于预算数。</w:t>
      </w:r>
      <w:r>
        <w:rPr>
          <w:rFonts w:hint="eastAsia" w:ascii="Times New Roman" w:hAnsi="Times New Roman" w:eastAsia="仿宋"/>
          <w:b/>
          <w:bCs/>
          <w:color w:val="000000"/>
          <w:sz w:val="32"/>
          <w:szCs w:val="32"/>
        </w:rPr>
        <w:t>卫生健康</w:t>
      </w:r>
      <w:r>
        <w:rPr>
          <w:rStyle w:val="16"/>
          <w:rFonts w:hint="eastAsia" w:ascii="Times New Roman" w:hAnsi="Times New Roman" w:eastAsia="仿宋"/>
          <w:bCs/>
          <w:color w:val="000000"/>
          <w:sz w:val="32"/>
          <w:szCs w:val="32"/>
        </w:rPr>
        <w:t>（类）</w:t>
      </w:r>
      <w:r>
        <w:rPr>
          <w:rStyle w:val="16"/>
          <w:rFonts w:hint="eastAsia" w:ascii="Times New Roman" w:hAnsi="Times New Roman" w:eastAsia="仿宋"/>
          <w:bCs/>
          <w:color w:val="000000"/>
          <w:sz w:val="32"/>
          <w:szCs w:val="32"/>
          <w:lang w:eastAsia="zh-CN"/>
        </w:rPr>
        <w:t>医疗保障事务（款）其他医疗保障事务支出（项）</w:t>
      </w:r>
      <w:r>
        <w:rPr>
          <w:rStyle w:val="16"/>
          <w:rFonts w:hint="eastAsia" w:ascii="Times New Roman" w:hAnsi="Times New Roman" w:eastAsia="仿宋"/>
          <w:b w:val="0"/>
          <w:bCs/>
          <w:color w:val="auto"/>
          <w:sz w:val="32"/>
          <w:szCs w:val="32"/>
          <w:highlight w:val="none"/>
        </w:rPr>
        <w:t>支出决算为</w:t>
      </w:r>
      <w:r>
        <w:rPr>
          <w:rStyle w:val="16"/>
          <w:rFonts w:hint="eastAsia" w:ascii="Times New Roman" w:hAnsi="Times New Roman" w:eastAsia="仿宋"/>
          <w:b w:val="0"/>
          <w:bCs/>
          <w:color w:val="auto"/>
          <w:sz w:val="32"/>
          <w:szCs w:val="32"/>
          <w:highlight w:val="none"/>
          <w:lang w:val="en-US" w:eastAsia="zh-CN"/>
        </w:rPr>
        <w:t>90.6</w:t>
      </w:r>
      <w:r>
        <w:rPr>
          <w:rStyle w:val="16"/>
          <w:rFonts w:hint="eastAsia" w:ascii="Times New Roman" w:hAnsi="Times New Roman" w:eastAsia="仿宋"/>
          <w:b w:val="0"/>
          <w:bCs/>
          <w:color w:val="auto"/>
          <w:sz w:val="32"/>
          <w:szCs w:val="32"/>
          <w:highlight w:val="none"/>
        </w:rPr>
        <w:t>万元，完成预算</w:t>
      </w:r>
      <w:r>
        <w:rPr>
          <w:rStyle w:val="16"/>
          <w:rFonts w:hint="eastAsia" w:ascii="Times New Roman" w:hAnsi="Times New Roman" w:eastAsia="仿宋"/>
          <w:b w:val="0"/>
          <w:bCs/>
          <w:color w:val="auto"/>
          <w:sz w:val="32"/>
          <w:szCs w:val="32"/>
          <w:highlight w:val="none"/>
          <w:lang w:val="en-US" w:eastAsia="zh-CN"/>
        </w:rPr>
        <w:t>100</w:t>
      </w:r>
      <w:r>
        <w:rPr>
          <w:rStyle w:val="16"/>
          <w:rFonts w:ascii="Times New Roman" w:hAnsi="Times New Roman" w:eastAsia="仿宋"/>
          <w:b w:val="0"/>
          <w:bCs/>
          <w:color w:val="auto"/>
          <w:sz w:val="32"/>
          <w:szCs w:val="32"/>
          <w:highlight w:val="none"/>
        </w:rPr>
        <w:t>%</w:t>
      </w:r>
      <w:r>
        <w:rPr>
          <w:rStyle w:val="16"/>
          <w:rFonts w:hint="eastAsia" w:ascii="Times New Roman" w:hAnsi="Times New Roman" w:eastAsia="仿宋"/>
          <w:b w:val="0"/>
          <w:bCs/>
          <w:color w:val="auto"/>
          <w:sz w:val="32"/>
          <w:szCs w:val="32"/>
          <w:highlight w:val="none"/>
        </w:rPr>
        <w:t>，决算数等于预算数。</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b/>
          <w:bCs/>
          <w:lang w:val="en-US" w:eastAsia="zh-CN"/>
        </w:rPr>
      </w:pPr>
      <w:r>
        <w:rPr>
          <w:rFonts w:hint="eastAsia" w:ascii="Times New Roman" w:hAnsi="Times New Roman" w:eastAsia="仿宋"/>
          <w:color w:val="auto"/>
          <w:sz w:val="32"/>
          <w:szCs w:val="32"/>
          <w:highlight w:val="none"/>
          <w:lang w:val="en-US" w:eastAsia="zh-CN"/>
        </w:rPr>
        <w:t>3.</w:t>
      </w:r>
      <w:r>
        <w:rPr>
          <w:rFonts w:hint="eastAsia" w:ascii="Times New Roman" w:hAnsi="Times New Roman" w:eastAsia="仿宋"/>
          <w:b/>
          <w:color w:val="auto"/>
          <w:sz w:val="32"/>
          <w:szCs w:val="32"/>
          <w:lang w:val="en-US" w:eastAsia="zh-CN"/>
        </w:rPr>
        <w:t>住房保障支出（类）住房改革支出（款）住房公积金（项）：</w:t>
      </w:r>
      <w:r>
        <w:rPr>
          <w:rStyle w:val="16"/>
          <w:rFonts w:hint="eastAsia" w:ascii="Times New Roman" w:hAnsi="Times New Roman" w:eastAsia="仿宋"/>
          <w:b w:val="0"/>
          <w:bCs/>
          <w:color w:val="auto"/>
          <w:sz w:val="32"/>
          <w:szCs w:val="32"/>
          <w:highlight w:val="none"/>
        </w:rPr>
        <w:t>支出决算为</w:t>
      </w:r>
      <w:r>
        <w:rPr>
          <w:rStyle w:val="16"/>
          <w:rFonts w:hint="eastAsia" w:ascii="Times New Roman" w:hAnsi="Times New Roman" w:eastAsia="仿宋"/>
          <w:b w:val="0"/>
          <w:bCs/>
          <w:color w:val="auto"/>
          <w:sz w:val="32"/>
          <w:szCs w:val="32"/>
          <w:highlight w:val="none"/>
          <w:lang w:val="en-US" w:eastAsia="zh-CN"/>
        </w:rPr>
        <w:t>21.48</w:t>
      </w:r>
      <w:r>
        <w:rPr>
          <w:rStyle w:val="16"/>
          <w:rFonts w:hint="eastAsia" w:ascii="Times New Roman" w:hAnsi="Times New Roman" w:eastAsia="仿宋"/>
          <w:b w:val="0"/>
          <w:bCs/>
          <w:color w:val="auto"/>
          <w:sz w:val="32"/>
          <w:szCs w:val="32"/>
          <w:highlight w:val="none"/>
        </w:rPr>
        <w:t>万元，完成预算</w:t>
      </w:r>
      <w:r>
        <w:rPr>
          <w:rStyle w:val="16"/>
          <w:rFonts w:hint="eastAsia" w:ascii="Times New Roman" w:hAnsi="Times New Roman" w:eastAsia="仿宋"/>
          <w:b w:val="0"/>
          <w:bCs/>
          <w:color w:val="auto"/>
          <w:sz w:val="32"/>
          <w:szCs w:val="32"/>
          <w:highlight w:val="none"/>
          <w:lang w:val="en-US" w:eastAsia="zh-CN"/>
        </w:rPr>
        <w:t>100</w:t>
      </w:r>
      <w:r>
        <w:rPr>
          <w:rStyle w:val="16"/>
          <w:rFonts w:ascii="Times New Roman" w:hAnsi="Times New Roman" w:eastAsia="仿宋"/>
          <w:b w:val="0"/>
          <w:bCs/>
          <w:color w:val="auto"/>
          <w:sz w:val="32"/>
          <w:szCs w:val="32"/>
          <w:highlight w:val="none"/>
        </w:rPr>
        <w:t>%</w:t>
      </w:r>
      <w:r>
        <w:rPr>
          <w:rStyle w:val="16"/>
          <w:rFonts w:hint="eastAsia" w:ascii="Times New Roman" w:hAnsi="Times New Roman" w:eastAsia="仿宋"/>
          <w:b w:val="0"/>
          <w:bCs/>
          <w:color w:val="auto"/>
          <w:sz w:val="32"/>
          <w:szCs w:val="32"/>
          <w:highlight w:val="none"/>
        </w:rPr>
        <w:t>，决算数等于预算数。</w:t>
      </w:r>
    </w:p>
    <w:p>
      <w:pPr>
        <w:keepNext w:val="0"/>
        <w:keepLines w:val="0"/>
        <w:pageBreakBefore w:val="0"/>
        <w:widowControl w:val="0"/>
        <w:tabs>
          <w:tab w:val="right" w:pos="8306"/>
        </w:tabs>
        <w:kinsoku/>
        <w:wordWrap/>
        <w:overflowPunct/>
        <w:topLinePunct w:val="0"/>
        <w:bidi w:val="0"/>
        <w:snapToGrid/>
        <w:spacing w:line="578" w:lineRule="exact"/>
        <w:ind w:firstLine="640" w:firstLineChars="200"/>
        <w:textAlignment w:val="auto"/>
        <w:outlineLvl w:val="1"/>
        <w:rPr>
          <w:rStyle w:val="28"/>
          <w:rFonts w:ascii="Times New Roman" w:hAnsi="Times New Roman"/>
          <w:color w:val="auto"/>
          <w:highlight w:val="none"/>
        </w:rPr>
      </w:pPr>
      <w:bookmarkStart w:id="34" w:name="_Toc15396608"/>
      <w:bookmarkStart w:id="35" w:name="_Toc15377214"/>
      <w:r>
        <w:rPr>
          <w:rFonts w:hint="eastAsia" w:ascii="Times New Roman" w:hAnsi="Times New Roman" w:eastAsia="黑体"/>
          <w:color w:val="auto"/>
          <w:sz w:val="32"/>
          <w:szCs w:val="32"/>
          <w:highlight w:val="none"/>
        </w:rPr>
        <w:t>六</w:t>
      </w:r>
      <w:r>
        <w:rPr>
          <w:rFonts w:hint="eastAsia" w:ascii="Times New Roman" w:hAnsi="Times New Roman" w:eastAsia="黑体"/>
          <w:b/>
          <w:color w:val="auto"/>
          <w:sz w:val="32"/>
          <w:szCs w:val="32"/>
          <w:highlight w:val="none"/>
        </w:rPr>
        <w:t>、一</w:t>
      </w:r>
      <w:r>
        <w:rPr>
          <w:rStyle w:val="28"/>
          <w:rFonts w:hint="eastAsia" w:ascii="Times New Roman" w:hAnsi="Times New Roman" w:eastAsia="黑体"/>
          <w:b w:val="0"/>
          <w:color w:val="auto"/>
          <w:highlight w:val="none"/>
        </w:rPr>
        <w:t>般公共预算财政拨款基本支出决算情况说明</w:t>
      </w:r>
      <w:bookmarkEnd w:id="34"/>
      <w:bookmarkEnd w:id="35"/>
      <w:r>
        <w:rPr>
          <w:rStyle w:val="28"/>
          <w:rFonts w:ascii="Times New Roman" w:hAnsi="Times New Roman" w:eastAsia="黑体"/>
          <w:b w:val="0"/>
          <w:color w:val="auto"/>
          <w:highlight w:val="none"/>
        </w:rPr>
        <w:tab/>
      </w:r>
    </w:p>
    <w:p>
      <w:pPr>
        <w:keepNext w:val="0"/>
        <w:keepLines w:val="0"/>
        <w:pageBreakBefore w:val="0"/>
        <w:widowControl w:val="0"/>
        <w:kinsoku/>
        <w:wordWrap/>
        <w:overflowPunct/>
        <w:topLinePunct w:val="0"/>
        <w:bidi w:val="0"/>
        <w:snapToGrid/>
        <w:spacing w:line="578" w:lineRule="exact"/>
        <w:ind w:firstLine="645"/>
        <w:textAlignment w:val="auto"/>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年一般公共预算财政拨款基本支出</w:t>
      </w:r>
      <w:r>
        <w:rPr>
          <w:rFonts w:hint="eastAsia" w:ascii="Times New Roman" w:hAnsi="Times New Roman" w:eastAsia="仿宋"/>
          <w:color w:val="auto"/>
          <w:sz w:val="32"/>
          <w:szCs w:val="32"/>
          <w:highlight w:val="none"/>
          <w:lang w:val="en-US" w:eastAsia="zh-CN"/>
        </w:rPr>
        <w:t>390.81</w:t>
      </w:r>
      <w:r>
        <w:rPr>
          <w:rFonts w:hint="eastAsia" w:ascii="Times New Roman" w:hAnsi="Times New Roman" w:eastAsia="仿宋"/>
          <w:color w:val="auto"/>
          <w:sz w:val="32"/>
          <w:szCs w:val="32"/>
          <w:highlight w:val="none"/>
        </w:rPr>
        <w:t>万元，其中：</w:t>
      </w:r>
    </w:p>
    <w:p>
      <w:pPr>
        <w:keepNext w:val="0"/>
        <w:keepLines w:val="0"/>
        <w:pageBreakBefore w:val="0"/>
        <w:widowControl w:val="0"/>
        <w:kinsoku/>
        <w:wordWrap/>
        <w:overflowPunct/>
        <w:topLinePunct w:val="0"/>
        <w:bidi w:val="0"/>
        <w:snapToGrid/>
        <w:spacing w:line="578" w:lineRule="exact"/>
        <w:ind w:firstLine="645"/>
        <w:textAlignment w:val="auto"/>
        <w:rPr>
          <w:rFonts w:hint="eastAsia" w:ascii="Times New Roman" w:hAnsi="Times New Roman" w:eastAsia="仿宋"/>
          <w:color w:val="auto"/>
          <w:sz w:val="32"/>
          <w:szCs w:val="32"/>
          <w:highlight w:val="none"/>
          <w:lang w:eastAsia="zh-CN"/>
        </w:rPr>
      </w:pPr>
      <w:r>
        <w:rPr>
          <w:rFonts w:hint="eastAsia" w:ascii="Times New Roman" w:hAnsi="Times New Roman" w:eastAsia="仿宋"/>
          <w:color w:val="auto"/>
          <w:sz w:val="32"/>
          <w:szCs w:val="32"/>
          <w:highlight w:val="none"/>
        </w:rPr>
        <w:t>人员经费</w:t>
      </w:r>
      <w:r>
        <w:rPr>
          <w:rFonts w:hint="eastAsia" w:ascii="Times New Roman" w:hAnsi="Times New Roman" w:eastAsia="仿宋"/>
          <w:color w:val="auto"/>
          <w:sz w:val="32"/>
          <w:szCs w:val="32"/>
          <w:highlight w:val="none"/>
          <w:lang w:val="en-US" w:eastAsia="zh-CN"/>
        </w:rPr>
        <w:t>269.99</w:t>
      </w:r>
      <w:r>
        <w:rPr>
          <w:rFonts w:hint="eastAsia" w:ascii="Times New Roman" w:hAnsi="Times New Roman" w:eastAsia="仿宋"/>
          <w:color w:val="auto"/>
          <w:sz w:val="32"/>
          <w:szCs w:val="32"/>
          <w:highlight w:val="none"/>
        </w:rPr>
        <w:t>万元，主要包括：基本工资</w:t>
      </w:r>
      <w:r>
        <w:rPr>
          <w:rFonts w:hint="eastAsia" w:ascii="Times New Roman" w:hAnsi="Times New Roman" w:eastAsia="仿宋"/>
          <w:color w:val="auto"/>
          <w:sz w:val="32"/>
          <w:szCs w:val="32"/>
          <w:highlight w:val="none"/>
          <w:lang w:val="en-US" w:eastAsia="zh-CN"/>
        </w:rPr>
        <w:t>100.98万元</w:t>
      </w:r>
      <w:r>
        <w:rPr>
          <w:rFonts w:hint="eastAsia" w:ascii="Times New Roman" w:hAnsi="Times New Roman" w:eastAsia="仿宋"/>
          <w:color w:val="auto"/>
          <w:sz w:val="32"/>
          <w:szCs w:val="32"/>
          <w:highlight w:val="none"/>
        </w:rPr>
        <w:t>、津贴补贴</w:t>
      </w:r>
      <w:r>
        <w:rPr>
          <w:rFonts w:hint="eastAsia" w:ascii="Times New Roman" w:hAnsi="Times New Roman" w:eastAsia="仿宋"/>
          <w:color w:val="auto"/>
          <w:sz w:val="32"/>
          <w:szCs w:val="32"/>
          <w:highlight w:val="none"/>
          <w:lang w:val="en-US" w:eastAsia="zh-CN"/>
        </w:rPr>
        <w:t>96.84万元</w:t>
      </w:r>
      <w:r>
        <w:rPr>
          <w:rFonts w:hint="eastAsia" w:ascii="Times New Roman" w:hAnsi="Times New Roman" w:eastAsia="仿宋"/>
          <w:color w:val="auto"/>
          <w:sz w:val="32"/>
          <w:szCs w:val="32"/>
          <w:highlight w:val="none"/>
        </w:rPr>
        <w:t>、奖金</w:t>
      </w:r>
      <w:r>
        <w:rPr>
          <w:rFonts w:hint="eastAsia" w:ascii="Times New Roman" w:hAnsi="Times New Roman" w:eastAsia="仿宋"/>
          <w:color w:val="auto"/>
          <w:sz w:val="32"/>
          <w:szCs w:val="32"/>
          <w:highlight w:val="none"/>
          <w:lang w:val="en-US" w:eastAsia="zh-CN"/>
        </w:rPr>
        <w:t>8.42万元</w:t>
      </w:r>
      <w:r>
        <w:rPr>
          <w:rFonts w:hint="eastAsia" w:ascii="Times New Roman" w:hAnsi="Times New Roman" w:eastAsia="仿宋"/>
          <w:color w:val="auto"/>
          <w:sz w:val="32"/>
          <w:szCs w:val="32"/>
          <w:highlight w:val="none"/>
        </w:rPr>
        <w:t>、机关事业单位基本养老保险缴费</w:t>
      </w:r>
      <w:r>
        <w:rPr>
          <w:rFonts w:hint="eastAsia" w:ascii="Times New Roman" w:hAnsi="Times New Roman" w:eastAsia="仿宋"/>
          <w:color w:val="auto"/>
          <w:sz w:val="32"/>
          <w:szCs w:val="32"/>
          <w:highlight w:val="none"/>
          <w:lang w:val="en-US" w:eastAsia="zh-CN"/>
        </w:rPr>
        <w:t>29.99万元</w:t>
      </w:r>
      <w:r>
        <w:rPr>
          <w:rFonts w:hint="eastAsia" w:ascii="Times New Roman" w:hAnsi="Times New Roman" w:eastAsia="仿宋"/>
          <w:color w:val="auto"/>
          <w:sz w:val="32"/>
          <w:szCs w:val="32"/>
          <w:highlight w:val="none"/>
        </w:rPr>
        <w:t>、职业</w:t>
      </w:r>
      <w:r>
        <w:rPr>
          <w:rFonts w:hint="eastAsia" w:ascii="Times New Roman" w:hAnsi="Times New Roman" w:eastAsia="仿宋"/>
          <w:color w:val="auto"/>
          <w:sz w:val="32"/>
          <w:szCs w:val="32"/>
          <w:highlight w:val="none"/>
          <w:lang w:eastAsia="zh-CN"/>
        </w:rPr>
        <w:t>医保</w:t>
      </w:r>
      <w:r>
        <w:rPr>
          <w:rFonts w:hint="eastAsia" w:ascii="Times New Roman" w:hAnsi="Times New Roman" w:eastAsia="仿宋"/>
          <w:color w:val="auto"/>
          <w:sz w:val="32"/>
          <w:szCs w:val="32"/>
          <w:highlight w:val="none"/>
        </w:rPr>
        <w:t>缴费</w:t>
      </w:r>
      <w:r>
        <w:rPr>
          <w:rFonts w:hint="eastAsia" w:ascii="Times New Roman" w:hAnsi="Times New Roman" w:eastAsia="仿宋"/>
          <w:color w:val="auto"/>
          <w:sz w:val="32"/>
          <w:szCs w:val="32"/>
          <w:highlight w:val="none"/>
          <w:lang w:val="en-US" w:eastAsia="zh-CN"/>
        </w:rPr>
        <w:t>11.74万元</w:t>
      </w:r>
      <w:r>
        <w:rPr>
          <w:rFonts w:hint="eastAsia" w:ascii="Times New Roman" w:hAnsi="Times New Roman" w:eastAsia="仿宋"/>
          <w:color w:val="auto"/>
          <w:sz w:val="32"/>
          <w:szCs w:val="32"/>
          <w:highlight w:val="none"/>
        </w:rPr>
        <w:t>、其他社会保障缴费</w:t>
      </w:r>
      <w:r>
        <w:rPr>
          <w:rFonts w:hint="eastAsia" w:ascii="Times New Roman" w:hAnsi="Times New Roman" w:eastAsia="仿宋"/>
          <w:color w:val="auto"/>
          <w:sz w:val="32"/>
          <w:szCs w:val="32"/>
          <w:highlight w:val="none"/>
          <w:lang w:val="en-US" w:eastAsia="zh-CN"/>
        </w:rPr>
        <w:t>0.53万元、</w:t>
      </w:r>
      <w:r>
        <w:rPr>
          <w:rFonts w:hint="eastAsia" w:ascii="Times New Roman" w:hAnsi="Times New Roman" w:eastAsia="仿宋"/>
          <w:color w:val="auto"/>
          <w:sz w:val="32"/>
          <w:szCs w:val="32"/>
          <w:highlight w:val="none"/>
        </w:rPr>
        <w:t>住房公积金</w:t>
      </w:r>
      <w:r>
        <w:rPr>
          <w:rFonts w:hint="eastAsia" w:ascii="Times New Roman" w:hAnsi="Times New Roman" w:eastAsia="仿宋"/>
          <w:color w:val="auto"/>
          <w:sz w:val="32"/>
          <w:szCs w:val="32"/>
          <w:highlight w:val="none"/>
          <w:lang w:val="en-US" w:eastAsia="zh-CN"/>
        </w:rPr>
        <w:t>21.48万元。</w:t>
      </w:r>
    </w:p>
    <w:p>
      <w:pPr>
        <w:keepNext w:val="0"/>
        <w:keepLines w:val="0"/>
        <w:pageBreakBefore w:val="0"/>
        <w:widowControl w:val="0"/>
        <w:kinsoku/>
        <w:wordWrap/>
        <w:overflowPunct/>
        <w:topLinePunct w:val="0"/>
        <w:bidi w:val="0"/>
        <w:snapToGrid/>
        <w:spacing w:line="578" w:lineRule="exact"/>
        <w:ind w:firstLine="645"/>
        <w:textAlignment w:val="auto"/>
        <w:rPr>
          <w:rFonts w:ascii="Times New Roman" w:hAnsi="Times New Roman" w:eastAsia="仿宋"/>
          <w:b/>
          <w:color w:val="auto"/>
          <w:sz w:val="32"/>
          <w:szCs w:val="32"/>
          <w:highlight w:val="none"/>
        </w:rPr>
      </w:pPr>
      <w:r>
        <w:rPr>
          <w:rFonts w:hint="eastAsia" w:ascii="Times New Roman" w:hAnsi="Times New Roman" w:eastAsia="仿宋"/>
          <w:color w:val="auto"/>
          <w:sz w:val="32"/>
          <w:szCs w:val="32"/>
          <w:highlight w:val="none"/>
        </w:rPr>
        <w:t>公用经费</w:t>
      </w:r>
      <w:r>
        <w:rPr>
          <w:rFonts w:hint="eastAsia" w:ascii="Times New Roman" w:hAnsi="Times New Roman" w:eastAsia="仿宋"/>
          <w:color w:val="auto"/>
          <w:sz w:val="32"/>
          <w:szCs w:val="32"/>
          <w:highlight w:val="none"/>
          <w:lang w:val="en-US" w:eastAsia="zh-CN"/>
        </w:rPr>
        <w:t>30.22</w:t>
      </w:r>
      <w:r>
        <w:rPr>
          <w:rFonts w:hint="eastAsia" w:ascii="Times New Roman" w:hAnsi="Times New Roman" w:eastAsia="仿宋"/>
          <w:color w:val="auto"/>
          <w:sz w:val="32"/>
          <w:szCs w:val="32"/>
          <w:highlight w:val="none"/>
        </w:rPr>
        <w:t>万元，主要包括：办公费</w:t>
      </w:r>
      <w:r>
        <w:rPr>
          <w:rFonts w:hint="eastAsia" w:ascii="Times New Roman" w:hAnsi="Times New Roman" w:eastAsia="仿宋"/>
          <w:color w:val="auto"/>
          <w:sz w:val="32"/>
          <w:szCs w:val="32"/>
          <w:highlight w:val="none"/>
          <w:lang w:val="en-US" w:eastAsia="zh-CN"/>
        </w:rPr>
        <w:t>11.62万元</w:t>
      </w:r>
      <w:r>
        <w:rPr>
          <w:rFonts w:hint="eastAsia" w:ascii="Times New Roman" w:hAnsi="Times New Roman" w:eastAsia="仿宋"/>
          <w:color w:val="auto"/>
          <w:sz w:val="32"/>
          <w:szCs w:val="32"/>
          <w:highlight w:val="none"/>
        </w:rPr>
        <w:t>、印刷费</w:t>
      </w:r>
      <w:r>
        <w:rPr>
          <w:rFonts w:hint="eastAsia" w:ascii="Times New Roman" w:hAnsi="Times New Roman" w:eastAsia="仿宋"/>
          <w:color w:val="auto"/>
          <w:sz w:val="32"/>
          <w:szCs w:val="32"/>
          <w:highlight w:val="none"/>
          <w:lang w:val="en-US" w:eastAsia="zh-CN"/>
        </w:rPr>
        <w:t>0.32万元</w:t>
      </w:r>
      <w:r>
        <w:rPr>
          <w:rFonts w:hint="eastAsia" w:ascii="Times New Roman" w:hAnsi="Times New Roman" w:eastAsia="仿宋"/>
          <w:color w:val="auto"/>
          <w:sz w:val="32"/>
          <w:szCs w:val="32"/>
          <w:highlight w:val="none"/>
        </w:rPr>
        <w:t>、水费</w:t>
      </w:r>
      <w:r>
        <w:rPr>
          <w:rFonts w:hint="eastAsia" w:ascii="Times New Roman" w:hAnsi="Times New Roman" w:eastAsia="仿宋"/>
          <w:color w:val="auto"/>
          <w:sz w:val="32"/>
          <w:szCs w:val="32"/>
          <w:highlight w:val="none"/>
          <w:lang w:val="en-US" w:eastAsia="zh-CN"/>
        </w:rPr>
        <w:t>0.1万元</w:t>
      </w:r>
      <w:r>
        <w:rPr>
          <w:rFonts w:hint="eastAsia" w:ascii="Times New Roman" w:hAnsi="Times New Roman" w:eastAsia="仿宋"/>
          <w:color w:val="auto"/>
          <w:sz w:val="32"/>
          <w:szCs w:val="32"/>
          <w:highlight w:val="none"/>
        </w:rPr>
        <w:t>、电费</w:t>
      </w:r>
      <w:r>
        <w:rPr>
          <w:rFonts w:hint="eastAsia" w:ascii="Times New Roman" w:hAnsi="Times New Roman" w:eastAsia="仿宋"/>
          <w:color w:val="auto"/>
          <w:sz w:val="32"/>
          <w:szCs w:val="32"/>
          <w:highlight w:val="none"/>
          <w:lang w:val="en-US" w:eastAsia="zh-CN"/>
        </w:rPr>
        <w:t>1.47万元</w:t>
      </w:r>
      <w:r>
        <w:rPr>
          <w:rFonts w:hint="eastAsia" w:ascii="Times New Roman" w:hAnsi="Times New Roman" w:eastAsia="仿宋"/>
          <w:color w:val="auto"/>
          <w:sz w:val="32"/>
          <w:szCs w:val="32"/>
          <w:highlight w:val="none"/>
        </w:rPr>
        <w:t>、差旅费</w:t>
      </w:r>
      <w:r>
        <w:rPr>
          <w:rFonts w:hint="eastAsia" w:ascii="Times New Roman" w:hAnsi="Times New Roman" w:eastAsia="仿宋"/>
          <w:color w:val="auto"/>
          <w:sz w:val="32"/>
          <w:szCs w:val="32"/>
          <w:highlight w:val="none"/>
          <w:lang w:val="en-US" w:eastAsia="zh-CN"/>
        </w:rPr>
        <w:t>0.96万元</w:t>
      </w:r>
      <w:r>
        <w:rPr>
          <w:rFonts w:hint="eastAsia" w:ascii="Times New Roman" w:hAnsi="Times New Roman" w:eastAsia="仿宋"/>
          <w:color w:val="auto"/>
          <w:sz w:val="32"/>
          <w:szCs w:val="32"/>
          <w:highlight w:val="none"/>
        </w:rPr>
        <w:t>、、公务接待费</w:t>
      </w:r>
      <w:r>
        <w:rPr>
          <w:rFonts w:hint="eastAsia" w:ascii="Times New Roman" w:hAnsi="Times New Roman" w:eastAsia="仿宋"/>
          <w:color w:val="auto"/>
          <w:sz w:val="32"/>
          <w:szCs w:val="32"/>
          <w:highlight w:val="none"/>
          <w:lang w:val="en-US" w:eastAsia="zh-CN"/>
        </w:rPr>
        <w:t>1.5万元</w:t>
      </w:r>
      <w:r>
        <w:rPr>
          <w:rFonts w:hint="eastAsia" w:ascii="Times New Roman" w:hAnsi="Times New Roman" w:eastAsia="仿宋"/>
          <w:color w:val="auto"/>
          <w:sz w:val="32"/>
          <w:szCs w:val="32"/>
          <w:highlight w:val="none"/>
        </w:rPr>
        <w:t>、劳务费</w:t>
      </w:r>
      <w:r>
        <w:rPr>
          <w:rFonts w:hint="eastAsia" w:ascii="Times New Roman" w:hAnsi="Times New Roman" w:eastAsia="仿宋"/>
          <w:color w:val="auto"/>
          <w:sz w:val="32"/>
          <w:szCs w:val="32"/>
          <w:highlight w:val="none"/>
          <w:lang w:val="en-US" w:eastAsia="zh-CN"/>
        </w:rPr>
        <w:t>2.63万元</w:t>
      </w:r>
      <w:r>
        <w:rPr>
          <w:rFonts w:hint="eastAsia" w:ascii="Times New Roman" w:hAnsi="Times New Roman" w:eastAsia="仿宋"/>
          <w:color w:val="auto"/>
          <w:sz w:val="32"/>
          <w:szCs w:val="32"/>
          <w:highlight w:val="none"/>
        </w:rPr>
        <w:t>、工会经费</w:t>
      </w:r>
      <w:r>
        <w:rPr>
          <w:rFonts w:hint="eastAsia" w:ascii="Times New Roman" w:hAnsi="Times New Roman" w:eastAsia="仿宋"/>
          <w:color w:val="auto"/>
          <w:sz w:val="32"/>
          <w:szCs w:val="32"/>
          <w:highlight w:val="none"/>
          <w:lang w:val="en-US" w:eastAsia="zh-CN"/>
        </w:rPr>
        <w:t>8.1万元</w:t>
      </w:r>
      <w:r>
        <w:rPr>
          <w:rFonts w:hint="eastAsia" w:ascii="Times New Roman" w:hAnsi="Times New Roman" w:eastAsia="仿宋"/>
          <w:color w:val="auto"/>
          <w:sz w:val="32"/>
          <w:szCs w:val="32"/>
          <w:highlight w:val="none"/>
        </w:rPr>
        <w:t>、其他交通费</w:t>
      </w:r>
      <w:r>
        <w:rPr>
          <w:rFonts w:hint="eastAsia" w:ascii="Times New Roman" w:hAnsi="Times New Roman" w:eastAsia="仿宋"/>
          <w:color w:val="auto"/>
          <w:sz w:val="32"/>
          <w:szCs w:val="32"/>
          <w:highlight w:val="none"/>
          <w:lang w:val="en-US" w:eastAsia="zh-CN"/>
        </w:rPr>
        <w:t>1.72万元</w:t>
      </w:r>
      <w:r>
        <w:rPr>
          <w:rFonts w:hint="eastAsia" w:ascii="Times New Roman" w:hAnsi="Times New Roman" w:eastAsia="仿宋"/>
          <w:color w:val="auto"/>
          <w:sz w:val="32"/>
          <w:szCs w:val="32"/>
          <w:highlight w:val="none"/>
        </w:rPr>
        <w:t>、其他商品和服务支出</w:t>
      </w:r>
      <w:r>
        <w:rPr>
          <w:rFonts w:hint="eastAsia" w:ascii="Times New Roman" w:hAnsi="Times New Roman" w:eastAsia="仿宋"/>
          <w:color w:val="auto"/>
          <w:sz w:val="32"/>
          <w:szCs w:val="32"/>
          <w:highlight w:val="none"/>
          <w:lang w:val="en-US" w:eastAsia="zh-CN"/>
        </w:rPr>
        <w:t>1.8万元。</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1"/>
        <w:rPr>
          <w:rStyle w:val="28"/>
          <w:rFonts w:ascii="Times New Roman" w:hAnsi="Times New Roman" w:eastAsia="黑体"/>
          <w:b w:val="0"/>
          <w:color w:val="auto"/>
          <w:highlight w:val="none"/>
        </w:rPr>
      </w:pPr>
      <w:bookmarkStart w:id="36" w:name="_Toc15396609"/>
      <w:bookmarkStart w:id="37" w:name="_Toc15377215"/>
      <w:r>
        <w:rPr>
          <w:rFonts w:hint="eastAsia" w:ascii="Times New Roman" w:hAnsi="Times New Roman" w:eastAsia="黑体"/>
          <w:color w:val="auto"/>
          <w:sz w:val="32"/>
          <w:szCs w:val="32"/>
          <w:highlight w:val="none"/>
        </w:rPr>
        <w:t>七、</w:t>
      </w:r>
      <w:r>
        <w:rPr>
          <w:rStyle w:val="28"/>
          <w:rFonts w:hint="eastAsia" w:ascii="Times New Roman" w:hAnsi="Times New Roman" w:eastAsia="黑体"/>
          <w:color w:val="auto"/>
          <w:highlight w:val="none"/>
        </w:rPr>
        <w:t>“</w:t>
      </w:r>
      <w:r>
        <w:rPr>
          <w:rStyle w:val="28"/>
          <w:rFonts w:hint="eastAsia" w:ascii="Times New Roman" w:hAnsi="Times New Roman" w:eastAsia="黑体"/>
          <w:b w:val="0"/>
          <w:color w:val="auto"/>
          <w:highlight w:val="none"/>
        </w:rPr>
        <w:t>三公”经费财政拨款支出决算情况说明</w:t>
      </w:r>
      <w:bookmarkEnd w:id="36"/>
      <w:bookmarkEnd w:id="37"/>
    </w:p>
    <w:p>
      <w:pPr>
        <w:keepNext w:val="0"/>
        <w:keepLines w:val="0"/>
        <w:pageBreakBefore w:val="0"/>
        <w:widowControl w:val="0"/>
        <w:kinsoku/>
        <w:wordWrap/>
        <w:overflowPunct/>
        <w:topLinePunct w:val="0"/>
        <w:bidi w:val="0"/>
        <w:snapToGrid/>
        <w:spacing w:line="578" w:lineRule="exact"/>
        <w:ind w:firstLine="640"/>
        <w:textAlignment w:val="auto"/>
        <w:outlineLvl w:val="2"/>
        <w:rPr>
          <w:rFonts w:ascii="Times New Roman" w:hAnsi="Times New Roman" w:eastAsia="仿宋"/>
          <w:b/>
          <w:color w:val="auto"/>
          <w:sz w:val="32"/>
          <w:szCs w:val="32"/>
          <w:highlight w:val="none"/>
        </w:rPr>
      </w:pPr>
      <w:bookmarkStart w:id="38" w:name="_Toc15377216"/>
      <w:r>
        <w:rPr>
          <w:rFonts w:hint="eastAsia" w:ascii="Times New Roman" w:hAnsi="Times New Roman" w:eastAsia="仿宋"/>
          <w:b/>
          <w:color w:val="auto"/>
          <w:sz w:val="32"/>
          <w:szCs w:val="32"/>
          <w:highlight w:val="none"/>
        </w:rPr>
        <w:t>（一）“三公”经费财政拨款支出决算总体情况说明</w:t>
      </w:r>
      <w:bookmarkEnd w:id="38"/>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仿宋"/>
          <w:b/>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年“三公”经费财政拨款支出决算为</w:t>
      </w:r>
      <w:r>
        <w:rPr>
          <w:rFonts w:hint="eastAsia" w:ascii="Times New Roman" w:hAnsi="Times New Roman" w:eastAsia="仿宋"/>
          <w:color w:val="auto"/>
          <w:sz w:val="32"/>
          <w:szCs w:val="32"/>
          <w:highlight w:val="none"/>
          <w:lang w:val="en-US" w:eastAsia="zh-CN"/>
        </w:rPr>
        <w:t>1.5</w:t>
      </w:r>
      <w:r>
        <w:rPr>
          <w:rFonts w:hint="eastAsia" w:ascii="Times New Roman" w:hAnsi="Times New Roman" w:eastAsia="仿宋"/>
          <w:color w:val="auto"/>
          <w:sz w:val="32"/>
          <w:szCs w:val="32"/>
          <w:highlight w:val="none"/>
        </w:rPr>
        <w:t>万元，完成预算</w:t>
      </w:r>
      <w:r>
        <w:rPr>
          <w:rFonts w:hint="eastAsia" w:ascii="Times New Roman" w:hAnsi="Times New Roman" w:eastAsia="仿宋"/>
          <w:color w:val="auto"/>
          <w:sz w:val="32"/>
          <w:szCs w:val="32"/>
          <w:highlight w:val="none"/>
          <w:lang w:val="en-US" w:eastAsia="zh-CN"/>
        </w:rPr>
        <w:t>75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，决算数小于预算数（或与预算数持平）的主要原因</w:t>
      </w:r>
      <w:r>
        <w:rPr>
          <w:rFonts w:hint="eastAsia" w:ascii="Times New Roman" w:hAnsi="Times New Roman" w:eastAsia="仿宋"/>
          <w:color w:val="auto"/>
          <w:sz w:val="32"/>
          <w:szCs w:val="32"/>
          <w:highlight w:val="none"/>
          <w:lang w:eastAsia="zh-CN"/>
        </w:rPr>
        <w:t>是厉行节约</w:t>
      </w:r>
      <w:r>
        <w:rPr>
          <w:rFonts w:hint="eastAsia" w:ascii="Times New Roman" w:hAnsi="Times New Roman" w:eastAsia="仿宋"/>
          <w:color w:val="auto"/>
          <w:sz w:val="32"/>
          <w:szCs w:val="32"/>
          <w:highlight w:val="none"/>
        </w:rPr>
        <w:t>。</w:t>
      </w:r>
    </w:p>
    <w:p>
      <w:pPr>
        <w:keepNext w:val="0"/>
        <w:keepLines w:val="0"/>
        <w:pageBreakBefore w:val="0"/>
        <w:widowControl w:val="0"/>
        <w:kinsoku/>
        <w:wordWrap/>
        <w:overflowPunct/>
        <w:topLinePunct w:val="0"/>
        <w:bidi w:val="0"/>
        <w:snapToGrid/>
        <w:spacing w:line="578" w:lineRule="exact"/>
        <w:ind w:firstLine="640"/>
        <w:textAlignment w:val="auto"/>
        <w:outlineLvl w:val="2"/>
        <w:rPr>
          <w:rFonts w:ascii="Times New Roman" w:hAnsi="Times New Roman" w:eastAsia="仿宋"/>
          <w:b/>
          <w:color w:val="auto"/>
          <w:sz w:val="32"/>
          <w:szCs w:val="32"/>
          <w:highlight w:val="none"/>
        </w:rPr>
      </w:pPr>
      <w:bookmarkStart w:id="39" w:name="_Toc15377217"/>
      <w:r>
        <w:rPr>
          <w:rFonts w:hint="eastAsia" w:ascii="Times New Roman" w:hAnsi="Times New Roman" w:eastAsia="仿宋"/>
          <w:b/>
          <w:color w:val="auto"/>
          <w:sz w:val="32"/>
          <w:szCs w:val="32"/>
          <w:highlight w:val="none"/>
        </w:rPr>
        <w:t>（二）“三公”经费财政拨款支出决算具体情况说明</w:t>
      </w:r>
      <w:bookmarkEnd w:id="39"/>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仿宋_GB2312"/>
          <w:b/>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年“三公”经费财政拨款支出决算中，因公出国（境）费支出决算</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；公务用车购置及运行维护费支出决算</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；公务接待费支出决算</w:t>
      </w:r>
      <w:r>
        <w:rPr>
          <w:rFonts w:hint="eastAsia" w:ascii="Times New Roman" w:hAnsi="Times New Roman" w:eastAsia="仿宋"/>
          <w:color w:val="auto"/>
          <w:sz w:val="32"/>
          <w:szCs w:val="32"/>
          <w:highlight w:val="none"/>
          <w:lang w:val="en-US" w:eastAsia="zh-CN"/>
        </w:rPr>
        <w:t>1.5</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100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。具体情况如下：</w:t>
      </w:r>
    </w:p>
    <w:p>
      <w:pPr>
        <w:keepNext w:val="0"/>
        <w:keepLines w:val="0"/>
        <w:pageBreakBefore w:val="0"/>
        <w:widowControl w:val="0"/>
        <w:kinsoku/>
        <w:wordWrap/>
        <w:overflowPunct/>
        <w:topLinePunct w:val="0"/>
        <w:bidi w:val="0"/>
        <w:snapToGrid/>
        <w:spacing w:line="578" w:lineRule="exact"/>
        <w:ind w:firstLine="630" w:firstLineChars="300"/>
        <w:textAlignment w:val="auto"/>
        <w:rPr>
          <w:rFonts w:ascii="Times New Roman" w:hAnsi="Times New Roman" w:eastAsia="仿宋_GB2312"/>
          <w:b/>
          <w:color w:val="auto"/>
          <w:sz w:val="32"/>
          <w:szCs w:val="32"/>
          <w:highlight w:val="none"/>
        </w:rPr>
      </w:pPr>
      <w:r>
        <w:rPr>
          <w:rFonts w:ascii="Times New Roman" w:hAnsi="Times New Roman"/>
        </w:rPr>
        <w:drawing>
          <wp:anchor distT="0" distB="0" distL="114300" distR="114300" simplePos="0" relativeHeight="251659264" behindDoc="0" locked="0" layoutInCell="1" allowOverlap="1">
            <wp:simplePos x="0" y="0"/>
            <wp:positionH relativeFrom="column">
              <wp:posOffset>376555</wp:posOffset>
            </wp:positionH>
            <wp:positionV relativeFrom="paragraph">
              <wp:posOffset>83185</wp:posOffset>
            </wp:positionV>
            <wp:extent cx="4572000" cy="2664460"/>
            <wp:effectExtent l="5080" t="4445" r="13970" b="17145"/>
            <wp:wrapTopAndBottom/>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Times New Roman" w:hAnsi="Times New Roman" w:eastAsia="仿宋_GB2312"/>
          <w:b/>
          <w:color w:val="auto"/>
          <w:sz w:val="32"/>
          <w:szCs w:val="32"/>
          <w:highlight w:val="none"/>
          <w:lang w:val="en-US" w:eastAsia="zh-CN"/>
        </w:rPr>
        <w:t>1、</w:t>
      </w:r>
      <w:r>
        <w:rPr>
          <w:rFonts w:hint="eastAsia" w:ascii="Times New Roman" w:hAnsi="Times New Roman" w:eastAsia="仿宋_GB2312"/>
          <w:b/>
          <w:color w:val="auto"/>
          <w:sz w:val="32"/>
          <w:szCs w:val="32"/>
          <w:highlight w:val="none"/>
        </w:rPr>
        <w:t>因公出国（境）经费支出</w:t>
      </w:r>
      <w:r>
        <w:rPr>
          <w:rFonts w:hint="eastAsia" w:ascii="Times New Roman" w:hAnsi="Times New Roman" w:eastAsia="仿宋_GB2312"/>
          <w:b/>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Style w:val="16"/>
          <w:rFonts w:hint="eastAsia" w:ascii="Times New Roman" w:hAnsi="Times New Roman" w:eastAsia="仿宋"/>
          <w:b w:val="0"/>
          <w:bCs/>
          <w:color w:val="auto"/>
          <w:sz w:val="32"/>
          <w:szCs w:val="32"/>
          <w:highlight w:val="none"/>
        </w:rPr>
        <w:t>完成预算</w:t>
      </w:r>
      <w:r>
        <w:rPr>
          <w:rStyle w:val="16"/>
          <w:rFonts w:hint="eastAsia" w:ascii="Times New Roman" w:hAnsi="Times New Roman" w:eastAsia="仿宋"/>
          <w:b w:val="0"/>
          <w:bCs/>
          <w:color w:val="auto"/>
          <w:sz w:val="32"/>
          <w:szCs w:val="32"/>
          <w:highlight w:val="none"/>
          <w:lang w:val="en-US" w:eastAsia="zh-CN"/>
        </w:rPr>
        <w:t>0</w:t>
      </w:r>
      <w:r>
        <w:rPr>
          <w:rStyle w:val="16"/>
          <w:rFonts w:ascii="Times New Roman" w:hAnsi="Times New Roman" w:eastAsia="仿宋"/>
          <w:b w:val="0"/>
          <w:bCs/>
          <w:color w:val="auto"/>
          <w:sz w:val="32"/>
          <w:szCs w:val="32"/>
          <w:highlight w:val="none"/>
        </w:rPr>
        <w:t>%</w:t>
      </w:r>
      <w:r>
        <w:rPr>
          <w:rStyle w:val="16"/>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全年安排因公出国（境）团组</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次，出国（境）</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人。因公出国（境）支出决算比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年增加</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减少</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万元，增长</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下降</w:t>
      </w:r>
      <w:r>
        <w:rPr>
          <w:rFonts w:hint="eastAsia" w:ascii="Times New Roman" w:hAnsi="Times New Roman" w:eastAsia="仿宋_GB2312"/>
          <w:color w:val="auto"/>
          <w:sz w:val="32"/>
          <w:szCs w:val="32"/>
          <w:highlight w:val="none"/>
          <w:lang w:val="en-US" w:eastAsia="zh-CN"/>
        </w:rPr>
        <w:t>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。主要原因是……。</w:t>
      </w:r>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开支内容包括：…（团组名称、出访地点、取得成效）等。</w:t>
      </w:r>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仿宋_GB2312"/>
          <w:b/>
          <w:color w:val="auto"/>
          <w:sz w:val="32"/>
          <w:szCs w:val="32"/>
          <w:highlight w:val="none"/>
        </w:rPr>
      </w:pPr>
      <w:r>
        <w:rPr>
          <w:rFonts w:ascii="Times New Roman" w:hAnsi="Times New Roman" w:eastAsia="仿宋_GB2312"/>
          <w:b/>
          <w:color w:val="auto"/>
          <w:sz w:val="32"/>
          <w:szCs w:val="32"/>
          <w:highlight w:val="none"/>
        </w:rPr>
        <w:t>2.</w:t>
      </w:r>
      <w:r>
        <w:rPr>
          <w:rFonts w:hint="eastAsia" w:ascii="Times New Roman" w:hAnsi="Times New Roman" w:eastAsia="仿宋_GB2312"/>
          <w:b/>
          <w:color w:val="auto"/>
          <w:sz w:val="32"/>
          <w:szCs w:val="32"/>
          <w:highlight w:val="none"/>
        </w:rPr>
        <w:t>公务用车购置及运行维护费支出</w:t>
      </w:r>
      <w:r>
        <w:rPr>
          <w:rFonts w:hint="eastAsia" w:ascii="Times New Roman" w:hAnsi="Times New Roman" w:eastAsia="仿宋_GB2312"/>
          <w:b/>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Style w:val="16"/>
          <w:rFonts w:hint="eastAsia" w:ascii="Times New Roman" w:hAnsi="Times New Roman" w:eastAsia="仿宋"/>
          <w:b w:val="0"/>
          <w:bCs/>
          <w:color w:val="auto"/>
          <w:sz w:val="32"/>
          <w:szCs w:val="32"/>
          <w:highlight w:val="none"/>
        </w:rPr>
        <w:t>完成预算</w:t>
      </w:r>
      <w:r>
        <w:rPr>
          <w:rStyle w:val="16"/>
          <w:rFonts w:hint="eastAsia" w:ascii="Times New Roman" w:hAnsi="Times New Roman" w:eastAsia="仿宋"/>
          <w:b w:val="0"/>
          <w:bCs/>
          <w:color w:val="auto"/>
          <w:sz w:val="32"/>
          <w:szCs w:val="32"/>
          <w:highlight w:val="none"/>
          <w:lang w:val="en-US" w:eastAsia="zh-CN"/>
        </w:rPr>
        <w:t>0</w:t>
      </w:r>
      <w:r>
        <w:rPr>
          <w:rStyle w:val="16"/>
          <w:rFonts w:ascii="Times New Roman" w:hAnsi="Times New Roman" w:eastAsia="仿宋"/>
          <w:b w:val="0"/>
          <w:bCs/>
          <w:color w:val="auto"/>
          <w:sz w:val="32"/>
          <w:szCs w:val="32"/>
          <w:highlight w:val="none"/>
        </w:rPr>
        <w:t>%</w:t>
      </w:r>
      <w:r>
        <w:rPr>
          <w:rStyle w:val="16"/>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公务用车购置及运行维护费支出决算比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年增加</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减少</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万元，增长</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下降</w:t>
      </w:r>
      <w:r>
        <w:rPr>
          <w:rFonts w:hint="eastAsia" w:ascii="Times New Roman" w:hAnsi="Times New Roman" w:eastAsia="仿宋_GB2312"/>
          <w:color w:val="auto"/>
          <w:sz w:val="32"/>
          <w:szCs w:val="32"/>
          <w:highlight w:val="none"/>
          <w:lang w:val="en-US" w:eastAsia="zh-CN"/>
        </w:rPr>
        <w:t>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。主要原因是……。</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Times New Roman" w:hAnsi="Times New Roman" w:eastAsia="仿宋_GB2312"/>
          <w:b/>
          <w:color w:val="auto"/>
          <w:sz w:val="32"/>
          <w:szCs w:val="32"/>
          <w:highlight w:val="none"/>
        </w:rPr>
      </w:pPr>
      <w:r>
        <w:rPr>
          <w:rFonts w:hint="eastAsia" w:ascii="Times New Roman" w:hAnsi="Times New Roman" w:eastAsia="仿宋_GB2312"/>
          <w:color w:val="auto"/>
          <w:sz w:val="32"/>
          <w:szCs w:val="32"/>
          <w:highlight w:val="none"/>
        </w:rPr>
        <w:t>其中：</w:t>
      </w:r>
      <w:r>
        <w:rPr>
          <w:rFonts w:hint="eastAsia" w:ascii="Times New Roman" w:hAnsi="Times New Roman" w:eastAsia="仿宋_GB2312"/>
          <w:b/>
          <w:color w:val="auto"/>
          <w:sz w:val="32"/>
          <w:szCs w:val="32"/>
          <w:highlight w:val="none"/>
        </w:rPr>
        <w:t>公务用车购置支出</w:t>
      </w:r>
      <w:r>
        <w:rPr>
          <w:rFonts w:hint="eastAsia" w:ascii="Times New Roman" w:hAnsi="Times New Roman" w:eastAsia="仿宋_GB2312"/>
          <w:b/>
          <w:color w:val="auto"/>
          <w:sz w:val="32"/>
          <w:szCs w:val="32"/>
          <w:highlight w:val="none"/>
          <w:lang w:val="en-US" w:eastAsia="zh-CN"/>
        </w:rPr>
        <w:t>0</w:t>
      </w:r>
      <w:r>
        <w:rPr>
          <w:rFonts w:hint="eastAsia" w:ascii="Times New Roman" w:hAnsi="Times New Roman" w:eastAsia="仿宋_GB2312"/>
          <w:color w:val="auto"/>
          <w:sz w:val="32"/>
          <w:szCs w:val="32"/>
          <w:highlight w:val="none"/>
        </w:rPr>
        <w:t>万元。全年按规定更新购置公务用车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辆，其中：轿车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万元，越野车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万元，载客汽车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万元，主要用于…。截至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Times New Roman" w:hAnsi="Times New Roman" w:eastAsia="仿宋_GB2312"/>
          <w:color w:val="auto"/>
          <w:sz w:val="32"/>
          <w:szCs w:val="32"/>
          <w:highlight w:val="none"/>
        </w:rPr>
        <w:t>月底，单位共有公务用车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辆，其中：轿车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辆、越野车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辆、载客汽车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w:t>
      </w:r>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仿宋_GB2312"/>
          <w:color w:val="auto"/>
          <w:sz w:val="32"/>
          <w:szCs w:val="32"/>
          <w:highlight w:val="none"/>
        </w:rPr>
      </w:pPr>
      <w:r>
        <w:rPr>
          <w:rFonts w:hint="eastAsia" w:ascii="Times New Roman" w:hAnsi="Times New Roman" w:eastAsia="仿宋_GB2312"/>
          <w:b/>
          <w:color w:val="auto"/>
          <w:sz w:val="32"/>
          <w:szCs w:val="32"/>
          <w:highlight w:val="none"/>
        </w:rPr>
        <w:t>公务用车运行维护费支出</w:t>
      </w:r>
      <w:r>
        <w:rPr>
          <w:rFonts w:hint="eastAsia" w:ascii="Times New Roman" w:hAnsi="Times New Roman" w:eastAsia="仿宋_GB2312"/>
          <w:b/>
          <w:color w:val="auto"/>
          <w:sz w:val="32"/>
          <w:szCs w:val="32"/>
          <w:highlight w:val="none"/>
          <w:lang w:val="en-US" w:eastAsia="zh-CN"/>
        </w:rPr>
        <w:t>0</w:t>
      </w:r>
      <w:r>
        <w:rPr>
          <w:rFonts w:hint="eastAsia" w:ascii="Times New Roman" w:hAnsi="Times New Roman" w:eastAsia="仿宋_GB2312"/>
          <w:color w:val="auto"/>
          <w:sz w:val="32"/>
          <w:szCs w:val="32"/>
          <w:highlight w:val="none"/>
        </w:rPr>
        <w:t>万元。主要用于</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（具体工作）等所需的公务用车燃料费、维修费、过路过桥费、保险费等支出。</w:t>
      </w:r>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仿宋_GB2312"/>
          <w:color w:val="auto"/>
          <w:sz w:val="32"/>
          <w:szCs w:val="32"/>
          <w:highlight w:val="none"/>
        </w:rPr>
      </w:pPr>
      <w:r>
        <w:rPr>
          <w:rFonts w:ascii="Times New Roman" w:hAnsi="Times New Roman" w:eastAsia="仿宋_GB2312"/>
          <w:b/>
          <w:color w:val="auto"/>
          <w:sz w:val="32"/>
          <w:szCs w:val="32"/>
          <w:highlight w:val="none"/>
        </w:rPr>
        <w:t>3.</w:t>
      </w:r>
      <w:r>
        <w:rPr>
          <w:rFonts w:hint="eastAsia" w:ascii="Times New Roman" w:hAnsi="Times New Roman" w:eastAsia="仿宋_GB2312"/>
          <w:b/>
          <w:color w:val="auto"/>
          <w:sz w:val="32"/>
          <w:szCs w:val="32"/>
          <w:highlight w:val="none"/>
        </w:rPr>
        <w:t>公务接待费支出</w:t>
      </w:r>
      <w:r>
        <w:rPr>
          <w:rFonts w:hint="eastAsia" w:ascii="Times New Roman" w:hAnsi="Times New Roman" w:eastAsia="仿宋_GB2312"/>
          <w:b/>
          <w:color w:val="auto"/>
          <w:sz w:val="32"/>
          <w:szCs w:val="32"/>
          <w:highlight w:val="none"/>
          <w:lang w:val="en-US" w:eastAsia="zh-CN"/>
        </w:rPr>
        <w:t>1.5</w:t>
      </w:r>
      <w:r>
        <w:rPr>
          <w:rFonts w:hint="eastAsia" w:ascii="Times New Roman" w:hAnsi="Times New Roman" w:eastAsia="仿宋_GB2312"/>
          <w:color w:val="auto"/>
          <w:sz w:val="32"/>
          <w:szCs w:val="32"/>
          <w:highlight w:val="none"/>
        </w:rPr>
        <w:t>万元，</w:t>
      </w:r>
      <w:r>
        <w:rPr>
          <w:rStyle w:val="16"/>
          <w:rFonts w:hint="eastAsia" w:ascii="Times New Roman" w:hAnsi="Times New Roman" w:eastAsia="仿宋"/>
          <w:b w:val="0"/>
          <w:bCs/>
          <w:color w:val="auto"/>
          <w:sz w:val="32"/>
          <w:szCs w:val="32"/>
          <w:highlight w:val="none"/>
        </w:rPr>
        <w:t>完成预算</w:t>
      </w:r>
      <w:r>
        <w:rPr>
          <w:rStyle w:val="16"/>
          <w:rFonts w:hint="eastAsia" w:ascii="Times New Roman" w:hAnsi="Times New Roman" w:eastAsia="仿宋"/>
          <w:b w:val="0"/>
          <w:bCs/>
          <w:color w:val="auto"/>
          <w:sz w:val="32"/>
          <w:szCs w:val="32"/>
          <w:highlight w:val="none"/>
          <w:lang w:val="en-US" w:eastAsia="zh-CN"/>
        </w:rPr>
        <w:t>75</w:t>
      </w:r>
      <w:r>
        <w:rPr>
          <w:rStyle w:val="16"/>
          <w:rFonts w:ascii="Times New Roman" w:hAnsi="Times New Roman" w:eastAsia="仿宋"/>
          <w:b w:val="0"/>
          <w:bCs/>
          <w:color w:val="auto"/>
          <w:sz w:val="32"/>
          <w:szCs w:val="32"/>
          <w:highlight w:val="none"/>
        </w:rPr>
        <w:t>%</w:t>
      </w:r>
      <w:r>
        <w:rPr>
          <w:rStyle w:val="16"/>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公务接待费支出决算</w:t>
      </w:r>
      <w:r>
        <w:rPr>
          <w:rFonts w:hint="eastAsia" w:ascii="Times New Roman" w:hAnsi="Times New Roman" w:eastAsia="仿宋_GB2312"/>
          <w:color w:val="auto"/>
          <w:sz w:val="32"/>
          <w:szCs w:val="32"/>
          <w:highlight w:val="none"/>
          <w:lang w:eastAsia="zh-CN"/>
        </w:rPr>
        <w:t>与</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持平。</w:t>
      </w:r>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
          <w:b/>
          <w:color w:val="auto"/>
          <w:sz w:val="32"/>
          <w:szCs w:val="32"/>
          <w:highlight w:val="none"/>
        </w:rPr>
        <w:t>国内公务接待支出</w:t>
      </w:r>
      <w:r>
        <w:rPr>
          <w:rFonts w:hint="eastAsia" w:ascii="Times New Roman" w:hAnsi="Times New Roman" w:eastAsia="仿宋"/>
          <w:b/>
          <w:color w:val="auto"/>
          <w:sz w:val="32"/>
          <w:szCs w:val="32"/>
          <w:highlight w:val="none"/>
          <w:lang w:val="en-US" w:eastAsia="zh-CN"/>
        </w:rPr>
        <w:t>1.5</w:t>
      </w:r>
      <w:r>
        <w:rPr>
          <w:rFonts w:hint="eastAsia" w:ascii="Times New Roman" w:hAnsi="Times New Roman" w:eastAsia="仿宋_GB2312"/>
          <w:color w:val="auto"/>
          <w:sz w:val="32"/>
          <w:szCs w:val="32"/>
          <w:highlight w:val="none"/>
        </w:rPr>
        <w:t>万元，主要用于执行公务、开展业务活动开支的住宿费、用餐费等。国内公务接待</w:t>
      </w:r>
      <w:r>
        <w:rPr>
          <w:rFonts w:hint="eastAsia" w:ascii="Times New Roman" w:hAnsi="Times New Roman" w:eastAsia="仿宋_GB2312"/>
          <w:color w:val="auto"/>
          <w:sz w:val="32"/>
          <w:szCs w:val="32"/>
          <w:highlight w:val="none"/>
          <w:lang w:val="en-US" w:eastAsia="zh-CN"/>
        </w:rPr>
        <w:t>16</w:t>
      </w:r>
      <w:r>
        <w:rPr>
          <w:rFonts w:hint="eastAsia" w:ascii="Times New Roman" w:hAnsi="Times New Roman" w:eastAsia="仿宋_GB2312"/>
          <w:color w:val="auto"/>
          <w:sz w:val="32"/>
          <w:szCs w:val="32"/>
          <w:highlight w:val="none"/>
        </w:rPr>
        <w:t>批次，</w:t>
      </w:r>
      <w:r>
        <w:rPr>
          <w:rFonts w:hint="eastAsia" w:ascii="Times New Roman" w:hAnsi="Times New Roman" w:eastAsia="仿宋_GB2312"/>
          <w:color w:val="auto"/>
          <w:sz w:val="32"/>
          <w:szCs w:val="32"/>
          <w:highlight w:val="none"/>
          <w:lang w:val="en-US" w:eastAsia="zh-CN"/>
        </w:rPr>
        <w:t>207</w:t>
      </w:r>
      <w:r>
        <w:rPr>
          <w:rFonts w:hint="eastAsia" w:ascii="Times New Roman" w:hAnsi="Times New Roman" w:eastAsia="仿宋_GB2312"/>
          <w:color w:val="auto"/>
          <w:sz w:val="32"/>
          <w:szCs w:val="32"/>
          <w:highlight w:val="none"/>
        </w:rPr>
        <w:t>人次（不包括陪同人员），共计支出</w:t>
      </w:r>
      <w:r>
        <w:rPr>
          <w:rFonts w:hint="eastAsia" w:ascii="Times New Roman" w:hAnsi="Times New Roman" w:eastAsia="仿宋_GB2312"/>
          <w:color w:val="auto"/>
          <w:sz w:val="32"/>
          <w:szCs w:val="32"/>
          <w:highlight w:val="none"/>
          <w:lang w:val="en-US" w:eastAsia="zh-CN"/>
        </w:rPr>
        <w:t>1.5</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ascii="Times New Roman" w:hAnsi="Times New Roman" w:eastAsia="黑体"/>
          <w:color w:val="auto"/>
          <w:sz w:val="32"/>
          <w:szCs w:val="32"/>
          <w:highlight w:val="none"/>
        </w:rPr>
      </w:pPr>
      <w:r>
        <w:rPr>
          <w:rFonts w:hint="eastAsia" w:ascii="Times New Roman" w:hAnsi="Times New Roman" w:eastAsia="仿宋"/>
          <w:b/>
          <w:color w:val="auto"/>
          <w:sz w:val="32"/>
          <w:szCs w:val="32"/>
          <w:highlight w:val="none"/>
        </w:rPr>
        <w:t>外事接待支出</w:t>
      </w:r>
      <w:r>
        <w:rPr>
          <w:rFonts w:hint="eastAsia" w:ascii="Times New Roman" w:hAnsi="Times New Roman" w:eastAsia="仿宋"/>
          <w:b/>
          <w:color w:val="auto"/>
          <w:sz w:val="32"/>
          <w:szCs w:val="32"/>
          <w:highlight w:val="none"/>
          <w:lang w:val="en-US" w:eastAsia="zh-CN"/>
        </w:rPr>
        <w:t>0</w:t>
      </w:r>
      <w:r>
        <w:rPr>
          <w:rFonts w:hint="eastAsia" w:ascii="Times New Roman" w:hAnsi="Times New Roman" w:eastAsia="仿宋_GB2312"/>
          <w:color w:val="auto"/>
          <w:sz w:val="32"/>
          <w:szCs w:val="32"/>
          <w:highlight w:val="none"/>
        </w:rPr>
        <w:t>万元，外事接待</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批次，</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人，共计支出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万元，主要用于接待</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（具体项目）。主要用于……</w:t>
      </w:r>
      <w:bookmarkStart w:id="40" w:name="_Toc15377218"/>
      <w:bookmarkStart w:id="41" w:name="_Toc15396610"/>
    </w:p>
    <w:p>
      <w:pPr>
        <w:keepNext w:val="0"/>
        <w:keepLines w:val="0"/>
        <w:pageBreakBefore w:val="0"/>
        <w:widowControl w:val="0"/>
        <w:kinsoku/>
        <w:wordWrap/>
        <w:overflowPunct/>
        <w:topLinePunct w:val="0"/>
        <w:bidi w:val="0"/>
        <w:snapToGrid/>
        <w:spacing w:line="578" w:lineRule="exact"/>
        <w:ind w:firstLine="640"/>
        <w:textAlignment w:val="auto"/>
        <w:outlineLvl w:val="1"/>
        <w:rPr>
          <w:rStyle w:val="28"/>
          <w:rFonts w:ascii="Times New Roman" w:hAnsi="Times New Roman" w:eastAsia="黑体"/>
          <w:color w:val="auto"/>
          <w:highlight w:val="none"/>
        </w:rPr>
      </w:pPr>
      <w:r>
        <w:rPr>
          <w:rFonts w:hint="eastAsia" w:ascii="Times New Roman" w:hAnsi="Times New Roman" w:eastAsia="黑体"/>
          <w:color w:val="auto"/>
          <w:sz w:val="32"/>
          <w:szCs w:val="32"/>
          <w:highlight w:val="none"/>
        </w:rPr>
        <w:t>八、</w:t>
      </w:r>
      <w:r>
        <w:rPr>
          <w:rStyle w:val="28"/>
          <w:rFonts w:hint="eastAsia" w:ascii="Times New Roman" w:hAnsi="Times New Roman" w:eastAsia="黑体"/>
          <w:b w:val="0"/>
          <w:color w:val="auto"/>
          <w:highlight w:val="none"/>
        </w:rPr>
        <w:t>政府性基金预算支出决算情况说明</w:t>
      </w:r>
      <w:bookmarkEnd w:id="40"/>
      <w:bookmarkEnd w:id="41"/>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年政府性基金预算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p>
    <w:p>
      <w:pPr>
        <w:keepNext w:val="0"/>
        <w:keepLines w:val="0"/>
        <w:pageBreakBefore w:val="0"/>
        <w:widowControl w:val="0"/>
        <w:numPr>
          <w:ilvl w:val="0"/>
          <w:numId w:val="2"/>
        </w:numPr>
        <w:kinsoku/>
        <w:wordWrap/>
        <w:overflowPunct/>
        <w:topLinePunct w:val="0"/>
        <w:bidi w:val="0"/>
        <w:snapToGrid/>
        <w:spacing w:line="578" w:lineRule="exact"/>
        <w:ind w:firstLine="640"/>
        <w:textAlignment w:val="auto"/>
        <w:outlineLvl w:val="1"/>
        <w:rPr>
          <w:rStyle w:val="28"/>
          <w:rFonts w:ascii="Times New Roman" w:hAnsi="Times New Roman" w:eastAsia="黑体"/>
          <w:b w:val="0"/>
          <w:color w:val="auto"/>
          <w:highlight w:val="none"/>
        </w:rPr>
      </w:pPr>
      <w:bookmarkStart w:id="42" w:name="_Toc15377219"/>
      <w:bookmarkStart w:id="43" w:name="_Toc15396611"/>
      <w:r>
        <w:rPr>
          <w:rStyle w:val="28"/>
          <w:rFonts w:hint="eastAsia" w:ascii="Times New Roman" w:hAnsi="Times New Roman" w:eastAsia="黑体"/>
          <w:b w:val="0"/>
          <w:color w:val="auto"/>
          <w:highlight w:val="none"/>
        </w:rPr>
        <w:t>国有资本经营预算支出决算情况说明</w:t>
      </w:r>
      <w:bookmarkEnd w:id="42"/>
      <w:bookmarkEnd w:id="43"/>
    </w:p>
    <w:p>
      <w:pPr>
        <w:keepNext w:val="0"/>
        <w:keepLines w:val="0"/>
        <w:pageBreakBefore w:val="0"/>
        <w:widowControl w:val="0"/>
        <w:kinsoku/>
        <w:wordWrap/>
        <w:overflowPunct/>
        <w:topLinePunct w:val="0"/>
        <w:bidi w:val="0"/>
        <w:snapToGrid/>
        <w:spacing w:line="578" w:lineRule="exact"/>
        <w:ind w:firstLine="640"/>
        <w:textAlignment w:val="auto"/>
        <w:rPr>
          <w:rFonts w:ascii="Times New Roman" w:hAnsi="Times New Roman" w:eastAsia="方正小标宋简体" w:cs="方正小标宋简体"/>
          <w:color w:val="auto"/>
          <w:sz w:val="44"/>
          <w:szCs w:val="44"/>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年国有资本经营预算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p>
    <w:p>
      <w:pPr>
        <w:keepNext w:val="0"/>
        <w:keepLines w:val="0"/>
        <w:pageBreakBefore w:val="0"/>
        <w:widowControl w:val="0"/>
        <w:numPr>
          <w:ilvl w:val="0"/>
          <w:numId w:val="2"/>
        </w:numPr>
        <w:kinsoku/>
        <w:wordWrap/>
        <w:overflowPunct/>
        <w:topLinePunct w:val="0"/>
        <w:bidi w:val="0"/>
        <w:snapToGrid/>
        <w:spacing w:line="578" w:lineRule="exact"/>
        <w:ind w:firstLine="640"/>
        <w:textAlignment w:val="auto"/>
        <w:outlineLvl w:val="1"/>
        <w:rPr>
          <w:rStyle w:val="28"/>
          <w:rFonts w:hint="eastAsia" w:ascii="Times New Roman" w:hAnsi="Times New Roman" w:eastAsia="黑体"/>
          <w:b w:val="0"/>
          <w:color w:val="auto"/>
          <w:highlight w:val="none"/>
        </w:rPr>
      </w:pPr>
      <w:bookmarkStart w:id="44" w:name="_Toc15396612"/>
      <w:bookmarkStart w:id="45" w:name="_Toc15377221"/>
      <w:r>
        <w:rPr>
          <w:rStyle w:val="28"/>
          <w:rFonts w:hint="eastAsia" w:ascii="Times New Roman" w:hAnsi="Times New Roman" w:eastAsia="黑体"/>
          <w:b w:val="0"/>
          <w:color w:val="auto"/>
          <w:highlight w:val="none"/>
        </w:rPr>
        <w:t>其他重要事项的情况说明</w:t>
      </w:r>
      <w:bookmarkEnd w:id="44"/>
      <w:bookmarkEnd w:id="45"/>
    </w:p>
    <w:p>
      <w:pPr>
        <w:keepNext w:val="0"/>
        <w:keepLines w:val="0"/>
        <w:pageBreakBefore w:val="0"/>
        <w:widowControl w:val="0"/>
        <w:kinsoku/>
        <w:wordWrap/>
        <w:overflowPunct/>
        <w:topLinePunct w:val="0"/>
        <w:bidi w:val="0"/>
        <w:snapToGrid/>
        <w:spacing w:line="578" w:lineRule="exact"/>
        <w:ind w:firstLine="643" w:firstLineChars="200"/>
        <w:textAlignment w:val="auto"/>
        <w:outlineLvl w:val="2"/>
        <w:rPr>
          <w:rFonts w:ascii="Times New Roman" w:hAnsi="Times New Roman" w:eastAsia="仿宋"/>
          <w:color w:val="auto"/>
          <w:sz w:val="32"/>
          <w:szCs w:val="32"/>
          <w:highlight w:val="none"/>
        </w:rPr>
      </w:pPr>
      <w:bookmarkStart w:id="46" w:name="_Toc15377222"/>
      <w:r>
        <w:rPr>
          <w:rFonts w:hint="eastAsia" w:ascii="Times New Roman" w:hAnsi="Times New Roman" w:eastAsia="仿宋"/>
          <w:b/>
          <w:color w:val="auto"/>
          <w:sz w:val="32"/>
          <w:szCs w:val="32"/>
          <w:highlight w:val="none"/>
        </w:rPr>
        <w:t>（一）机关运行经费支出情况</w:t>
      </w:r>
      <w:bookmarkEnd w:id="46"/>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Times New Roman" w:hAnsi="Times New Roman" w:eastAsia="仿宋"/>
          <w:b/>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万源市医疗保障局</w:t>
      </w:r>
      <w:r>
        <w:rPr>
          <w:rFonts w:hint="eastAsia" w:ascii="Times New Roman" w:hAnsi="Times New Roman" w:eastAsia="仿宋_GB2312"/>
          <w:color w:val="auto"/>
          <w:sz w:val="32"/>
          <w:szCs w:val="32"/>
          <w:highlight w:val="none"/>
        </w:rPr>
        <w:t>机关运行经费支出</w:t>
      </w:r>
      <w:r>
        <w:rPr>
          <w:rFonts w:hint="eastAsia" w:ascii="Times New Roman" w:hAnsi="Times New Roman" w:eastAsia="仿宋_GB2312"/>
          <w:color w:val="auto"/>
          <w:sz w:val="32"/>
          <w:szCs w:val="32"/>
          <w:highlight w:val="none"/>
          <w:lang w:val="en-US" w:eastAsia="zh-CN"/>
        </w:rPr>
        <w:t>30.22</w:t>
      </w:r>
      <w:r>
        <w:rPr>
          <w:rFonts w:hint="eastAsia" w:ascii="Times New Roman" w:hAnsi="Times New Roman" w:eastAsia="仿宋_GB2312"/>
          <w:color w:val="auto"/>
          <w:sz w:val="32"/>
          <w:szCs w:val="32"/>
          <w:highlight w:val="none"/>
        </w:rPr>
        <w:t>万元，比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增加</w:t>
      </w:r>
      <w:r>
        <w:rPr>
          <w:rFonts w:hint="eastAsia" w:ascii="Times New Roman" w:hAnsi="Times New Roman" w:eastAsia="仿宋_GB2312"/>
          <w:color w:val="auto"/>
          <w:sz w:val="32"/>
          <w:szCs w:val="32"/>
          <w:highlight w:val="none"/>
          <w:lang w:val="en-US" w:eastAsia="zh-CN"/>
        </w:rPr>
        <w:t>3.72</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增长</w:t>
      </w:r>
      <w:r>
        <w:rPr>
          <w:rFonts w:hint="eastAsia" w:ascii="Times New Roman" w:hAnsi="Times New Roman" w:eastAsia="仿宋_GB2312"/>
          <w:color w:val="auto"/>
          <w:sz w:val="32"/>
          <w:szCs w:val="32"/>
          <w:highlight w:val="none"/>
          <w:lang w:val="en-US" w:eastAsia="zh-CN"/>
        </w:rPr>
        <w:t>21</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。主要原因是</w:t>
      </w:r>
      <w:r>
        <w:rPr>
          <w:rFonts w:hint="eastAsia" w:ascii="Times New Roman" w:hAnsi="Times New Roman" w:eastAsia="仿宋_GB2312"/>
          <w:color w:val="auto"/>
          <w:sz w:val="32"/>
          <w:szCs w:val="32"/>
          <w:highlight w:val="none"/>
          <w:lang w:eastAsia="zh-CN"/>
        </w:rPr>
        <w:t>编内人员增加，预算增加。</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3" w:firstLineChars="200"/>
        <w:jc w:val="left"/>
        <w:textAlignment w:val="auto"/>
        <w:outlineLvl w:val="2"/>
        <w:rPr>
          <w:rFonts w:ascii="Times New Roman" w:hAnsi="Times New Roman" w:eastAsia="仿宋"/>
          <w:b/>
          <w:color w:val="auto"/>
          <w:sz w:val="32"/>
          <w:szCs w:val="32"/>
          <w:highlight w:val="none"/>
        </w:rPr>
      </w:pPr>
      <w:bookmarkStart w:id="47" w:name="_Toc15377223"/>
      <w:r>
        <w:rPr>
          <w:rFonts w:hint="eastAsia" w:ascii="Times New Roman" w:hAnsi="Times New Roman" w:eastAsia="仿宋"/>
          <w:b/>
          <w:color w:val="auto"/>
          <w:sz w:val="32"/>
          <w:szCs w:val="32"/>
          <w:highlight w:val="none"/>
        </w:rPr>
        <w:t>（二）政府采购支出情况</w:t>
      </w:r>
      <w:bookmarkEnd w:id="47"/>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Times New Roman" w:hAnsi="Times New Roman" w:eastAsia="仿宋"/>
          <w:b/>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万源市医疗保障局</w:t>
      </w:r>
      <w:r>
        <w:rPr>
          <w:rFonts w:hint="eastAsia" w:ascii="Times New Roman" w:hAnsi="Times New Roman" w:eastAsia="仿宋_GB2312"/>
          <w:color w:val="auto"/>
          <w:sz w:val="32"/>
          <w:szCs w:val="32"/>
          <w:highlight w:val="none"/>
        </w:rPr>
        <w:t>政府采购支出总额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万元，其中：政府采购货物支出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万元、政府采购工程支出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万元、政府采购服务支出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万元。主要用于</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（具体工作）。授予中小企业合同金额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万元，占政府采购支出总额的</w:t>
      </w:r>
      <w:r>
        <w:rPr>
          <w:rFonts w:hint="eastAsia" w:ascii="Times New Roman" w:hAnsi="Times New Roman" w:eastAsia="仿宋_GB2312"/>
          <w:color w:val="auto"/>
          <w:sz w:val="32"/>
          <w:szCs w:val="32"/>
          <w:highlight w:val="none"/>
          <w:lang w:val="en-US" w:eastAsia="zh-CN"/>
        </w:rPr>
        <w:t>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，其中：授予小微企业合同金额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万元，占政府采购支出总额的</w:t>
      </w:r>
      <w:r>
        <w:rPr>
          <w:rFonts w:hint="eastAsia" w:ascii="Times New Roman" w:hAnsi="Times New Roman" w:eastAsia="仿宋_GB2312"/>
          <w:color w:val="auto"/>
          <w:sz w:val="32"/>
          <w:szCs w:val="32"/>
          <w:highlight w:val="none"/>
          <w:lang w:val="en-US" w:eastAsia="zh-CN"/>
        </w:rPr>
        <w:t>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3" w:firstLineChars="200"/>
        <w:jc w:val="left"/>
        <w:textAlignment w:val="auto"/>
        <w:outlineLvl w:val="2"/>
        <w:rPr>
          <w:rFonts w:ascii="Times New Roman" w:hAnsi="Times New Roman" w:eastAsia="仿宋"/>
          <w:b/>
          <w:color w:val="auto"/>
          <w:sz w:val="32"/>
          <w:szCs w:val="32"/>
          <w:highlight w:val="none"/>
        </w:rPr>
      </w:pPr>
      <w:bookmarkStart w:id="48" w:name="_Toc15377224"/>
      <w:r>
        <w:rPr>
          <w:rFonts w:hint="eastAsia" w:ascii="Times New Roman" w:hAnsi="Times New Roman" w:eastAsia="仿宋"/>
          <w:b/>
          <w:color w:val="auto"/>
          <w:sz w:val="32"/>
          <w:szCs w:val="32"/>
          <w:highlight w:val="none"/>
        </w:rPr>
        <w:t>（三）国有资产占有使用情况</w:t>
      </w:r>
      <w:bookmarkEnd w:id="48"/>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Times New Roman" w:hAnsi="Times New Roman" w:eastAsia="仿宋"/>
          <w:b/>
          <w:color w:val="auto"/>
          <w:sz w:val="32"/>
          <w:szCs w:val="32"/>
          <w:highlight w:val="none"/>
        </w:rPr>
      </w:pPr>
      <w:r>
        <w:rPr>
          <w:rFonts w:hint="eastAsia" w:ascii="Times New Roman" w:hAnsi="Times New Roman" w:eastAsia="仿宋_GB2312"/>
          <w:color w:val="auto"/>
          <w:sz w:val="32"/>
          <w:szCs w:val="32"/>
          <w:highlight w:val="none"/>
        </w:rPr>
        <w:t>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Times New Roman" w:hAnsi="Times New Roman" w:eastAsia="仿宋_GB2312"/>
          <w:color w:val="auto"/>
          <w:sz w:val="32"/>
          <w:szCs w:val="32"/>
          <w:highlight w:val="none"/>
        </w:rPr>
        <w:t>月</w:t>
      </w:r>
      <w:r>
        <w:rPr>
          <w:rFonts w:ascii="Times New Roman" w:hAnsi="Times New Roman" w:eastAsia="仿宋_GB2312"/>
          <w:color w:val="auto"/>
          <w:sz w:val="32"/>
          <w:szCs w:val="32"/>
          <w:highlight w:val="none"/>
        </w:rPr>
        <w:t>31</w:t>
      </w:r>
      <w:r>
        <w:rPr>
          <w:rFonts w:hint="eastAsia"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highlight w:val="none"/>
          <w:lang w:eastAsia="zh-CN"/>
        </w:rPr>
        <w:t>万源市医疗保障局</w:t>
      </w:r>
      <w:r>
        <w:rPr>
          <w:rFonts w:hint="eastAsia" w:ascii="Times New Roman" w:hAnsi="Times New Roman" w:eastAsia="仿宋_GB2312"/>
          <w:color w:val="auto"/>
          <w:sz w:val="32"/>
          <w:szCs w:val="32"/>
          <w:highlight w:val="none"/>
        </w:rPr>
        <w:t>共有车辆</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辆，其中：主要领导干部用车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辆、机要通信用车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辆、应急保障用车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辆、其他用车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辆……其他用车主要是用于……单价</w:t>
      </w:r>
      <w:r>
        <w:rPr>
          <w:rFonts w:ascii="Times New Roman" w:hAnsi="Times New Roman" w:eastAsia="仿宋_GB2312"/>
          <w:color w:val="auto"/>
          <w:sz w:val="32"/>
          <w:szCs w:val="32"/>
          <w:highlight w:val="none"/>
        </w:rPr>
        <w:t>50</w:t>
      </w:r>
      <w:r>
        <w:rPr>
          <w:rFonts w:hint="eastAsia" w:ascii="Times New Roman" w:hAnsi="Times New Roman" w:eastAsia="仿宋_GB2312"/>
          <w:color w:val="auto"/>
          <w:sz w:val="32"/>
          <w:szCs w:val="32"/>
          <w:highlight w:val="none"/>
        </w:rPr>
        <w:t>万元以上通用设备</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台（套），单价</w:t>
      </w:r>
      <w:r>
        <w:rPr>
          <w:rFonts w:ascii="Times New Roman" w:hAnsi="Times New Roman" w:eastAsia="仿宋_GB2312"/>
          <w:color w:val="auto"/>
          <w:sz w:val="32"/>
          <w:szCs w:val="32"/>
          <w:highlight w:val="none"/>
        </w:rPr>
        <w:t>100</w:t>
      </w:r>
      <w:r>
        <w:rPr>
          <w:rFonts w:hint="eastAsia" w:ascii="Times New Roman" w:hAnsi="Times New Roman" w:eastAsia="仿宋_GB2312"/>
          <w:color w:val="auto"/>
          <w:sz w:val="32"/>
          <w:szCs w:val="32"/>
          <w:highlight w:val="none"/>
        </w:rPr>
        <w:t>万元以上专用设备</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台（套）。</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3" w:firstLineChars="200"/>
        <w:jc w:val="left"/>
        <w:textAlignment w:val="auto"/>
        <w:outlineLvl w:val="2"/>
        <w:rPr>
          <w:rFonts w:hint="eastAsia" w:ascii="Times New Roman" w:hAnsi="Times New Roman" w:eastAsia="仿宋"/>
          <w:b/>
          <w:color w:val="auto"/>
          <w:sz w:val="32"/>
          <w:szCs w:val="32"/>
          <w:highlight w:val="none"/>
          <w:lang w:eastAsia="zh-CN"/>
        </w:rPr>
      </w:pPr>
      <w:r>
        <w:rPr>
          <w:rFonts w:hint="eastAsia" w:ascii="Times New Roman" w:hAnsi="Times New Roman" w:eastAsia="仿宋"/>
          <w:b/>
          <w:color w:val="auto"/>
          <w:sz w:val="32"/>
          <w:szCs w:val="32"/>
          <w:highlight w:val="none"/>
        </w:rPr>
        <w:t>（四）预算绩效管理情况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根据预算绩效管理要求，本单位在</w:t>
      </w:r>
      <w:r>
        <w:rPr>
          <w:rFonts w:hint="eastAsia" w:ascii="Times New Roman" w:hAnsi="Times New Roman" w:eastAsia="仿宋_GB2312" w:cs="仿宋_GB2312"/>
          <w:color w:val="auto"/>
          <w:sz w:val="32"/>
          <w:szCs w:val="32"/>
          <w:highlight w:val="none"/>
          <w:lang w:val="en-US" w:eastAsia="zh-CN"/>
        </w:rPr>
        <w:t>2021年度</w:t>
      </w:r>
      <w:r>
        <w:rPr>
          <w:rFonts w:hint="eastAsia" w:ascii="Times New Roman" w:hAnsi="Times New Roman" w:eastAsia="仿宋_GB2312" w:cs="仿宋_GB2312"/>
          <w:color w:val="auto"/>
          <w:sz w:val="32"/>
          <w:szCs w:val="32"/>
          <w:highlight w:val="none"/>
        </w:rPr>
        <w:t>预算编制阶段，组织对</w:t>
      </w:r>
      <w:r>
        <w:rPr>
          <w:rFonts w:hint="eastAsia" w:ascii="Times New Roman" w:hAnsi="Times New Roman" w:eastAsia="仿宋_GB2312" w:cs="仿宋_GB2312"/>
          <w:color w:val="auto"/>
          <w:sz w:val="32"/>
          <w:szCs w:val="32"/>
          <w:highlight w:val="none"/>
          <w:lang w:eastAsia="zh-CN"/>
        </w:rPr>
        <w:t>整体预算</w:t>
      </w:r>
      <w:r>
        <w:rPr>
          <w:rFonts w:hint="eastAsia" w:ascii="Times New Roman" w:hAnsi="Times New Roman" w:eastAsia="仿宋_GB2312" w:cs="仿宋_GB2312"/>
          <w:color w:val="auto"/>
          <w:sz w:val="32"/>
          <w:szCs w:val="32"/>
          <w:highlight w:val="none"/>
        </w:rPr>
        <w:t>项目</w:t>
      </w:r>
      <w:r>
        <w:rPr>
          <w:rFonts w:hint="eastAsia" w:ascii="Times New Roman" w:hAnsi="Times New Roman" w:eastAsia="仿宋_GB2312" w:cs="仿宋_GB2312"/>
          <w:color w:val="auto"/>
          <w:sz w:val="32"/>
          <w:szCs w:val="32"/>
          <w:highlight w:val="none"/>
          <w:lang w:eastAsia="zh-CN"/>
        </w:rPr>
        <w:t>等</w:t>
      </w:r>
      <w:r>
        <w:rPr>
          <w:rFonts w:hint="eastAsia" w:ascii="Times New Roman" w:hAnsi="Times New Roman" w:eastAsia="仿宋_GB2312" w:cs="仿宋_GB2312"/>
          <w:color w:val="auto"/>
          <w:sz w:val="32"/>
          <w:szCs w:val="32"/>
          <w:highlight w:val="none"/>
          <w:lang w:val="en-US" w:eastAsia="zh-CN"/>
        </w:rPr>
        <w:t>2个项目</w:t>
      </w:r>
      <w:r>
        <w:rPr>
          <w:rFonts w:hint="eastAsia" w:ascii="Times New Roman" w:hAnsi="Times New Roman" w:eastAsia="仿宋_GB2312" w:cs="仿宋_GB2312"/>
          <w:color w:val="auto"/>
          <w:sz w:val="32"/>
          <w:szCs w:val="32"/>
          <w:highlight w:val="none"/>
        </w:rPr>
        <w:t>开展了预算事前绩效评估，对</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个项目编制了绩效目标，预算执行过程中，选取</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个项目开展绩效监控，年终执行完毕后，对</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个项目开展了绩效自评</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2021年特定目标类部门预算项目绩效目标自评表见附件（第四部分）</w:t>
      </w:r>
      <w:r>
        <w:rPr>
          <w:rFonts w:hint="eastAsia" w:ascii="Times New Roman" w:hAnsi="Times New Roman" w:eastAsia="仿宋_GB2312" w:cs="仿宋_GB2312"/>
          <w:color w:val="auto"/>
          <w:sz w:val="32"/>
          <w:szCs w:val="32"/>
          <w:highlight w:val="none"/>
        </w:rPr>
        <w:t>。</w:t>
      </w:r>
    </w:p>
    <w:p>
      <w:pPr>
        <w:pStyle w:val="2"/>
        <w:rPr>
          <w:rFonts w:hint="eastAsia" w:ascii="Times New Roman" w:hAnsi="Times New Roman"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lang w:eastAsia="zh-CN"/>
        </w:rPr>
      </w:pPr>
    </w:p>
    <w:p>
      <w:pPr>
        <w:widowControl/>
        <w:jc w:val="center"/>
        <w:rPr>
          <w:rStyle w:val="27"/>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lang w:eastAsia="zh-CN"/>
        </w:rPr>
        <w:t>第三部份</w:t>
      </w:r>
      <w:r>
        <w:rPr>
          <w:rFonts w:hint="eastAsia" w:ascii="黑体" w:hAnsi="黑体" w:eastAsia="黑体"/>
          <w:color w:val="auto"/>
          <w:sz w:val="44"/>
          <w:szCs w:val="44"/>
          <w:highlight w:val="none"/>
          <w:lang w:val="en-US" w:eastAsia="zh-CN"/>
        </w:rPr>
        <w:t xml:space="preserve">  </w:t>
      </w:r>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ind w:firstLine="640" w:firstLineChars="200"/>
        <w:rPr>
          <w:rFonts w:ascii="仿宋_GB2312" w:eastAsia="仿宋_GB2312"/>
          <w:b w:val="0"/>
          <w:bCs w:val="0"/>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Style w:val="16"/>
          <w:rFonts w:hint="eastAsia" w:ascii="仿宋" w:hAnsi="仿宋" w:eastAsia="仿宋"/>
          <w:bCs/>
          <w:color w:val="auto"/>
          <w:sz w:val="32"/>
          <w:szCs w:val="32"/>
          <w:highlight w:val="none"/>
          <w:lang w:val="en-US" w:eastAsia="zh-CN"/>
        </w:rPr>
        <w:t>1</w:t>
      </w:r>
      <w:r>
        <w:rPr>
          <w:rStyle w:val="16"/>
          <w:rFonts w:ascii="仿宋" w:hAnsi="仿宋" w:eastAsia="仿宋"/>
          <w:bCs/>
          <w:color w:val="auto"/>
          <w:sz w:val="32"/>
          <w:szCs w:val="32"/>
          <w:highlight w:val="none"/>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eastAsia="zh-CN"/>
        </w:rPr>
        <w:t>人力资源和社会保障管理事务</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社会保险经办机构</w:t>
      </w:r>
      <w:r>
        <w:rPr>
          <w:rStyle w:val="16"/>
          <w:rFonts w:hint="eastAsia" w:ascii="仿宋" w:hAnsi="仿宋" w:eastAsia="仿宋"/>
          <w:bCs/>
          <w:color w:val="000000"/>
          <w:sz w:val="32"/>
          <w:szCs w:val="32"/>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lang w:eastAsia="zh-CN"/>
        </w:rPr>
        <w:t>指特殊群体医疗费和公务员医疗补助</w:t>
      </w:r>
      <w:r>
        <w:rPr>
          <w:rStyle w:val="16"/>
          <w:rFonts w:hint="eastAsia" w:ascii="仿宋" w:hAnsi="仿宋" w:eastAsia="仿宋"/>
          <w:b w:val="0"/>
          <w:bCs/>
          <w:color w:val="auto"/>
          <w:sz w:val="32"/>
          <w:szCs w:val="32"/>
          <w:highlight w:val="none"/>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eastAsia="zh-CN"/>
        </w:rPr>
        <w:t>行政事业单位养老支出（款）机关事业单位基本养老保险缴费支出（项），</w:t>
      </w:r>
      <w:r>
        <w:rPr>
          <w:rStyle w:val="16"/>
          <w:rFonts w:hint="eastAsia" w:ascii="仿宋" w:hAnsi="仿宋" w:eastAsia="仿宋"/>
          <w:b w:val="0"/>
          <w:bCs w:val="0"/>
          <w:color w:val="000000"/>
          <w:sz w:val="32"/>
          <w:szCs w:val="32"/>
          <w:lang w:eastAsia="zh-CN"/>
        </w:rPr>
        <w:t>指单位职工养老保险。</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行政事业单位医疗（款</w:t>
      </w:r>
      <w:r>
        <w:rPr>
          <w:rStyle w:val="16"/>
          <w:rFonts w:hint="eastAsia" w:ascii="仿宋" w:hAnsi="仿宋" w:eastAsia="仿宋"/>
          <w:bCs/>
          <w:color w:val="000000"/>
          <w:sz w:val="32"/>
          <w:szCs w:val="32"/>
          <w:lang w:val="en-US" w:eastAsia="zh-CN"/>
        </w:rPr>
        <w:t>）行政单位医疗、事业单位医疗（项）</w:t>
      </w:r>
      <w:r>
        <w:rPr>
          <w:rStyle w:val="16"/>
          <w:rFonts w:ascii="仿宋" w:hAnsi="仿宋" w:eastAsia="仿宋"/>
          <w:bCs/>
          <w:color w:val="000000"/>
          <w:sz w:val="32"/>
          <w:szCs w:val="32"/>
        </w:rPr>
        <w:t>:</w:t>
      </w:r>
      <w:r>
        <w:rPr>
          <w:rStyle w:val="16"/>
          <w:rFonts w:hint="eastAsia" w:ascii="仿宋" w:hAnsi="仿宋" w:eastAsia="仿宋"/>
          <w:b w:val="0"/>
          <w:bCs w:val="0"/>
          <w:color w:val="000000"/>
          <w:sz w:val="32"/>
          <w:szCs w:val="32"/>
          <w:lang w:eastAsia="zh-CN"/>
        </w:rPr>
        <w:t>指单位职工医疗保险费</w:t>
      </w:r>
      <w:r>
        <w:rPr>
          <w:rStyle w:val="16"/>
          <w:rFonts w:hint="eastAsia" w:ascii="仿宋" w:hAnsi="仿宋" w:eastAsia="仿宋"/>
          <w:b w:val="0"/>
          <w:bCs/>
          <w:color w:val="auto"/>
          <w:sz w:val="32"/>
          <w:szCs w:val="32"/>
          <w:highlight w:val="none"/>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医疗保障管理事务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行政运行（项）：</w:t>
      </w:r>
      <w:r>
        <w:rPr>
          <w:rStyle w:val="16"/>
          <w:rFonts w:hint="eastAsia" w:ascii="仿宋" w:hAnsi="仿宋" w:eastAsia="仿宋"/>
          <w:b w:val="0"/>
          <w:bCs w:val="0"/>
          <w:color w:val="000000"/>
          <w:sz w:val="32"/>
          <w:szCs w:val="32"/>
          <w:lang w:eastAsia="zh-CN"/>
        </w:rPr>
        <w:t>指人员经费和公用经费</w:t>
      </w:r>
      <w:r>
        <w:rPr>
          <w:rStyle w:val="16"/>
          <w:rFonts w:hint="eastAsia" w:ascii="仿宋" w:hAnsi="仿宋" w:eastAsia="仿宋"/>
          <w:b w:val="0"/>
          <w:bCs/>
          <w:color w:val="auto"/>
          <w:sz w:val="32"/>
          <w:szCs w:val="32"/>
          <w:highlight w:val="none"/>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医疗保障事务（款）其他医疗保障事务支出（项），</w:t>
      </w:r>
      <w:r>
        <w:rPr>
          <w:rStyle w:val="16"/>
          <w:rFonts w:hint="eastAsia" w:ascii="仿宋" w:hAnsi="仿宋" w:eastAsia="仿宋"/>
          <w:b w:val="0"/>
          <w:bCs w:val="0"/>
          <w:color w:val="000000"/>
          <w:sz w:val="32"/>
          <w:szCs w:val="32"/>
          <w:lang w:eastAsia="zh-CN"/>
        </w:rPr>
        <w:t>指医疗服务与保障能务提升费用。</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 w:hAnsi="仿宋" w:eastAsia="仿宋"/>
          <w:b/>
          <w:color w:val="auto"/>
          <w:sz w:val="32"/>
          <w:szCs w:val="32"/>
          <w:lang w:val="en-US" w:eastAsia="zh-CN"/>
        </w:rPr>
        <w:t>住房保障支出（类）住房改革支出（款）住房公积金（项），</w:t>
      </w:r>
      <w:r>
        <w:rPr>
          <w:rFonts w:hint="eastAsia" w:ascii="仿宋" w:hAnsi="仿宋" w:eastAsia="仿宋"/>
          <w:b w:val="0"/>
          <w:bCs/>
          <w:color w:val="auto"/>
          <w:sz w:val="32"/>
          <w:szCs w:val="32"/>
          <w:lang w:val="en-US" w:eastAsia="zh-CN"/>
        </w:rPr>
        <w:t>指职工住房公积金</w:t>
      </w:r>
      <w:r>
        <w:rPr>
          <w:rFonts w:hint="eastAsia" w:ascii="仿宋" w:hAnsi="仿宋" w:eastAsia="仿宋"/>
          <w:b/>
          <w:color w:val="auto"/>
          <w:sz w:val="32"/>
          <w:szCs w:val="32"/>
          <w:lang w:val="en-US"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3" w:firstLineChars="200"/>
        <w:rPr>
          <w:rFonts w:ascii="仿宋" w:hAnsi="仿宋" w:eastAsia="仿宋"/>
          <w:b/>
          <w:color w:val="auto"/>
          <w:sz w:val="32"/>
          <w:szCs w:val="32"/>
          <w:highlight w:val="none"/>
        </w:rPr>
      </w:pPr>
    </w:p>
    <w:p>
      <w:pPr>
        <w:spacing w:line="600" w:lineRule="exact"/>
        <w:jc w:val="center"/>
        <w:outlineLvl w:val="0"/>
        <w:rPr>
          <w:rStyle w:val="27"/>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p>
    <w:p>
      <w:pPr>
        <w:spacing w:line="600" w:lineRule="exact"/>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 xml:space="preserve">1 </w:t>
      </w:r>
    </w:p>
    <w:p>
      <w:pPr>
        <w:spacing w:line="600" w:lineRule="exact"/>
        <w:jc w:val="center"/>
        <w:rPr>
          <w:rFonts w:hint="eastAsia" w:ascii="方正小标宋简体" w:hAnsi="宋体" w:eastAsia="方正小标宋简体"/>
          <w:color w:val="000000"/>
          <w:kern w:val="0"/>
          <w:sz w:val="40"/>
          <w:szCs w:val="44"/>
          <w:lang w:eastAsia="zh-CN"/>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万源市医疗保障局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lang w:val="en-US" w:eastAsia="zh-CN"/>
        </w:rPr>
        <w:t>1</w:t>
      </w:r>
      <w:r>
        <w:rPr>
          <w:rFonts w:hint="eastAsia" w:ascii="方正小标宋简体" w:hAnsi="宋体" w:eastAsia="方正小标宋简体"/>
          <w:color w:val="000000"/>
          <w:kern w:val="0"/>
          <w:sz w:val="40"/>
          <w:szCs w:val="44"/>
        </w:rPr>
        <w:t>年</w:t>
      </w:r>
      <w:r>
        <w:rPr>
          <w:rFonts w:hint="eastAsia" w:ascii="方正小标宋简体" w:hAnsi="宋体" w:eastAsia="方正小标宋简体"/>
          <w:color w:val="000000"/>
          <w:kern w:val="0"/>
          <w:sz w:val="40"/>
          <w:szCs w:val="44"/>
          <w:lang w:val="en-US" w:eastAsia="zh-CN"/>
        </w:rPr>
        <w:t>部门</w:t>
      </w:r>
      <w:r>
        <w:rPr>
          <w:rFonts w:hint="eastAsia" w:ascii="方正小标宋简体" w:hAnsi="宋体" w:eastAsia="方正小标宋简体"/>
          <w:color w:val="000000"/>
          <w:kern w:val="0"/>
          <w:sz w:val="40"/>
          <w:szCs w:val="44"/>
          <w:lang w:val="zh-CN"/>
        </w:rPr>
        <w:t>整体支出绩效评价报告</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contextualSpacing/>
        <w:jc w:val="left"/>
        <w:textAlignment w:val="auto"/>
        <w:rPr>
          <w:rFonts w:hint="eastAsia" w:ascii="宋体" w:hAnsi="宋体" w:eastAsia="宋体" w:cs="宋体"/>
          <w:b/>
          <w:bCs/>
          <w:color w:val="000000"/>
          <w:kern w:val="0"/>
          <w:sz w:val="30"/>
          <w:szCs w:val="30"/>
          <w:shd w:val="clear" w:color="auto" w:fill="FFFFFF"/>
        </w:rPr>
      </w:pP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contextualSpacing/>
        <w:jc w:val="left"/>
        <w:textAlignment w:val="auto"/>
        <w:rPr>
          <w:rFonts w:hint="eastAsia" w:ascii="宋体" w:hAnsi="宋体" w:eastAsia="宋体" w:cs="宋体"/>
          <w:b/>
          <w:bCs/>
          <w:color w:val="000000"/>
          <w:kern w:val="0"/>
          <w:sz w:val="30"/>
          <w:szCs w:val="30"/>
          <w:shd w:val="clear" w:color="auto" w:fill="FFFFFF"/>
          <w:lang w:val="zh-CN"/>
        </w:rPr>
      </w:pPr>
      <w:r>
        <w:rPr>
          <w:rFonts w:hint="eastAsia" w:ascii="宋体" w:hAnsi="宋体" w:eastAsia="宋体" w:cs="宋体"/>
          <w:b/>
          <w:bCs/>
          <w:color w:val="000000"/>
          <w:kern w:val="0"/>
          <w:sz w:val="30"/>
          <w:szCs w:val="30"/>
          <w:shd w:val="clear" w:color="auto" w:fill="FFFFFF"/>
        </w:rPr>
        <w:t>一、</w:t>
      </w:r>
      <w:r>
        <w:rPr>
          <w:rFonts w:hint="eastAsia" w:ascii="宋体" w:hAnsi="宋体" w:eastAsia="宋体" w:cs="宋体"/>
          <w:b/>
          <w:bCs/>
          <w:color w:val="000000"/>
          <w:kern w:val="0"/>
          <w:sz w:val="30"/>
          <w:szCs w:val="30"/>
          <w:shd w:val="clear" w:color="auto" w:fill="FFFFFF"/>
          <w:lang w:val="zh-CN"/>
        </w:rPr>
        <w:t>部门（单位）概况</w:t>
      </w:r>
    </w:p>
    <w:p>
      <w:pPr>
        <w:pStyle w:val="11"/>
        <w:keepNext w:val="0"/>
        <w:keepLines w:val="0"/>
        <w:pageBreakBefore w:val="0"/>
        <w:numPr>
          <w:ilvl w:val="0"/>
          <w:numId w:val="0"/>
        </w:numPr>
        <w:kinsoku/>
        <w:wordWrap/>
        <w:overflowPunct/>
        <w:topLinePunct w:val="0"/>
        <w:autoSpaceDE/>
        <w:autoSpaceDN/>
        <w:bidi w:val="0"/>
        <w:spacing w:beforeAutospacing="0" w:after="0" w:afterAutospacing="0" w:line="578" w:lineRule="exact"/>
        <w:ind w:firstLine="600" w:firstLineChars="200"/>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（一）机构组成。</w:t>
      </w:r>
    </w:p>
    <w:p>
      <w:pPr>
        <w:pStyle w:val="11"/>
        <w:keepNext w:val="0"/>
        <w:keepLines w:val="0"/>
        <w:pageBreakBefore w:val="0"/>
        <w:numPr>
          <w:ilvl w:val="0"/>
          <w:numId w:val="0"/>
        </w:numPr>
        <w:kinsoku/>
        <w:wordWrap/>
        <w:overflowPunct/>
        <w:topLinePunct w:val="0"/>
        <w:autoSpaceDE/>
        <w:autoSpaceDN/>
        <w:bidi w:val="0"/>
        <w:spacing w:beforeAutospacing="0" w:after="0" w:afterAutospacing="0" w:line="578"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万源市</w:t>
      </w:r>
      <w:r>
        <w:rPr>
          <w:rFonts w:hint="eastAsia" w:ascii="仿宋" w:hAnsi="仿宋" w:eastAsia="仿宋" w:cs="仿宋"/>
          <w:b w:val="0"/>
          <w:bCs w:val="0"/>
          <w:sz w:val="30"/>
          <w:szCs w:val="30"/>
          <w:lang w:eastAsia="zh-CN"/>
        </w:rPr>
        <w:t>医疗保障局为正科级全额拨款行政单位，内</w:t>
      </w:r>
      <w:r>
        <w:rPr>
          <w:rFonts w:hint="eastAsia" w:ascii="仿宋" w:hAnsi="仿宋" w:eastAsia="仿宋" w:cs="仿宋"/>
          <w:b w:val="0"/>
          <w:bCs w:val="0"/>
          <w:sz w:val="30"/>
          <w:szCs w:val="30"/>
        </w:rPr>
        <w:t>设</w:t>
      </w:r>
      <w:r>
        <w:rPr>
          <w:rFonts w:hint="eastAsia" w:ascii="仿宋" w:hAnsi="仿宋" w:eastAsia="仿宋" w:cs="仿宋"/>
          <w:b w:val="0"/>
          <w:bCs w:val="0"/>
          <w:sz w:val="30"/>
          <w:szCs w:val="30"/>
          <w:lang w:eastAsia="zh-CN"/>
        </w:rPr>
        <w:t>有</w:t>
      </w:r>
      <w:r>
        <w:rPr>
          <w:rFonts w:hint="eastAsia" w:ascii="仿宋" w:hAnsi="仿宋" w:eastAsia="仿宋" w:cs="仿宋"/>
          <w:b w:val="0"/>
          <w:bCs w:val="0"/>
          <w:sz w:val="30"/>
          <w:szCs w:val="30"/>
        </w:rPr>
        <w:t>办公室</w:t>
      </w:r>
      <w:r>
        <w:rPr>
          <w:rFonts w:hint="eastAsia" w:ascii="仿宋" w:hAnsi="仿宋" w:eastAsia="仿宋" w:cs="仿宋"/>
          <w:b w:val="0"/>
          <w:bCs w:val="0"/>
          <w:sz w:val="30"/>
          <w:szCs w:val="30"/>
          <w:lang w:eastAsia="zh-CN"/>
        </w:rPr>
        <w:t>（党建办）</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待遇保障股</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医药服务管理股</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基金监管股</w:t>
      </w:r>
      <w:r>
        <w:rPr>
          <w:rFonts w:hint="eastAsia" w:ascii="仿宋" w:hAnsi="仿宋" w:eastAsia="仿宋" w:cs="仿宋"/>
          <w:b w:val="0"/>
          <w:bCs w:val="0"/>
          <w:sz w:val="30"/>
          <w:szCs w:val="30"/>
          <w:lang w:val="en-US" w:eastAsia="zh-CN"/>
        </w:rPr>
        <w:t>4个职能股</w:t>
      </w:r>
      <w:r>
        <w:rPr>
          <w:rFonts w:hint="eastAsia" w:ascii="仿宋" w:hAnsi="仿宋" w:eastAsia="仿宋" w:cs="仿宋"/>
          <w:b w:val="0"/>
          <w:bCs w:val="0"/>
          <w:sz w:val="30"/>
          <w:szCs w:val="30"/>
        </w:rPr>
        <w:t>室</w:t>
      </w:r>
      <w:r>
        <w:rPr>
          <w:rFonts w:hint="eastAsia" w:ascii="仿宋" w:hAnsi="仿宋" w:eastAsia="仿宋" w:cs="仿宋"/>
          <w:b w:val="0"/>
          <w:bCs w:val="0"/>
          <w:sz w:val="30"/>
          <w:szCs w:val="30"/>
          <w:lang w:val="en-US" w:eastAsia="zh-CN"/>
        </w:rPr>
        <w:t>,</w:t>
      </w:r>
      <w:r>
        <w:rPr>
          <w:rFonts w:hint="eastAsia" w:ascii="仿宋" w:hAnsi="仿宋" w:eastAsia="仿宋" w:cs="仿宋"/>
          <w:b w:val="0"/>
          <w:bCs w:val="0"/>
          <w:sz w:val="30"/>
          <w:szCs w:val="30"/>
        </w:rPr>
        <w:t>下属参照公务员法管理事业单位</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个</w:t>
      </w:r>
      <w:r>
        <w:rPr>
          <w:rFonts w:hint="eastAsia" w:ascii="仿宋" w:hAnsi="仿宋" w:eastAsia="仿宋" w:cs="仿宋"/>
          <w:b w:val="0"/>
          <w:bCs w:val="0"/>
          <w:sz w:val="30"/>
          <w:szCs w:val="30"/>
          <w:lang w:eastAsia="zh-CN"/>
        </w:rPr>
        <w:t>（万源市医疗保障事务中心）</w:t>
      </w:r>
      <w:r>
        <w:rPr>
          <w:rFonts w:hint="eastAsia" w:ascii="仿宋" w:hAnsi="仿宋" w:eastAsia="仿宋" w:cs="仿宋"/>
          <w:b w:val="0"/>
          <w:bCs w:val="0"/>
          <w:sz w:val="30"/>
          <w:szCs w:val="30"/>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（二）机构职能。</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）贯彻执行国家、省、达州市关于医疗保障工作的法律法规。组织起草医疗保险、生育保险、医疗救助等医疗保障的规范性文件，拟订全市医疗保障事业发展规划、政策和标准，并组织实施和监督检查。</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）组织拟订并实施医疗保障基金监督管理制度，建立健全医疗保障基金安全防控机制，实施基金审批管理工作，负责全市医疗保障基金运行监管。</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）组织拟订并实施医疗保障筹资和待遇政策，统筹城乡医疗保障待遇标准，建立健全与筹资水平相适应的待遇动态调整机制。组织拟订并实施长期护理保险制度改革方案。</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）按照省、达州市医疗保障目录，组织拟订全市城乡统一的医疗服务项目、医疗服务设施等支付标准，建立动态调整机制并组织实施。</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组织拟订药品、通用耗材价格和医疗服务项目、医疗服务设施收费等政策，建立医保支付医疗服务价格合理确定和动态调整机制，推动建立市场主导的社会医疗服务价格形成机制，建立价格信息监测和信息发布制度。</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）负责国家和省、达州市药品、医用耗材招标采购政策的实施工作，参与药品、医用耗材招标采购平台建设。</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推进医疗保障基金支付方式改革，拟订全市定点医药机构协议和支付管理办法并组织实施，负责全市医疗保障定点机构的管理。建立健全医疗保障信用评价体系和信息披露制度，监督管理纳入医疗保障范围内的医疗服务行为和医疗费用，依法查处医疗保障领域违法违规行为。</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）负责全市医疗保障经办管理和公共服务体系建设。组织拟订和完善异地就医管理等政策。建立健全医疗保障关系转移接续制度。监督管理全市医保经办服务工作。开展医疗保障领域对外合作交流。</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9</w:t>
      </w:r>
      <w:r>
        <w:rPr>
          <w:rFonts w:hint="eastAsia" w:ascii="仿宋" w:hAnsi="仿宋" w:eastAsia="仿宋" w:cs="仿宋"/>
          <w:sz w:val="30"/>
          <w:szCs w:val="30"/>
          <w:lang w:eastAsia="zh-CN"/>
        </w:rPr>
        <w:t>）负责规划实施全市医疗保障信息化系统建设。组织开展医疗保障大数据管理和应用。</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w:t>
      </w:r>
      <w:r>
        <w:rPr>
          <w:rFonts w:hint="eastAsia" w:ascii="仿宋" w:hAnsi="仿宋" w:eastAsia="仿宋" w:cs="仿宋"/>
          <w:sz w:val="30"/>
          <w:szCs w:val="30"/>
          <w:lang w:eastAsia="zh-CN"/>
        </w:rPr>
        <w:t>）负责职责范围内的安全生产和职业健康、生态环境保护、审批服务便民化等工作。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11</w:t>
      </w:r>
      <w:r>
        <w:rPr>
          <w:rFonts w:hint="eastAsia" w:ascii="仿宋" w:hAnsi="仿宋" w:eastAsia="仿宋" w:cs="仿宋"/>
          <w:sz w:val="30"/>
          <w:szCs w:val="30"/>
          <w:lang w:eastAsia="zh-CN"/>
        </w:rPr>
        <w:t>）完成市委、市政府交办的其他任务。</w:t>
      </w:r>
    </w:p>
    <w:p>
      <w:pPr>
        <w:keepNext w:val="0"/>
        <w:keepLines w:val="0"/>
        <w:pageBreakBefore w:val="0"/>
        <w:widowControl/>
        <w:shd w:val="clear" w:color="auto" w:fill="FFFFFF"/>
        <w:kinsoku/>
        <w:wordWrap/>
        <w:overflowPunct/>
        <w:topLinePunct w:val="0"/>
        <w:autoSpaceDE/>
        <w:autoSpaceDN/>
        <w:bidi w:val="0"/>
        <w:spacing w:beforeAutospacing="0" w:afterAutospacing="0" w:line="578"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（三）人员概况。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color w:val="auto"/>
          <w:kern w:val="0"/>
          <w:sz w:val="30"/>
          <w:szCs w:val="30"/>
          <w:lang w:eastAsia="zh-CN"/>
        </w:rPr>
        <w:t>万源市</w:t>
      </w:r>
      <w:r>
        <w:rPr>
          <w:rFonts w:hint="eastAsia" w:ascii="仿宋" w:hAnsi="仿宋" w:eastAsia="仿宋" w:cs="仿宋"/>
          <w:color w:val="auto"/>
          <w:kern w:val="0"/>
          <w:sz w:val="30"/>
          <w:szCs w:val="30"/>
        </w:rPr>
        <w:t>医疗保障局</w:t>
      </w:r>
      <w:r>
        <w:rPr>
          <w:rFonts w:hint="eastAsia" w:ascii="仿宋" w:hAnsi="仿宋" w:eastAsia="仿宋" w:cs="仿宋"/>
          <w:color w:val="auto"/>
          <w:kern w:val="0"/>
          <w:sz w:val="30"/>
          <w:szCs w:val="30"/>
          <w:lang w:eastAsia="zh-CN"/>
        </w:rPr>
        <w:t>核定编制</w:t>
      </w:r>
      <w:r>
        <w:rPr>
          <w:rFonts w:hint="eastAsia" w:ascii="仿宋" w:hAnsi="仿宋" w:eastAsia="仿宋" w:cs="仿宋"/>
          <w:color w:val="auto"/>
          <w:kern w:val="0"/>
          <w:sz w:val="30"/>
          <w:szCs w:val="30"/>
          <w:lang w:val="en-US" w:eastAsia="zh-CN"/>
        </w:rPr>
        <w:t>8</w:t>
      </w:r>
      <w:r>
        <w:rPr>
          <w:rFonts w:hint="eastAsia" w:ascii="仿宋" w:hAnsi="仿宋" w:eastAsia="仿宋" w:cs="仿宋"/>
          <w:color w:val="auto"/>
          <w:kern w:val="0"/>
          <w:sz w:val="30"/>
          <w:szCs w:val="30"/>
        </w:rPr>
        <w:t>人</w:t>
      </w:r>
      <w:r>
        <w:rPr>
          <w:rFonts w:hint="eastAsia" w:ascii="仿宋" w:hAnsi="仿宋" w:eastAsia="仿宋" w:cs="仿宋"/>
          <w:color w:val="auto"/>
          <w:kern w:val="0"/>
          <w:sz w:val="30"/>
          <w:szCs w:val="30"/>
          <w:lang w:val="en-US" w:eastAsia="zh-CN"/>
        </w:rPr>
        <w:t>,</w:t>
      </w:r>
      <w:r>
        <w:rPr>
          <w:rFonts w:hint="eastAsia" w:ascii="仿宋" w:hAnsi="仿宋" w:eastAsia="仿宋" w:cs="仿宋"/>
          <w:color w:val="auto"/>
          <w:kern w:val="0"/>
          <w:sz w:val="30"/>
          <w:szCs w:val="30"/>
        </w:rPr>
        <w:t>医疗保障事务中心</w:t>
      </w:r>
      <w:r>
        <w:rPr>
          <w:rFonts w:hint="eastAsia" w:ascii="仿宋" w:hAnsi="仿宋" w:eastAsia="仿宋" w:cs="仿宋"/>
          <w:color w:val="auto"/>
          <w:kern w:val="0"/>
          <w:sz w:val="30"/>
          <w:szCs w:val="30"/>
          <w:lang w:eastAsia="zh-CN"/>
        </w:rPr>
        <w:t>核定</w:t>
      </w:r>
      <w:r>
        <w:rPr>
          <w:rFonts w:hint="eastAsia" w:ascii="仿宋" w:hAnsi="仿宋" w:eastAsia="仿宋" w:cs="仿宋"/>
          <w:color w:val="auto"/>
          <w:kern w:val="0"/>
          <w:sz w:val="30"/>
          <w:szCs w:val="30"/>
        </w:rPr>
        <w:t>编制</w:t>
      </w:r>
      <w:r>
        <w:rPr>
          <w:rFonts w:hint="eastAsia" w:ascii="仿宋" w:hAnsi="仿宋" w:eastAsia="仿宋" w:cs="仿宋"/>
          <w:color w:val="auto"/>
          <w:kern w:val="0"/>
          <w:sz w:val="30"/>
          <w:szCs w:val="30"/>
          <w:lang w:val="en-US" w:eastAsia="zh-CN"/>
        </w:rPr>
        <w:t>22</w:t>
      </w:r>
      <w:r>
        <w:rPr>
          <w:rFonts w:hint="eastAsia" w:ascii="仿宋" w:hAnsi="仿宋" w:eastAsia="仿宋" w:cs="仿宋"/>
          <w:color w:val="auto"/>
          <w:kern w:val="0"/>
          <w:sz w:val="30"/>
          <w:szCs w:val="30"/>
        </w:rPr>
        <w:t>人，</w:t>
      </w:r>
      <w:r>
        <w:rPr>
          <w:rFonts w:hint="eastAsia" w:ascii="仿宋" w:hAnsi="仿宋" w:eastAsia="仿宋" w:cs="仿宋"/>
          <w:color w:val="auto"/>
          <w:kern w:val="0"/>
          <w:sz w:val="30"/>
          <w:szCs w:val="30"/>
          <w:lang w:eastAsia="zh-CN"/>
        </w:rPr>
        <w:t>全局</w:t>
      </w:r>
      <w:r>
        <w:rPr>
          <w:rFonts w:hint="eastAsia" w:ascii="仿宋" w:hAnsi="仿宋" w:eastAsia="仿宋" w:cs="仿宋"/>
          <w:color w:val="auto"/>
          <w:kern w:val="0"/>
          <w:sz w:val="30"/>
          <w:szCs w:val="30"/>
        </w:rPr>
        <w:t>实际</w:t>
      </w:r>
      <w:r>
        <w:rPr>
          <w:rFonts w:hint="eastAsia" w:ascii="仿宋" w:hAnsi="仿宋" w:eastAsia="仿宋" w:cs="仿宋"/>
          <w:color w:val="auto"/>
          <w:kern w:val="0"/>
          <w:sz w:val="30"/>
          <w:szCs w:val="30"/>
          <w:lang w:eastAsia="zh-CN"/>
        </w:rPr>
        <w:t>在编在岗</w:t>
      </w:r>
      <w:r>
        <w:rPr>
          <w:rFonts w:hint="eastAsia" w:ascii="仿宋" w:hAnsi="仿宋" w:eastAsia="仿宋" w:cs="仿宋"/>
          <w:color w:val="auto"/>
          <w:kern w:val="0"/>
          <w:sz w:val="30"/>
          <w:szCs w:val="30"/>
        </w:rPr>
        <w:t>人数</w:t>
      </w:r>
      <w:r>
        <w:rPr>
          <w:rFonts w:hint="eastAsia" w:ascii="仿宋" w:hAnsi="仿宋" w:eastAsia="仿宋" w:cs="仿宋"/>
          <w:color w:val="auto"/>
          <w:kern w:val="0"/>
          <w:sz w:val="30"/>
          <w:szCs w:val="30"/>
          <w:lang w:val="en-US" w:eastAsia="zh-CN"/>
        </w:rPr>
        <w:t>25</w:t>
      </w:r>
      <w:r>
        <w:rPr>
          <w:rFonts w:hint="eastAsia" w:ascii="仿宋" w:hAnsi="仿宋" w:eastAsia="仿宋" w:cs="仿宋"/>
          <w:color w:val="auto"/>
          <w:kern w:val="0"/>
          <w:sz w:val="30"/>
          <w:szCs w:val="30"/>
        </w:rPr>
        <w:t>人，其中</w:t>
      </w:r>
      <w:r>
        <w:rPr>
          <w:rFonts w:hint="eastAsia" w:ascii="仿宋" w:hAnsi="仿宋" w:eastAsia="仿宋" w:cs="仿宋"/>
          <w:color w:val="auto"/>
          <w:kern w:val="0"/>
          <w:sz w:val="30"/>
          <w:szCs w:val="30"/>
          <w:lang w:eastAsia="zh-CN"/>
        </w:rPr>
        <w:t>公务员</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人，</w:t>
      </w:r>
      <w:r>
        <w:rPr>
          <w:rFonts w:hint="eastAsia" w:ascii="仿宋" w:hAnsi="仿宋" w:eastAsia="仿宋" w:cs="仿宋"/>
          <w:color w:val="auto"/>
          <w:kern w:val="0"/>
          <w:sz w:val="30"/>
          <w:szCs w:val="30"/>
          <w:lang w:eastAsia="zh-CN"/>
        </w:rPr>
        <w:t>参公管理</w:t>
      </w:r>
      <w:r>
        <w:rPr>
          <w:rFonts w:hint="eastAsia" w:ascii="仿宋" w:hAnsi="仿宋" w:eastAsia="仿宋" w:cs="仿宋"/>
          <w:color w:val="auto"/>
          <w:kern w:val="0"/>
          <w:sz w:val="30"/>
          <w:szCs w:val="30"/>
          <w:lang w:val="en-US" w:eastAsia="zh-CN"/>
        </w:rPr>
        <w:t>13人</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工勤人员</w:t>
      </w:r>
      <w:r>
        <w:rPr>
          <w:rFonts w:hint="eastAsia" w:ascii="仿宋" w:hAnsi="仿宋" w:eastAsia="仿宋" w:cs="仿宋"/>
          <w:color w:val="auto"/>
          <w:kern w:val="0"/>
          <w:sz w:val="30"/>
          <w:szCs w:val="30"/>
          <w:lang w:val="en-US" w:eastAsia="zh-CN"/>
        </w:rPr>
        <w:t>6人。</w:t>
      </w:r>
      <w:r>
        <w:rPr>
          <w:rFonts w:hint="eastAsia" w:ascii="仿宋" w:hAnsi="仿宋" w:eastAsia="仿宋" w:cs="仿宋"/>
          <w:sz w:val="30"/>
          <w:szCs w:val="3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301" w:firstLineChars="100"/>
        <w:contextualSpacing/>
        <w:jc w:val="left"/>
        <w:textAlignment w:val="auto"/>
        <w:rPr>
          <w:rFonts w:hint="eastAsia" w:ascii="仿宋" w:hAnsi="仿宋" w:eastAsia="仿宋" w:cs="仿宋"/>
          <w:b/>
          <w:bCs/>
          <w:color w:val="000000"/>
          <w:kern w:val="0"/>
          <w:sz w:val="30"/>
          <w:szCs w:val="30"/>
          <w:shd w:val="clear" w:color="auto" w:fill="FFFFFF"/>
        </w:rPr>
      </w:pPr>
      <w:r>
        <w:rPr>
          <w:rFonts w:hint="eastAsia" w:ascii="仿宋" w:hAnsi="仿宋" w:eastAsia="仿宋" w:cs="仿宋"/>
          <w:b/>
          <w:bCs/>
          <w:color w:val="000000"/>
          <w:kern w:val="0"/>
          <w:sz w:val="30"/>
          <w:szCs w:val="30"/>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（一）部门财政资金收入情况。</w:t>
      </w:r>
    </w:p>
    <w:p>
      <w:pPr>
        <w:keepNext w:val="0"/>
        <w:keepLines w:val="0"/>
        <w:pageBreakBefore w:val="0"/>
        <w:widowControl/>
        <w:shd w:val="clear" w:color="auto" w:fill="FFFFFF"/>
        <w:kinsoku/>
        <w:wordWrap/>
        <w:overflowPunct/>
        <w:topLinePunct w:val="0"/>
        <w:autoSpaceDE/>
        <w:autoSpaceDN/>
        <w:bidi w:val="0"/>
        <w:spacing w:beforeAutospacing="0" w:afterAutospacing="0" w:line="578" w:lineRule="exact"/>
        <w:ind w:firstLine="300" w:firstLineChars="100"/>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rPr>
        <w:t>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年</w:t>
      </w:r>
      <w:r>
        <w:rPr>
          <w:rFonts w:hint="eastAsia" w:ascii="仿宋" w:hAnsi="仿宋" w:eastAsia="仿宋" w:cs="仿宋"/>
          <w:color w:val="auto"/>
          <w:kern w:val="0"/>
          <w:sz w:val="30"/>
          <w:szCs w:val="30"/>
          <w:lang w:eastAsia="zh-CN"/>
        </w:rPr>
        <w:t>部门预算收入</w:t>
      </w:r>
      <w:r>
        <w:rPr>
          <w:rFonts w:hint="eastAsia" w:ascii="仿宋" w:hAnsi="仿宋" w:eastAsia="仿宋" w:cs="仿宋"/>
          <w:color w:val="auto"/>
          <w:kern w:val="0"/>
          <w:sz w:val="30"/>
          <w:szCs w:val="30"/>
          <w:lang w:val="en-US" w:eastAsia="zh-CN"/>
        </w:rPr>
        <w:t>390.81万元，其中</w:t>
      </w:r>
      <w:r>
        <w:rPr>
          <w:rFonts w:hint="eastAsia" w:ascii="仿宋" w:hAnsi="仿宋" w:eastAsia="仿宋" w:cs="仿宋"/>
          <w:color w:val="auto"/>
          <w:kern w:val="0"/>
          <w:sz w:val="30"/>
          <w:szCs w:val="30"/>
        </w:rPr>
        <w:t>人员经费</w:t>
      </w:r>
      <w:r>
        <w:rPr>
          <w:rFonts w:hint="eastAsia" w:ascii="仿宋" w:hAnsi="仿宋" w:eastAsia="仿宋" w:cs="仿宋"/>
          <w:color w:val="auto"/>
          <w:kern w:val="0"/>
          <w:sz w:val="30"/>
          <w:szCs w:val="30"/>
          <w:lang w:val="en-US" w:eastAsia="zh-CN"/>
        </w:rPr>
        <w:t>269.99</w:t>
      </w:r>
      <w:r>
        <w:rPr>
          <w:rFonts w:hint="eastAsia" w:ascii="仿宋" w:hAnsi="仿宋" w:eastAsia="仿宋" w:cs="仿宋"/>
          <w:color w:val="auto"/>
          <w:kern w:val="0"/>
          <w:sz w:val="30"/>
          <w:szCs w:val="30"/>
        </w:rPr>
        <w:t>万元</w:t>
      </w:r>
      <w:r>
        <w:rPr>
          <w:rFonts w:hint="eastAsia" w:ascii="仿宋" w:hAnsi="仿宋" w:eastAsia="仿宋" w:cs="仿宋"/>
          <w:color w:val="auto"/>
          <w:kern w:val="0"/>
          <w:sz w:val="30"/>
          <w:szCs w:val="30"/>
          <w:lang w:eastAsia="zh-CN"/>
        </w:rPr>
        <w:t>、日常公用经费</w:t>
      </w:r>
      <w:r>
        <w:rPr>
          <w:rFonts w:hint="eastAsia" w:ascii="仿宋" w:hAnsi="仿宋" w:eastAsia="仿宋" w:cs="仿宋"/>
          <w:color w:val="auto"/>
          <w:kern w:val="0"/>
          <w:sz w:val="30"/>
          <w:szCs w:val="30"/>
          <w:lang w:val="en-US" w:eastAsia="zh-CN"/>
        </w:rPr>
        <w:t>30.22万元、</w:t>
      </w:r>
      <w:r>
        <w:rPr>
          <w:rFonts w:hint="eastAsia" w:ascii="仿宋" w:hAnsi="仿宋" w:eastAsia="仿宋" w:cs="仿宋"/>
          <w:color w:val="auto"/>
          <w:kern w:val="0"/>
          <w:sz w:val="30"/>
          <w:szCs w:val="30"/>
          <w:lang w:eastAsia="zh-CN"/>
        </w:rPr>
        <w:t>项目经费</w:t>
      </w:r>
      <w:r>
        <w:rPr>
          <w:rFonts w:hint="eastAsia" w:ascii="仿宋" w:hAnsi="仿宋" w:eastAsia="仿宋" w:cs="仿宋"/>
          <w:color w:val="auto"/>
          <w:kern w:val="0"/>
          <w:sz w:val="30"/>
          <w:szCs w:val="30"/>
          <w:lang w:val="en-US" w:eastAsia="zh-CN"/>
        </w:rPr>
        <w:t>90.6万元。</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（二）部门财政资金支出情况。</w:t>
      </w:r>
    </w:p>
    <w:p>
      <w:pPr>
        <w:keepNext w:val="0"/>
        <w:keepLines w:val="0"/>
        <w:pageBreakBefore w:val="0"/>
        <w:widowControl/>
        <w:shd w:val="clear" w:color="auto" w:fill="FFFFFF"/>
        <w:kinsoku/>
        <w:wordWrap/>
        <w:overflowPunct/>
        <w:topLinePunct w:val="0"/>
        <w:autoSpaceDE/>
        <w:autoSpaceDN/>
        <w:bidi w:val="0"/>
        <w:spacing w:beforeAutospacing="0" w:afterAutospacing="0" w:line="578" w:lineRule="exact"/>
        <w:ind w:firstLine="600" w:firstLineChars="2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2021年1-12月人员经费支出269.99万元，公用经费支出30.2227万元，预算执行率100%。人员经费</w:t>
      </w:r>
      <w:r>
        <w:rPr>
          <w:rFonts w:hint="eastAsia" w:ascii="仿宋" w:hAnsi="仿宋" w:eastAsia="仿宋" w:cs="仿宋"/>
          <w:color w:val="auto"/>
          <w:kern w:val="0"/>
          <w:sz w:val="30"/>
          <w:szCs w:val="30"/>
        </w:rPr>
        <w:t>主要用于单位</w:t>
      </w:r>
      <w:r>
        <w:rPr>
          <w:rFonts w:hint="eastAsia" w:ascii="仿宋" w:hAnsi="仿宋" w:eastAsia="仿宋" w:cs="仿宋"/>
          <w:color w:val="auto"/>
          <w:kern w:val="0"/>
          <w:sz w:val="30"/>
          <w:szCs w:val="30"/>
          <w:lang w:eastAsia="zh-CN"/>
        </w:rPr>
        <w:t>职工</w:t>
      </w:r>
      <w:r>
        <w:rPr>
          <w:rFonts w:hint="eastAsia" w:ascii="仿宋" w:hAnsi="仿宋" w:eastAsia="仿宋" w:cs="仿宋"/>
          <w:color w:val="auto"/>
          <w:kern w:val="0"/>
          <w:sz w:val="30"/>
          <w:szCs w:val="30"/>
        </w:rPr>
        <w:t>的基本工资、津贴补贴、绩效工资、机关事业单位基本养老保险缴费、职业年金缴费、医疗费</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住房公积金</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其他社会保障缴费、其他工资福利支出、其他对个人和家庭的补助支出等支出。日常公用经费主要用于单位办公费、印刷费、水费、电费、邮电费、差旅费、会议费、培训费、公务接待费、工会经费、福利费、公务用车运行维护费、其他交通费、其他商品和服务支出、办公设备购置等支出。</w:t>
      </w:r>
    </w:p>
    <w:p>
      <w:pPr>
        <w:numPr>
          <w:ilvl w:val="0"/>
          <w:numId w:val="0"/>
        </w:numPr>
        <w:ind w:firstLine="900" w:firstLineChars="300"/>
        <w:jc w:val="left"/>
        <w:rPr>
          <w:rFonts w:hint="eastAsia" w:ascii="仿宋" w:hAnsi="仿宋" w:eastAsia="仿宋" w:cs="仿宋"/>
          <w:color w:val="666666"/>
          <w:kern w:val="0"/>
          <w:sz w:val="32"/>
          <w:szCs w:val="32"/>
        </w:rPr>
      </w:pPr>
      <w:r>
        <w:rPr>
          <w:rFonts w:hint="eastAsia" w:ascii="仿宋" w:hAnsi="仿宋" w:eastAsia="仿宋" w:cs="仿宋"/>
          <w:color w:val="auto"/>
          <w:kern w:val="0"/>
          <w:sz w:val="30"/>
          <w:szCs w:val="30"/>
        </w:rPr>
        <w:t>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年</w:t>
      </w:r>
      <w:r>
        <w:rPr>
          <w:rFonts w:hint="eastAsia" w:ascii="仿宋" w:hAnsi="仿宋" w:eastAsia="仿宋" w:cs="仿宋"/>
          <w:color w:val="auto"/>
          <w:kern w:val="0"/>
          <w:sz w:val="30"/>
          <w:szCs w:val="30"/>
          <w:lang w:val="en-US" w:eastAsia="zh-CN"/>
        </w:rPr>
        <w:t>1-12月项目</w:t>
      </w:r>
      <w:r>
        <w:rPr>
          <w:rFonts w:hint="eastAsia" w:ascii="仿宋" w:hAnsi="仿宋" w:eastAsia="仿宋" w:cs="仿宋"/>
          <w:color w:val="auto"/>
          <w:kern w:val="0"/>
          <w:sz w:val="30"/>
          <w:szCs w:val="30"/>
          <w:lang w:eastAsia="zh-CN"/>
        </w:rPr>
        <w:t>支出</w:t>
      </w:r>
      <w:r>
        <w:rPr>
          <w:rFonts w:hint="eastAsia" w:ascii="仿宋" w:hAnsi="仿宋" w:eastAsia="仿宋" w:cs="仿宋"/>
          <w:color w:val="auto"/>
          <w:kern w:val="0"/>
          <w:sz w:val="30"/>
          <w:szCs w:val="30"/>
          <w:lang w:val="en-US" w:eastAsia="zh-CN"/>
        </w:rPr>
        <w:t>90.6万元，主要用于：</w:t>
      </w:r>
      <w:r>
        <w:rPr>
          <w:rFonts w:hint="eastAsia" w:ascii="仿宋" w:hAnsi="仿宋" w:eastAsia="仿宋" w:cs="仿宋"/>
          <w:color w:val="333333"/>
          <w:sz w:val="32"/>
          <w:szCs w:val="32"/>
          <w:shd w:val="clear" w:fill="FFFFFF"/>
          <w:lang w:val="en-US" w:eastAsia="zh-CN"/>
        </w:rPr>
        <w:t>1.提升医保信息化水平，加强网络、信息安全、基础设施等方面建设，进一步历实技术基础，切实保障医保信息系统高效、安全运行，提高数据采集质量和进度。2.加强打击欺诈骗保工作力度，切实保障医保基金合理有效使用。3.加快推进医保支付方式改革，医疗服务价格和招标采购改革和DRG试点工作。4.有效提升综合监管、宣传引导、经办服务、人才队伍建设等医疗保障服务能力。</w:t>
      </w:r>
      <w:r>
        <w:rPr>
          <w:rFonts w:hint="eastAsia" w:ascii="仿宋" w:hAnsi="仿宋" w:eastAsia="仿宋" w:cs="仿宋"/>
          <w:sz w:val="32"/>
          <w:szCs w:val="32"/>
          <w:shd w:val="clear" w:fill="FFFFFF"/>
        </w:rPr>
        <w:t xml:space="preserve"> </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2" w:firstLineChars="200"/>
        <w:contextualSpacing/>
        <w:jc w:val="left"/>
        <w:textAlignment w:val="auto"/>
        <w:rPr>
          <w:rFonts w:hint="eastAsia" w:ascii="仿宋" w:hAnsi="仿宋" w:eastAsia="仿宋" w:cs="仿宋"/>
          <w:b/>
          <w:bCs/>
          <w:color w:val="000000"/>
          <w:kern w:val="0"/>
          <w:sz w:val="30"/>
          <w:szCs w:val="30"/>
          <w:shd w:val="clear" w:color="auto" w:fill="FFFFFF"/>
        </w:rPr>
      </w:pPr>
      <w:r>
        <w:rPr>
          <w:rFonts w:hint="eastAsia" w:ascii="仿宋" w:hAnsi="仿宋" w:eastAsia="仿宋" w:cs="仿宋"/>
          <w:b/>
          <w:bCs/>
          <w:color w:val="000000"/>
          <w:kern w:val="0"/>
          <w:sz w:val="30"/>
          <w:szCs w:val="30"/>
          <w:shd w:val="clear" w:color="auto" w:fill="FFFFFF"/>
        </w:rPr>
        <w:t>三、部门整体预算绩效管理情况</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（一）部门预算管理。</w:t>
      </w:r>
    </w:p>
    <w:p>
      <w:pPr>
        <w:keepNext w:val="0"/>
        <w:keepLines w:val="0"/>
        <w:pageBreakBefore w:val="0"/>
        <w:widowControl/>
        <w:kinsoku/>
        <w:wordWrap/>
        <w:overflowPunct/>
        <w:topLinePunct w:val="0"/>
        <w:autoSpaceDE/>
        <w:autoSpaceDN/>
        <w:bidi w:val="0"/>
        <w:spacing w:beforeAutospacing="0" w:afterAutospacing="0" w:line="578" w:lineRule="exact"/>
        <w:ind w:firstLine="900" w:firstLineChars="3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(1)整体支出绩效目标</w:t>
      </w:r>
    </w:p>
    <w:p>
      <w:pPr>
        <w:keepNext w:val="0"/>
        <w:keepLines w:val="0"/>
        <w:pageBreakBefore w:val="0"/>
        <w:widowControl/>
        <w:kinsoku/>
        <w:wordWrap/>
        <w:overflowPunct/>
        <w:topLinePunct w:val="0"/>
        <w:autoSpaceDE/>
        <w:autoSpaceDN/>
        <w:bidi w:val="0"/>
        <w:spacing w:beforeAutospacing="0" w:afterAutospacing="0" w:line="578" w:lineRule="exact"/>
        <w:ind w:firstLine="60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2"/>
          <w:szCs w:val="32"/>
          <w:lang w:val="en-US" w:eastAsia="zh-CN"/>
        </w:rPr>
        <w:t xml:space="preserve"> 目标1：</w:t>
      </w:r>
      <w:r>
        <w:rPr>
          <w:rFonts w:hint="eastAsia" w:ascii="仿宋" w:hAnsi="仿宋" w:eastAsia="仿宋" w:cs="仿宋"/>
          <w:color w:val="000000"/>
          <w:sz w:val="32"/>
          <w:szCs w:val="32"/>
        </w:rPr>
        <w:t>保障27个在编在岗人员工资福利按时发放，一个年度内27个在编在岗人员的基本公用支出；目标2：打击欺诈骗保，切实保障医保基金合理有效使用；提升医保信息化水平，加强网络、信息安全；加快推进医保支付方式改革和DRG试点工作；有效提升综合监管、宣传引导、经办服务、人才队伍建设等医疗保障服力能力。</w:t>
      </w:r>
      <w:r>
        <w:rPr>
          <w:rFonts w:hint="eastAsia" w:ascii="仿宋" w:hAnsi="仿宋" w:eastAsia="仿宋" w:cs="仿宋"/>
          <w:color w:val="auto"/>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spacing w:beforeAutospacing="0" w:afterAutospacing="0" w:line="578"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整体支出绩效完成情况</w:t>
      </w:r>
    </w:p>
    <w:p>
      <w:pPr>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78" w:lineRule="exact"/>
        <w:ind w:firstLine="600" w:firstLineChars="200"/>
        <w:jc w:val="left"/>
        <w:textAlignment w:val="auto"/>
        <w:rPr>
          <w:rFonts w:hint="default" w:ascii="仿宋" w:hAnsi="仿宋" w:eastAsia="仿宋" w:cs="仿宋"/>
          <w:color w:val="000000" w:themeColor="text1"/>
          <w:kern w:val="2"/>
          <w:sz w:val="30"/>
          <w:szCs w:val="30"/>
          <w:lang w:val="en-US" w:eastAsia="zh-CN" w:bidi="ar-SA"/>
          <w14:textFill>
            <w14:solidFill>
              <w14:schemeClr w14:val="tx1"/>
            </w14:solidFill>
          </w14:textFill>
        </w:rPr>
      </w:pPr>
      <w:r>
        <w:rPr>
          <w:rFonts w:hint="eastAsia" w:ascii="仿宋" w:hAnsi="仿宋" w:eastAsia="仿宋" w:cs="仿宋"/>
          <w:bCs/>
          <w:color w:val="000000"/>
          <w:kern w:val="2"/>
          <w:sz w:val="30"/>
          <w:szCs w:val="30"/>
          <w:lang w:val="en-US" w:eastAsia="zh-CN" w:bidi="ar-SA"/>
        </w:rPr>
        <w:t>1、医保基金监管。</w:t>
      </w:r>
      <w:r>
        <w:rPr>
          <w:rFonts w:hint="eastAsia" w:ascii="仿宋" w:hAnsi="仿宋" w:eastAsia="仿宋" w:cs="仿宋"/>
          <w:sz w:val="30"/>
          <w:szCs w:val="30"/>
          <w:lang w:val="en-US" w:eastAsia="zh-CN"/>
        </w:rPr>
        <w:t>医保局是万源市2021年度重点行业领域突出问题系统治理工作领导小组的成员单位之一。截至12月底，共监督检查定点医药机构259家，覆盖率100%，开展“打击欺诈骗保、维护基金安全”集中宣传月活动1次，共计追收违规基金513.2万元，其中：自查自纠主动上交违规基金66.5万元，全覆盖检查共追回违规基金134.4万元，基金使用情况专项审计共追回违规基金128.8万元；配合达州市局开展回头看检查共追回违规基金110.5万元，配合达州市局开展达州市以操带训飞行检查共追回违规基金38万元，配合省医保局抽查复查共追回违规基金35万元。对10家医疗机构进行了行政处罚，处罚金额60.4万元；对1家医院和1家定点药店解除医保服务协议，对1家医院暂停医保联网结算，对2家在2020年定点机构考核中排名靠后的药店分别停网整改2个月和1个月，向纪委监委移交案件线索2起。</w:t>
      </w:r>
    </w:p>
    <w:p>
      <w:pPr>
        <w:keepNext w:val="0"/>
        <w:keepLines w:val="0"/>
        <w:pageBreakBefore w:val="0"/>
        <w:kinsoku/>
        <w:wordWrap/>
        <w:overflowPunct/>
        <w:topLinePunct w:val="0"/>
        <w:autoSpaceDE/>
        <w:autoSpaceDN/>
        <w:bidi w:val="0"/>
        <w:spacing w:beforeAutospacing="0" w:afterAutospacing="0" w:line="578" w:lineRule="exact"/>
        <w:ind w:firstLine="600" w:firstLineChars="200"/>
        <w:textAlignment w:val="auto"/>
        <w:rPr>
          <w:rFonts w:hint="eastAsia" w:ascii="仿宋" w:hAnsi="仿宋" w:eastAsia="仿宋" w:cs="仿宋"/>
          <w:bCs/>
          <w:color w:val="000000" w:themeColor="text1"/>
          <w:kern w:val="2"/>
          <w:sz w:val="30"/>
          <w:szCs w:val="30"/>
          <w:lang w:val="en-US" w:eastAsia="zh-CN" w:bidi="ar-SA"/>
          <w14:textFill>
            <w14:solidFill>
              <w14:schemeClr w14:val="tx1"/>
            </w14:solidFill>
          </w14:textFill>
        </w:rPr>
      </w:pPr>
      <w:r>
        <w:rPr>
          <w:rFonts w:hint="eastAsia" w:ascii="仿宋" w:hAnsi="仿宋" w:eastAsia="仿宋" w:cs="仿宋"/>
          <w:bCs/>
          <w:color w:val="000000"/>
          <w:kern w:val="2"/>
          <w:sz w:val="30"/>
          <w:szCs w:val="30"/>
          <w:lang w:val="en-US" w:eastAsia="zh-CN" w:bidi="ar-SA"/>
        </w:rPr>
        <w:t>2、脱贫攻坚与乡村振兴有效衔接工作。一是及时宣传乡村振兴过渡期政策。转发达市医保发【2021】49、50号文件，并就相关政策出台了解读文件，对文件各项规定进行了认真贯彻落实；二是加强风险人群推送</w:t>
      </w:r>
      <w:r>
        <w:rPr>
          <w:rFonts w:hint="eastAsia" w:ascii="仿宋" w:hAnsi="仿宋" w:eastAsia="仿宋" w:cs="仿宋"/>
          <w:bCs/>
          <w:color w:val="auto"/>
          <w:kern w:val="2"/>
          <w:sz w:val="30"/>
          <w:szCs w:val="30"/>
          <w:lang w:val="en-US" w:eastAsia="zh-CN" w:bidi="ar-SA"/>
        </w:rPr>
        <w:t>。</w:t>
      </w:r>
      <w:r>
        <w:rPr>
          <w:rFonts w:hint="eastAsia" w:ascii="仿宋" w:hAnsi="仿宋" w:eastAsia="仿宋" w:cs="仿宋"/>
          <w:b w:val="0"/>
          <w:color w:val="auto"/>
          <w:sz w:val="30"/>
          <w:szCs w:val="30"/>
          <w:lang w:eastAsia="zh-CN"/>
        </w:rPr>
        <w:t>我局分别于今年</w:t>
      </w:r>
      <w:r>
        <w:rPr>
          <w:rFonts w:hint="eastAsia" w:ascii="仿宋" w:hAnsi="仿宋" w:eastAsia="仿宋" w:cs="仿宋"/>
          <w:b w:val="0"/>
          <w:color w:val="auto"/>
          <w:sz w:val="30"/>
          <w:szCs w:val="30"/>
          <w:lang w:val="en-US" w:eastAsia="zh-CN"/>
        </w:rPr>
        <w:t>6月和11月两次向乡村振兴局推送风险数据。6月因没有统一参照标准，经跟乡村振兴局沟通后，按照截止当时城乡居民</w:t>
      </w:r>
      <w:r>
        <w:rPr>
          <w:rFonts w:hint="eastAsia" w:ascii="仿宋" w:hAnsi="仿宋" w:eastAsia="仿宋" w:cs="仿宋"/>
          <w:b w:val="0"/>
          <w:color w:val="000000" w:themeColor="text1"/>
          <w:sz w:val="30"/>
          <w:szCs w:val="30"/>
          <w:lang w:val="en-US" w:eastAsia="zh-CN"/>
          <w14:textFill>
            <w14:solidFill>
              <w14:schemeClr w14:val="tx1"/>
            </w14:solidFill>
          </w14:textFill>
        </w:rPr>
        <w:t>个人自付费用3万以上的标准推送的数据，共392条；11月按照自付费用11410元以上（上年度</w:t>
      </w:r>
      <w:r>
        <w:rPr>
          <w:rFonts w:hint="eastAsia" w:ascii="仿宋" w:hAnsi="仿宋" w:eastAsia="仿宋" w:cs="仿宋"/>
          <w:b w:val="0"/>
          <w:color w:val="auto"/>
          <w:sz w:val="30"/>
          <w:szCs w:val="30"/>
          <w:lang w:val="en-US" w:eastAsia="zh-CN"/>
        </w:rPr>
        <w:t>万源城乡居民人均可支配收入的50%）推送数据，共2608条。通过与各部门会商，经市政府同意，对监测出的风险户中69名未参保人员实行了医保代缴；三是认真抓好脱贫攻坚后评估和乡村振兴实绩考核工作。组织专人落实好相关迎检准备，认真做好和乡村振兴局的对接，确保医保工作各项政策落到实处，经得起检验。</w:t>
      </w:r>
    </w:p>
    <w:p>
      <w:pPr>
        <w:keepNext w:val="0"/>
        <w:keepLines w:val="0"/>
        <w:pageBreakBefore w:val="0"/>
        <w:kinsoku/>
        <w:wordWrap/>
        <w:overflowPunct/>
        <w:topLinePunct w:val="0"/>
        <w:autoSpaceDE/>
        <w:autoSpaceDN/>
        <w:bidi w:val="0"/>
        <w:spacing w:beforeAutospacing="0" w:afterAutospacing="0" w:line="578" w:lineRule="exact"/>
        <w:ind w:firstLine="600" w:firstLineChars="200"/>
        <w:textAlignment w:val="auto"/>
        <w:rPr>
          <w:rFonts w:hint="default" w:ascii="仿宋" w:hAnsi="仿宋" w:eastAsia="仿宋" w:cs="仿宋"/>
          <w:bCs/>
          <w:color w:val="000000" w:themeColor="text1"/>
          <w:kern w:val="2"/>
          <w:sz w:val="30"/>
          <w:szCs w:val="30"/>
          <w:lang w:val="en-US" w:eastAsia="zh-CN" w:bidi="ar-SA"/>
          <w14:textFill>
            <w14:solidFill>
              <w14:schemeClr w14:val="tx1"/>
            </w14:solidFill>
          </w14:textFill>
        </w:rPr>
      </w:pPr>
      <w:r>
        <w:rPr>
          <w:rFonts w:hint="eastAsia" w:ascii="仿宋" w:hAnsi="仿宋" w:eastAsia="仿宋" w:cs="仿宋"/>
          <w:bCs/>
          <w:color w:val="000000"/>
          <w:kern w:val="2"/>
          <w:sz w:val="30"/>
          <w:szCs w:val="30"/>
          <w:lang w:val="en-US" w:eastAsia="zh-CN" w:bidi="ar-SA"/>
        </w:rPr>
        <w:t>3、医保信息化建设。</w:t>
      </w:r>
      <w:r>
        <w:rPr>
          <w:rFonts w:hint="eastAsia" w:ascii="仿宋" w:hAnsi="仿宋" w:eastAsia="仿宋" w:cs="仿宋"/>
          <w:bCs/>
          <w:color w:val="000000" w:themeColor="text1"/>
          <w:kern w:val="2"/>
          <w:sz w:val="30"/>
          <w:szCs w:val="30"/>
          <w:lang w:val="en-US" w:eastAsia="zh-CN" w:bidi="ar-SA"/>
          <w14:textFill>
            <w14:solidFill>
              <w14:schemeClr w14:val="tx1"/>
            </w14:solidFill>
          </w14:textFill>
        </w:rPr>
        <w:t>按</w:t>
      </w:r>
      <w:r>
        <w:rPr>
          <w:rFonts w:hint="eastAsia" w:ascii="仿宋" w:hAnsi="仿宋" w:eastAsia="仿宋" w:cs="仿宋"/>
          <w:bCs/>
          <w:color w:val="000000"/>
          <w:kern w:val="2"/>
          <w:sz w:val="30"/>
          <w:szCs w:val="30"/>
          <w:lang w:val="en-US" w:eastAsia="zh-CN" w:bidi="ar-SA"/>
        </w:rPr>
        <w:t>照达州市医疗保障局的统一部署，“智慧医保系统”于2021年11月切换上线到国家医疗保障局新建成的“全国医疗保障信息一体化平台”。我局紧跟市局的步伐，按照全国医疗保障信息一体化平台上线工作的时间节点要求，建机构、出方案、搭班子、强职责，抽调医药机构专业人员充实</w:t>
      </w:r>
      <w:r>
        <w:rPr>
          <w:rFonts w:hint="eastAsia" w:ascii="仿宋" w:hAnsi="仿宋" w:eastAsia="仿宋" w:cs="仿宋"/>
          <w:bCs/>
          <w:color w:val="000000" w:themeColor="text1"/>
          <w:kern w:val="2"/>
          <w:sz w:val="30"/>
          <w:szCs w:val="30"/>
          <w:lang w:val="en-US" w:eastAsia="zh-CN" w:bidi="ar-SA"/>
          <w14:textFill>
            <w14:solidFill>
              <w14:schemeClr w14:val="tx1"/>
            </w14:solidFill>
          </w14:textFill>
        </w:rPr>
        <w:t>贯标专班，切实抓好本辖区定点医药机构的贯标、验收、上线工作；统一听从市局调度，派出精干力量，配合市局开展全市范围内医药机构贯标工作的各项检查、测试、验收工作。目前，我市92家医疗机</w:t>
      </w:r>
      <w:r>
        <w:rPr>
          <w:rFonts w:hint="eastAsia" w:ascii="仿宋" w:hAnsi="仿宋" w:eastAsia="仿宋" w:cs="仿宋"/>
          <w:bCs/>
          <w:color w:val="000000"/>
          <w:kern w:val="2"/>
          <w:sz w:val="30"/>
          <w:szCs w:val="30"/>
          <w:lang w:val="en-US" w:eastAsia="zh-CN" w:bidi="ar-SA"/>
        </w:rPr>
        <w:t>构（含诊所）、169家药店全部接入国家平台，无一家延迟或退出上线。为“全国医疗保障信息一体化平台”上线，切实解决异地就医直接结算和网上医保业务通办等工作的顺利开展打下</w:t>
      </w:r>
      <w:r>
        <w:rPr>
          <w:rFonts w:hint="eastAsia" w:ascii="仿宋" w:hAnsi="仿宋" w:eastAsia="仿宋" w:cs="仿宋"/>
          <w:bCs/>
          <w:color w:val="000000" w:themeColor="text1"/>
          <w:kern w:val="2"/>
          <w:sz w:val="30"/>
          <w:szCs w:val="30"/>
          <w:lang w:val="en-US" w:eastAsia="zh-CN" w:bidi="ar-SA"/>
          <w14:textFill>
            <w14:solidFill>
              <w14:schemeClr w14:val="tx1"/>
            </w14:solidFill>
          </w14:textFill>
        </w:rPr>
        <w:t>了坚实基础，且完成了3家定点医疗机构的医保支付方式改革和DRG试点。</w:t>
      </w:r>
    </w:p>
    <w:p>
      <w:pPr>
        <w:pStyle w:val="11"/>
        <w:keepNext w:val="0"/>
        <w:keepLines w:val="0"/>
        <w:pageBreakBefore w:val="0"/>
        <w:numPr>
          <w:ilvl w:val="0"/>
          <w:numId w:val="0"/>
        </w:numPr>
        <w:kinsoku/>
        <w:wordWrap/>
        <w:overflowPunct/>
        <w:topLinePunct w:val="0"/>
        <w:autoSpaceDE/>
        <w:autoSpaceDN/>
        <w:bidi w:val="0"/>
        <w:spacing w:beforeAutospacing="0" w:after="0" w:afterAutospacing="0" w:line="578" w:lineRule="exact"/>
        <w:jc w:val="left"/>
        <w:textAlignment w:val="auto"/>
        <w:rPr>
          <w:rFonts w:hint="eastAsia" w:ascii="仿宋" w:hAnsi="仿宋" w:eastAsia="仿宋" w:cs="仿宋"/>
          <w:sz w:val="30"/>
          <w:szCs w:val="30"/>
          <w:lang w:val="en-US" w:eastAsia="zh-CN"/>
        </w:rPr>
      </w:pPr>
      <w:r>
        <w:rPr>
          <w:rFonts w:hint="eastAsia" w:ascii="仿宋" w:hAnsi="仿宋" w:eastAsia="仿宋" w:cs="仿宋"/>
          <w:bCs/>
          <w:color w:val="000000" w:themeColor="text1"/>
          <w:kern w:val="2"/>
          <w:sz w:val="30"/>
          <w:szCs w:val="30"/>
          <w:lang w:val="en-US" w:eastAsia="zh-CN" w:bidi="ar-SA"/>
          <w14:textFill>
            <w14:solidFill>
              <w14:schemeClr w14:val="tx1"/>
            </w14:solidFill>
          </w14:textFill>
        </w:rPr>
        <w:t xml:space="preserve">    4、待遇兑付。</w:t>
      </w:r>
      <w:r>
        <w:rPr>
          <w:rFonts w:hint="eastAsia" w:ascii="仿宋" w:hAnsi="仿宋" w:eastAsia="仿宋" w:cs="仿宋"/>
          <w:sz w:val="30"/>
          <w:szCs w:val="30"/>
          <w:lang w:val="en-US" w:eastAsia="zh-CN"/>
        </w:rPr>
        <w:t>2021年按月</w:t>
      </w:r>
      <w:r>
        <w:rPr>
          <w:rFonts w:hint="eastAsia" w:cs="仿宋"/>
          <w:sz w:val="30"/>
          <w:szCs w:val="30"/>
          <w:lang w:val="en-US" w:eastAsia="zh-CN"/>
        </w:rPr>
        <w:t>发放</w:t>
      </w:r>
      <w:r>
        <w:rPr>
          <w:rFonts w:hint="eastAsia" w:ascii="仿宋" w:hAnsi="仿宋" w:eastAsia="仿宋" w:cs="仿宋"/>
          <w:sz w:val="30"/>
          <w:szCs w:val="30"/>
          <w:lang w:val="en-US" w:eastAsia="zh-CN"/>
        </w:rPr>
        <w:t>了职工工资，全年共计支出269.99万元，及时兑付了特殊群体医疗费</w:t>
      </w:r>
      <w:r>
        <w:rPr>
          <w:rFonts w:hint="eastAsia" w:cs="仿宋"/>
          <w:sz w:val="30"/>
          <w:szCs w:val="30"/>
          <w:lang w:val="en-US" w:eastAsia="zh-CN"/>
        </w:rPr>
        <w:t>、</w:t>
      </w:r>
      <w:r>
        <w:rPr>
          <w:rFonts w:hint="eastAsia" w:ascii="仿宋" w:hAnsi="仿宋" w:eastAsia="仿宋" w:cs="仿宋"/>
          <w:sz w:val="30"/>
          <w:szCs w:val="30"/>
          <w:lang w:val="en-US" w:eastAsia="zh-CN"/>
        </w:rPr>
        <w:t>公务员医疗</w:t>
      </w:r>
      <w:r>
        <w:rPr>
          <w:rFonts w:hint="eastAsia" w:cs="仿宋"/>
          <w:sz w:val="30"/>
          <w:szCs w:val="30"/>
          <w:lang w:val="en-US" w:eastAsia="zh-CN"/>
        </w:rPr>
        <w:t>补助，</w:t>
      </w:r>
      <w:r>
        <w:rPr>
          <w:rFonts w:hint="eastAsia" w:ascii="仿宋" w:hAnsi="仿宋" w:eastAsia="仿宋" w:cs="仿宋"/>
          <w:sz w:val="30"/>
          <w:szCs w:val="30"/>
          <w:lang w:val="en-US" w:eastAsia="zh-CN"/>
        </w:rPr>
        <w:t>各项待遇的及时兑付及日常公用经费支出，保障了全年</w:t>
      </w:r>
      <w:r>
        <w:rPr>
          <w:rFonts w:hint="eastAsia" w:cs="仿宋"/>
          <w:sz w:val="30"/>
          <w:szCs w:val="30"/>
          <w:lang w:val="en-US" w:eastAsia="zh-CN"/>
        </w:rPr>
        <w:t>机关及中心的</w:t>
      </w:r>
      <w:r>
        <w:rPr>
          <w:rFonts w:hint="eastAsia" w:ascii="仿宋" w:hAnsi="仿宋" w:eastAsia="仿宋" w:cs="仿宋"/>
          <w:sz w:val="30"/>
          <w:szCs w:val="30"/>
          <w:lang w:val="en-US" w:eastAsia="zh-CN"/>
        </w:rPr>
        <w:t>正常运行，稳定了人心，提升了大家的幸福感。</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（3）预算完成情况</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2021年1-12月人员经费支出269.99万元，公用经费支出30.22万元，预算执行率100%。</w:t>
      </w:r>
    </w:p>
    <w:p>
      <w:pPr>
        <w:keepNext w:val="0"/>
        <w:keepLines w:val="0"/>
        <w:pageBreakBefore w:val="0"/>
        <w:widowControl/>
        <w:kinsoku/>
        <w:wordWrap/>
        <w:overflowPunct/>
        <w:topLinePunct w:val="0"/>
        <w:autoSpaceDE/>
        <w:autoSpaceDN/>
        <w:bidi w:val="0"/>
        <w:spacing w:beforeAutospacing="0" w:afterAutospacing="0" w:line="578"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rPr>
        <w:t>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年</w:t>
      </w:r>
      <w:r>
        <w:rPr>
          <w:rFonts w:hint="eastAsia" w:ascii="仿宋" w:hAnsi="仿宋" w:eastAsia="仿宋" w:cs="仿宋"/>
          <w:color w:val="auto"/>
          <w:kern w:val="0"/>
          <w:sz w:val="30"/>
          <w:szCs w:val="30"/>
          <w:lang w:val="en-US" w:eastAsia="zh-CN"/>
        </w:rPr>
        <w:t>1-12月医疗服务与保障能力提升项目</w:t>
      </w:r>
      <w:r>
        <w:rPr>
          <w:rFonts w:hint="eastAsia" w:ascii="仿宋" w:hAnsi="仿宋" w:eastAsia="仿宋" w:cs="仿宋"/>
          <w:color w:val="auto"/>
          <w:kern w:val="0"/>
          <w:sz w:val="30"/>
          <w:szCs w:val="30"/>
          <w:lang w:eastAsia="zh-CN"/>
        </w:rPr>
        <w:t>支出</w:t>
      </w:r>
      <w:r>
        <w:rPr>
          <w:rFonts w:hint="eastAsia" w:ascii="仿宋" w:hAnsi="仿宋" w:eastAsia="仿宋" w:cs="仿宋"/>
          <w:color w:val="auto"/>
          <w:kern w:val="0"/>
          <w:sz w:val="30"/>
          <w:szCs w:val="30"/>
          <w:lang w:val="en-US" w:eastAsia="zh-CN"/>
        </w:rPr>
        <w:t>90.6万元，预算执行率100%。</w:t>
      </w:r>
    </w:p>
    <w:p>
      <w:pPr>
        <w:keepNext w:val="0"/>
        <w:keepLines w:val="0"/>
        <w:pageBreakBefore w:val="0"/>
        <w:widowControl/>
        <w:numPr>
          <w:ilvl w:val="0"/>
          <w:numId w:val="3"/>
        </w:numPr>
        <w:kinsoku/>
        <w:wordWrap/>
        <w:overflowPunct/>
        <w:topLinePunct w:val="0"/>
        <w:autoSpaceDE/>
        <w:autoSpaceDN/>
        <w:bidi w:val="0"/>
        <w:spacing w:beforeAutospacing="0" w:afterAutospacing="0" w:line="578" w:lineRule="exact"/>
        <w:ind w:firstLine="600" w:firstLineChars="200"/>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b w:val="0"/>
          <w:bCs w:val="0"/>
          <w:color w:val="000000"/>
          <w:kern w:val="0"/>
          <w:sz w:val="30"/>
          <w:szCs w:val="30"/>
          <w:shd w:val="clear" w:color="auto" w:fill="FFFFFF"/>
          <w:lang w:val="zh-CN"/>
        </w:rPr>
        <w:t>结果应用情况</w:t>
      </w:r>
      <w:r>
        <w:rPr>
          <w:rFonts w:hint="eastAsia" w:ascii="仿宋" w:hAnsi="仿宋" w:eastAsia="仿宋" w:cs="仿宋"/>
          <w:color w:val="000000"/>
          <w:kern w:val="0"/>
          <w:sz w:val="30"/>
          <w:szCs w:val="30"/>
          <w:shd w:val="clear" w:color="auto" w:fill="FFFFFF"/>
          <w:lang w:val="zh-CN"/>
        </w:rPr>
        <w:t>。</w:t>
      </w:r>
    </w:p>
    <w:p>
      <w:pPr>
        <w:keepNext w:val="0"/>
        <w:keepLines w:val="0"/>
        <w:pageBreakBefore w:val="0"/>
        <w:widowControl/>
        <w:numPr>
          <w:ilvl w:val="0"/>
          <w:numId w:val="0"/>
        </w:numPr>
        <w:kinsoku/>
        <w:wordWrap/>
        <w:overflowPunct/>
        <w:topLinePunct w:val="0"/>
        <w:autoSpaceDE/>
        <w:autoSpaceDN/>
        <w:bidi w:val="0"/>
        <w:spacing w:beforeAutospacing="0" w:afterAutospacing="0" w:line="578" w:lineRule="exact"/>
        <w:ind w:firstLine="600" w:firstLineChars="200"/>
        <w:textAlignment w:val="auto"/>
        <w:rPr>
          <w:rFonts w:hint="eastAsia" w:ascii="仿宋" w:hAnsi="仿宋" w:eastAsia="仿宋" w:cs="仿宋"/>
          <w:color w:val="222222"/>
          <w:kern w:val="0"/>
          <w:sz w:val="30"/>
          <w:szCs w:val="30"/>
          <w:lang w:val="en-US" w:eastAsia="zh-CN"/>
        </w:rPr>
      </w:pPr>
      <w:r>
        <w:rPr>
          <w:rFonts w:hint="eastAsia" w:ascii="仿宋" w:hAnsi="仿宋" w:eastAsia="仿宋" w:cs="仿宋"/>
          <w:color w:val="222222"/>
          <w:kern w:val="0"/>
          <w:sz w:val="30"/>
          <w:szCs w:val="30"/>
          <w:lang w:val="en-US" w:eastAsia="zh-CN"/>
        </w:rPr>
        <w:t>万源市医疗保障局将依据2021年度的绩效目标自评结果，进一步加强财政预算资金的管理，规范财政资金的支出，实现财政资金的使用效益最大化。自评结束后，按规定及时将自评结果报送市财政局，并公开。</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2" w:firstLineChars="200"/>
        <w:contextualSpacing/>
        <w:jc w:val="left"/>
        <w:textAlignment w:val="auto"/>
        <w:rPr>
          <w:rFonts w:hint="eastAsia" w:ascii="仿宋" w:hAnsi="仿宋" w:eastAsia="仿宋" w:cs="仿宋"/>
          <w:b/>
          <w:bCs/>
          <w:color w:val="000000"/>
          <w:kern w:val="0"/>
          <w:sz w:val="30"/>
          <w:szCs w:val="30"/>
          <w:shd w:val="clear" w:color="auto" w:fill="FFFFFF"/>
        </w:rPr>
      </w:pPr>
      <w:r>
        <w:rPr>
          <w:rFonts w:hint="eastAsia" w:ascii="仿宋" w:hAnsi="仿宋" w:eastAsia="仿宋" w:cs="仿宋"/>
          <w:b/>
          <w:bCs/>
          <w:color w:val="000000"/>
          <w:kern w:val="0"/>
          <w:sz w:val="30"/>
          <w:szCs w:val="30"/>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（一）评价结论。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left="0" w:right="0" w:firstLine="693" w:firstLineChars="231"/>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2021年度部门预算具有明确的用途和目标，制定详细的执行计划，资金到位及时并严格按照财政有关规定使用。预算决策、管理、执行等日益规范，能较好地满足工作需要，取得良好的社会效益。今后将继续加强</w:t>
      </w:r>
      <w:r>
        <w:rPr>
          <w:rFonts w:hint="eastAsia" w:ascii="仿宋" w:hAnsi="仿宋" w:eastAsia="仿宋" w:cs="仿宋"/>
          <w:i w:val="0"/>
          <w:iCs w:val="0"/>
          <w:caps w:val="0"/>
          <w:color w:val="333333"/>
          <w:spacing w:val="0"/>
          <w:sz w:val="30"/>
          <w:szCs w:val="30"/>
          <w:shd w:val="clear" w:fill="FFFFFF"/>
          <w:lang w:eastAsia="zh-CN"/>
        </w:rPr>
        <w:t>医保局</w:t>
      </w:r>
      <w:r>
        <w:rPr>
          <w:rFonts w:hint="eastAsia" w:ascii="仿宋" w:hAnsi="仿宋" w:eastAsia="仿宋" w:cs="仿宋"/>
          <w:i w:val="0"/>
          <w:iCs w:val="0"/>
          <w:caps w:val="0"/>
          <w:color w:val="333333"/>
          <w:spacing w:val="0"/>
          <w:sz w:val="30"/>
          <w:szCs w:val="30"/>
          <w:shd w:val="clear" w:fill="FFFFFF"/>
        </w:rPr>
        <w:t>机关部门整体支出绩效评价工作，提升部门整体支出绩效评价水平。</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300" w:firstLineChars="1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（二）存在问题。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由于预算绩效管理工作开展时间短，涉及面广，专业性强，加上缺乏系统的培训，单位对预算绩效管理理解不充分，对预算绩效管理业务不精通，在一定程度上影响绩效评价工作质量。</w:t>
      </w:r>
    </w:p>
    <w:p>
      <w:pPr>
        <w:keepNext w:val="0"/>
        <w:keepLines w:val="0"/>
        <w:pageBreakBefore w:val="0"/>
        <w:widowControl/>
        <w:kinsoku/>
        <w:wordWrap/>
        <w:overflowPunct/>
        <w:topLinePunct w:val="0"/>
        <w:autoSpaceDE/>
        <w:autoSpaceDN/>
        <w:bidi w:val="0"/>
        <w:adjustRightInd w:val="0"/>
        <w:snapToGrid w:val="0"/>
        <w:spacing w:beforeAutospacing="0" w:afterAutospacing="0" w:line="578" w:lineRule="exact"/>
        <w:ind w:firstLine="300" w:firstLineChars="100"/>
        <w:contextualSpacing/>
        <w:jc w:val="left"/>
        <w:textAlignment w:val="auto"/>
        <w:rPr>
          <w:rFonts w:hint="eastAsia" w:ascii="仿宋" w:hAnsi="仿宋" w:eastAsia="仿宋" w:cs="仿宋"/>
          <w:color w:val="000000"/>
          <w:kern w:val="0"/>
          <w:sz w:val="30"/>
          <w:szCs w:val="30"/>
          <w:shd w:val="clear" w:color="auto" w:fill="FFFFFF"/>
          <w:lang w:val="zh-CN"/>
        </w:rPr>
      </w:pPr>
      <w:r>
        <w:rPr>
          <w:rFonts w:hint="eastAsia" w:ascii="仿宋" w:hAnsi="仿宋" w:eastAsia="仿宋" w:cs="仿宋"/>
          <w:color w:val="000000"/>
          <w:kern w:val="0"/>
          <w:sz w:val="30"/>
          <w:szCs w:val="30"/>
          <w:shd w:val="clear" w:color="auto" w:fill="FFFFFF"/>
          <w:lang w:val="zh-CN"/>
        </w:rPr>
        <w:t>（三）改进建议。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left="0" w:right="0" w:firstLine="42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color w:val="222222"/>
          <w:kern w:val="0"/>
          <w:sz w:val="30"/>
          <w:szCs w:val="30"/>
        </w:rPr>
        <w:t>进一步加强相关业务知识的学习，加强与财政部门的沟通对接，在财政部门的指导下科学进行预算绩效申报，将全年工作任务细化分解为具体的工作目标，并尽量采取定量的方式制定清晰、可衡量的绩效指标。</w:t>
      </w:r>
    </w:p>
    <w:p>
      <w:pPr>
        <w:keepNext w:val="0"/>
        <w:keepLines w:val="0"/>
        <w:pageBreakBefore w:val="0"/>
        <w:widowControl/>
        <w:shd w:val="clear" w:color="auto" w:fill="FFFFFF"/>
        <w:kinsoku/>
        <w:wordWrap/>
        <w:overflowPunct/>
        <w:topLinePunct w:val="0"/>
        <w:autoSpaceDE/>
        <w:autoSpaceDN/>
        <w:bidi w:val="0"/>
        <w:spacing w:beforeAutospacing="0" w:afterAutospacing="0" w:line="578" w:lineRule="exact"/>
        <w:jc w:val="left"/>
        <w:textAlignment w:val="auto"/>
        <w:rPr>
          <w:rFonts w:hint="eastAsia" w:ascii="仿宋" w:hAnsi="仿宋" w:eastAsia="仿宋" w:cs="仿宋"/>
          <w:color w:val="222222"/>
          <w:kern w:val="0"/>
          <w:sz w:val="30"/>
          <w:szCs w:val="30"/>
        </w:rPr>
      </w:pPr>
    </w:p>
    <w:p>
      <w:pPr>
        <w:jc w:val="both"/>
        <w:rPr>
          <w:rFonts w:eastAsia="方正仿宋简体"/>
          <w:color w:val="000000"/>
          <w:kern w:val="0"/>
          <w:sz w:val="30"/>
          <w:szCs w:val="30"/>
          <w:shd w:val="clear" w:color="auto" w:fill="FFFFFF"/>
          <w:lang w:val="zh-CN"/>
        </w:rPr>
      </w:pPr>
      <w:r>
        <w:rPr>
          <w:rFonts w:eastAsia="方正仿宋简体"/>
          <w:color w:val="000000"/>
          <w:kern w:val="0"/>
          <w:sz w:val="30"/>
          <w:szCs w:val="30"/>
          <w:shd w:val="clear" w:color="auto" w:fill="FFFFFF"/>
          <w:lang w:val="zh-CN"/>
        </w:rPr>
        <w:t>附表：</w:t>
      </w:r>
    </w:p>
    <w:tbl>
      <w:tblPr>
        <w:tblStyle w:val="14"/>
        <w:tblpPr w:leftFromText="180" w:rightFromText="180" w:vertAnchor="text" w:horzAnchor="page" w:tblpX="1256" w:tblpY="221"/>
        <w:tblOverlap w:val="never"/>
        <w:tblW w:w="5170" w:type="pct"/>
        <w:tblInd w:w="0" w:type="dxa"/>
        <w:tblLayout w:type="autofit"/>
        <w:tblCellMar>
          <w:top w:w="0" w:type="dxa"/>
          <w:left w:w="108" w:type="dxa"/>
          <w:bottom w:w="0" w:type="dxa"/>
          <w:right w:w="108" w:type="dxa"/>
        </w:tblCellMar>
      </w:tblPr>
      <w:tblGrid>
        <w:gridCol w:w="1941"/>
        <w:gridCol w:w="1115"/>
        <w:gridCol w:w="1604"/>
        <w:gridCol w:w="1214"/>
        <w:gridCol w:w="1280"/>
        <w:gridCol w:w="1436"/>
        <w:gridCol w:w="222"/>
      </w:tblGrid>
      <w:tr>
        <w:tblPrEx>
          <w:tblCellMar>
            <w:top w:w="0" w:type="dxa"/>
            <w:left w:w="108" w:type="dxa"/>
            <w:bottom w:w="0" w:type="dxa"/>
            <w:right w:w="108" w:type="dxa"/>
          </w:tblCellMar>
        </w:tblPrEx>
        <w:trPr>
          <w:trHeight w:val="675" w:hRule="atLeast"/>
        </w:trPr>
        <w:tc>
          <w:tcPr>
            <w:tcW w:w="4874" w:type="pct"/>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jc w:val="center"/>
              <w:textAlignment w:val="center"/>
              <w:rPr>
                <w:rFonts w:eastAsia="方正仿宋简体"/>
                <w:b/>
                <w:color w:val="000000"/>
                <w:sz w:val="30"/>
                <w:szCs w:val="30"/>
              </w:rPr>
            </w:pPr>
            <w:r>
              <w:rPr>
                <w:rFonts w:eastAsia="方正仿宋简体"/>
                <w:b/>
                <w:color w:val="000000"/>
                <w:sz w:val="30"/>
                <w:szCs w:val="30"/>
              </w:rPr>
              <w:t>2022年部门预算项目绩效目标自评</w:t>
            </w:r>
          </w:p>
        </w:tc>
        <w:tc>
          <w:tcPr>
            <w:tcW w:w="125"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jc w:val="center"/>
              <w:textAlignment w:val="center"/>
              <w:rPr>
                <w:rFonts w:eastAsia="方正仿宋简体"/>
                <w:b/>
                <w:color w:val="000000"/>
                <w:kern w:val="0"/>
                <w:sz w:val="30"/>
                <w:szCs w:val="30"/>
                <w:lang w:bidi="ar"/>
              </w:rPr>
            </w:pPr>
          </w:p>
        </w:tc>
      </w:tr>
      <w:tr>
        <w:tblPrEx>
          <w:tblCellMar>
            <w:top w:w="0" w:type="dxa"/>
            <w:left w:w="108" w:type="dxa"/>
            <w:bottom w:w="0" w:type="dxa"/>
            <w:right w:w="108" w:type="dxa"/>
          </w:tblCellMar>
        </w:tblPrEx>
        <w:trPr>
          <w:gridAfter w:val="1"/>
          <w:wAfter w:w="125" w:type="pct"/>
          <w:trHeight w:val="254" w:hRule="atLeast"/>
        </w:trPr>
        <w:tc>
          <w:tcPr>
            <w:tcW w:w="1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主管部门及代码</w:t>
            </w:r>
          </w:p>
        </w:tc>
        <w:tc>
          <w:tcPr>
            <w:tcW w:w="15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textAlignment w:val="center"/>
              <w:rPr>
                <w:rFonts w:hint="default" w:eastAsia="方正仿宋简体"/>
                <w:color w:val="000000"/>
                <w:sz w:val="24"/>
                <w:szCs w:val="24"/>
                <w:lang w:val="en-US" w:eastAsia="zh-CN"/>
              </w:rPr>
            </w:pPr>
            <w:r>
              <w:rPr>
                <w:rFonts w:hint="eastAsia" w:eastAsia="方正仿宋简体"/>
                <w:color w:val="000000"/>
                <w:sz w:val="24"/>
                <w:szCs w:val="24"/>
                <w:lang w:val="en-US" w:eastAsia="zh-CN"/>
              </w:rPr>
              <w:t>220001</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实施单位</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hint="eastAsia" w:eastAsia="方正仿宋简体"/>
                <w:color w:val="000000"/>
                <w:sz w:val="24"/>
                <w:szCs w:val="24"/>
                <w:lang w:eastAsia="zh-CN"/>
              </w:rPr>
            </w:pPr>
            <w:r>
              <w:rPr>
                <w:rFonts w:hint="eastAsia" w:eastAsia="方正仿宋简体"/>
                <w:color w:val="000000"/>
                <w:sz w:val="24"/>
                <w:szCs w:val="24"/>
                <w:lang w:eastAsia="zh-CN"/>
              </w:rPr>
              <w:t>万源市医疗保障局</w:t>
            </w:r>
          </w:p>
        </w:tc>
      </w:tr>
      <w:tr>
        <w:tblPrEx>
          <w:tblCellMar>
            <w:top w:w="0" w:type="dxa"/>
            <w:left w:w="108" w:type="dxa"/>
            <w:bottom w:w="0" w:type="dxa"/>
            <w:right w:w="108" w:type="dxa"/>
          </w:tblCellMar>
        </w:tblPrEx>
        <w:trPr>
          <w:gridAfter w:val="1"/>
          <w:wAfter w:w="125" w:type="pct"/>
          <w:trHeight w:val="341" w:hRule="atLeast"/>
        </w:trPr>
        <w:tc>
          <w:tcPr>
            <w:tcW w:w="17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hint="eastAsia" w:eastAsia="方正仿宋简体"/>
                <w:color w:val="000000"/>
                <w:kern w:val="0"/>
                <w:sz w:val="24"/>
                <w:szCs w:val="24"/>
                <w:lang w:eastAsia="zh-CN" w:bidi="ar"/>
              </w:rPr>
            </w:pPr>
            <w:r>
              <w:rPr>
                <w:rFonts w:eastAsia="方正仿宋简体"/>
                <w:color w:val="000000"/>
                <w:kern w:val="0"/>
                <w:sz w:val="24"/>
                <w:szCs w:val="24"/>
                <w:lang w:bidi="ar"/>
              </w:rPr>
              <w:t>项目预算</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hint="eastAsia" w:eastAsia="方正仿宋简体"/>
                <w:color w:val="000000"/>
                <w:kern w:val="0"/>
                <w:sz w:val="24"/>
                <w:szCs w:val="24"/>
                <w:lang w:eastAsia="zh-CN" w:bidi="ar"/>
              </w:rPr>
            </w:pPr>
            <w:r>
              <w:rPr>
                <w:rFonts w:eastAsia="方正仿宋简体"/>
                <w:color w:val="000000"/>
                <w:kern w:val="0"/>
                <w:sz w:val="24"/>
                <w:szCs w:val="24"/>
                <w:lang w:bidi="ar"/>
              </w:rPr>
              <w:t>执行情况</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（万元）</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sz w:val="24"/>
                <w:szCs w:val="24"/>
              </w:rPr>
            </w:pPr>
            <w:r>
              <w:rPr>
                <w:rFonts w:eastAsia="方正仿宋简体"/>
                <w:color w:val="000000"/>
                <w:kern w:val="0"/>
                <w:sz w:val="24"/>
                <w:szCs w:val="24"/>
                <w:lang w:bidi="ar"/>
              </w:rPr>
              <w:t xml:space="preserve"> 预算数：</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hint="default" w:eastAsia="方正仿宋简体"/>
                <w:color w:val="000000"/>
                <w:sz w:val="24"/>
                <w:szCs w:val="24"/>
                <w:lang w:val="en-US" w:eastAsia="zh-CN"/>
              </w:rPr>
            </w:pPr>
            <w:r>
              <w:rPr>
                <w:rFonts w:hint="eastAsia" w:eastAsia="方正仿宋简体"/>
                <w:color w:val="000000"/>
                <w:sz w:val="24"/>
                <w:szCs w:val="24"/>
                <w:lang w:val="en-US" w:eastAsia="zh-CN"/>
              </w:rPr>
              <w:t>390.81万元</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sz w:val="24"/>
                <w:szCs w:val="24"/>
              </w:rPr>
            </w:pPr>
            <w:r>
              <w:rPr>
                <w:rFonts w:eastAsia="方正仿宋简体"/>
                <w:color w:val="000000"/>
                <w:kern w:val="0"/>
                <w:sz w:val="24"/>
                <w:szCs w:val="24"/>
                <w:lang w:bidi="ar"/>
              </w:rPr>
              <w:t xml:space="preserve"> 执行数：</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right"/>
              <w:textAlignment w:val="center"/>
              <w:rPr>
                <w:rFonts w:hint="default" w:eastAsia="方正仿宋简体"/>
                <w:color w:val="000000"/>
                <w:sz w:val="24"/>
                <w:szCs w:val="24"/>
                <w:lang w:val="en-US" w:eastAsia="zh-CN"/>
              </w:rPr>
            </w:pPr>
            <w:r>
              <w:rPr>
                <w:rFonts w:hint="eastAsia" w:eastAsia="方正仿宋简体"/>
                <w:color w:val="000000"/>
                <w:sz w:val="24"/>
                <w:szCs w:val="24"/>
                <w:lang w:val="en-US" w:eastAsia="zh-CN"/>
              </w:rPr>
              <w:t>390.81万元</w:t>
            </w:r>
          </w:p>
        </w:tc>
      </w:tr>
      <w:tr>
        <w:tblPrEx>
          <w:tblCellMar>
            <w:top w:w="0" w:type="dxa"/>
            <w:left w:w="108" w:type="dxa"/>
            <w:bottom w:w="0" w:type="dxa"/>
            <w:right w:w="108" w:type="dxa"/>
          </w:tblCellMar>
        </w:tblPrEx>
        <w:trPr>
          <w:gridAfter w:val="1"/>
          <w:wAfter w:w="125" w:type="pct"/>
          <w:trHeight w:val="577" w:hRule="atLeast"/>
        </w:trPr>
        <w:tc>
          <w:tcPr>
            <w:tcW w:w="17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kern w:val="0"/>
                <w:sz w:val="24"/>
                <w:szCs w:val="24"/>
                <w:lang w:bidi="ar"/>
              </w:rPr>
            </w:pPr>
            <w:r>
              <w:rPr>
                <w:rFonts w:eastAsia="方正仿宋简体"/>
                <w:color w:val="000000"/>
                <w:kern w:val="0"/>
                <w:sz w:val="24"/>
                <w:szCs w:val="24"/>
                <w:lang w:bidi="ar"/>
              </w:rPr>
              <w:t>其中：</w:t>
            </w:r>
          </w:p>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sz w:val="24"/>
                <w:szCs w:val="24"/>
              </w:rPr>
            </w:pPr>
            <w:r>
              <w:rPr>
                <w:rFonts w:eastAsia="方正仿宋简体"/>
                <w:color w:val="000000"/>
                <w:kern w:val="0"/>
                <w:sz w:val="24"/>
                <w:szCs w:val="24"/>
                <w:lang w:bidi="ar"/>
              </w:rPr>
              <w:t>财政拨款</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hint="default" w:eastAsia="方正仿宋简体"/>
                <w:color w:val="000000"/>
                <w:sz w:val="24"/>
                <w:szCs w:val="24"/>
                <w:lang w:val="en-US" w:eastAsia="zh-CN"/>
              </w:rPr>
            </w:pPr>
            <w:r>
              <w:rPr>
                <w:rFonts w:hint="eastAsia" w:eastAsia="方正仿宋简体"/>
                <w:color w:val="000000"/>
                <w:sz w:val="24"/>
                <w:szCs w:val="24"/>
                <w:lang w:val="en-US" w:eastAsia="zh-CN"/>
              </w:rPr>
              <w:t>390.81万元</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kern w:val="0"/>
                <w:sz w:val="24"/>
                <w:szCs w:val="24"/>
                <w:lang w:bidi="ar"/>
              </w:rPr>
            </w:pPr>
            <w:r>
              <w:rPr>
                <w:rFonts w:eastAsia="方正仿宋简体"/>
                <w:color w:val="000000"/>
                <w:kern w:val="0"/>
                <w:sz w:val="24"/>
                <w:szCs w:val="24"/>
                <w:lang w:bidi="ar"/>
              </w:rPr>
              <w:t>其中：</w:t>
            </w:r>
          </w:p>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sz w:val="24"/>
                <w:szCs w:val="24"/>
              </w:rPr>
            </w:pPr>
            <w:r>
              <w:rPr>
                <w:rFonts w:eastAsia="方正仿宋简体"/>
                <w:color w:val="000000"/>
                <w:kern w:val="0"/>
                <w:sz w:val="24"/>
                <w:szCs w:val="24"/>
                <w:lang w:bidi="ar"/>
              </w:rPr>
              <w:t>财政拨款</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textAlignment w:val="center"/>
              <w:rPr>
                <w:rFonts w:hint="default" w:eastAsia="方正仿宋简体"/>
                <w:color w:val="000000"/>
                <w:sz w:val="24"/>
                <w:szCs w:val="24"/>
                <w:lang w:val="en-US" w:eastAsia="zh-CN"/>
              </w:rPr>
            </w:pPr>
            <w:r>
              <w:rPr>
                <w:rFonts w:hint="eastAsia" w:eastAsia="方正仿宋简体"/>
                <w:color w:val="000000"/>
                <w:sz w:val="24"/>
                <w:szCs w:val="24"/>
                <w:lang w:val="en-US" w:eastAsia="zh-CN"/>
              </w:rPr>
              <w:t>390.81万元</w:t>
            </w:r>
          </w:p>
        </w:tc>
      </w:tr>
      <w:tr>
        <w:tblPrEx>
          <w:tblCellMar>
            <w:top w:w="0" w:type="dxa"/>
            <w:left w:w="108" w:type="dxa"/>
            <w:bottom w:w="0" w:type="dxa"/>
            <w:right w:w="108" w:type="dxa"/>
          </w:tblCellMar>
        </w:tblPrEx>
        <w:trPr>
          <w:gridAfter w:val="1"/>
          <w:wAfter w:w="125" w:type="pct"/>
          <w:trHeight w:val="341" w:hRule="atLeast"/>
        </w:trPr>
        <w:tc>
          <w:tcPr>
            <w:tcW w:w="17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sz w:val="24"/>
                <w:szCs w:val="24"/>
              </w:rPr>
            </w:pPr>
            <w:r>
              <w:rPr>
                <w:rFonts w:eastAsia="方正仿宋简体"/>
                <w:color w:val="000000"/>
                <w:kern w:val="0"/>
                <w:sz w:val="24"/>
                <w:szCs w:val="24"/>
                <w:lang w:bidi="ar"/>
              </w:rPr>
              <w:t>其他资金</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sz w:val="24"/>
                <w:szCs w:val="24"/>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center"/>
              <w:rPr>
                <w:rFonts w:eastAsia="方正仿宋简体"/>
                <w:color w:val="000000"/>
                <w:sz w:val="24"/>
                <w:szCs w:val="24"/>
              </w:rPr>
            </w:pPr>
            <w:r>
              <w:rPr>
                <w:rFonts w:eastAsia="方正仿宋简体"/>
                <w:color w:val="000000"/>
                <w:kern w:val="0"/>
                <w:sz w:val="24"/>
                <w:szCs w:val="24"/>
                <w:lang w:bidi="ar"/>
              </w:rPr>
              <w:t>其他资金</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p>
        </w:tc>
      </w:tr>
      <w:tr>
        <w:tblPrEx>
          <w:tblCellMar>
            <w:top w:w="0" w:type="dxa"/>
            <w:left w:w="108" w:type="dxa"/>
            <w:bottom w:w="0" w:type="dxa"/>
            <w:right w:w="108" w:type="dxa"/>
          </w:tblCellMar>
        </w:tblPrEx>
        <w:trPr>
          <w:gridAfter w:val="1"/>
          <w:wAfter w:w="125" w:type="pct"/>
          <w:trHeight w:val="217" w:hRule="atLeast"/>
        </w:trPr>
        <w:tc>
          <w:tcPr>
            <w:tcW w:w="11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kern w:val="0"/>
                <w:sz w:val="24"/>
                <w:szCs w:val="24"/>
                <w:lang w:bidi="ar"/>
              </w:rPr>
            </w:pPr>
            <w:r>
              <w:rPr>
                <w:rFonts w:eastAsia="方正仿宋简体"/>
                <w:color w:val="000000"/>
                <w:kern w:val="0"/>
                <w:sz w:val="24"/>
                <w:szCs w:val="24"/>
                <w:lang w:bidi="ar"/>
              </w:rPr>
              <w:t>年度总体目标</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完成情况</w:t>
            </w:r>
          </w:p>
        </w:tc>
        <w:tc>
          <w:tcPr>
            <w:tcW w:w="22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预期目标</w:t>
            </w:r>
          </w:p>
        </w:tc>
        <w:tc>
          <w:tcPr>
            <w:tcW w:w="15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目标实际完成情况</w:t>
            </w:r>
          </w:p>
        </w:tc>
      </w:tr>
      <w:tr>
        <w:tblPrEx>
          <w:tblCellMar>
            <w:top w:w="0" w:type="dxa"/>
            <w:left w:w="108" w:type="dxa"/>
            <w:bottom w:w="0" w:type="dxa"/>
            <w:right w:w="108" w:type="dxa"/>
          </w:tblCellMar>
        </w:tblPrEx>
        <w:trPr>
          <w:gridAfter w:val="1"/>
          <w:wAfter w:w="125" w:type="pct"/>
          <w:trHeight w:val="90" w:hRule="atLeast"/>
        </w:trPr>
        <w:tc>
          <w:tcPr>
            <w:tcW w:w="11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2232" w:type="pct"/>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top"/>
              <w:rPr>
                <w:rFonts w:eastAsia="方正仿宋简体"/>
                <w:color w:val="000000"/>
                <w:sz w:val="24"/>
                <w:szCs w:val="24"/>
              </w:rPr>
            </w:pPr>
            <w:r>
              <w:rPr>
                <w:rFonts w:hint="eastAsia" w:eastAsia="方正仿宋简体"/>
                <w:color w:val="000000"/>
                <w:sz w:val="24"/>
                <w:szCs w:val="24"/>
              </w:rPr>
              <w:t>目标1：保障27个在编在岗人员工资福利按时发放，一个年度内27个在编在岗人员的基本公用支出；目标2：打击欺诈骗保，切实保障医保基金合理有效使用；提升医保信息化水平，加强网络、信息安全；加快推进医保支付方式改革和DRG试点工作；有效提升综合监管、宣传引导、经办服务、人才队伍建设等医疗保障服力能力。</w:t>
            </w:r>
          </w:p>
        </w:tc>
        <w:tc>
          <w:tcPr>
            <w:tcW w:w="1539" w:type="pct"/>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beforeAutospacing="0" w:afterAutospacing="0" w:line="320" w:lineRule="exact"/>
              <w:jc w:val="left"/>
              <w:textAlignment w:val="top"/>
              <w:rPr>
                <w:rFonts w:eastAsia="方正仿宋简体"/>
                <w:color w:val="000000"/>
                <w:sz w:val="24"/>
                <w:szCs w:val="24"/>
              </w:rPr>
            </w:pPr>
            <w:r>
              <w:rPr>
                <w:rFonts w:hint="eastAsia" w:eastAsia="方正仿宋简体"/>
                <w:color w:val="000000"/>
                <w:sz w:val="24"/>
                <w:szCs w:val="24"/>
              </w:rPr>
              <w:t>目标1：保障了27个在编在岗人员工资福利按时发放，一个年度内27个在编在岗人员的基本公用支出；目标2</w:t>
            </w:r>
            <w:r>
              <w:rPr>
                <w:rFonts w:hint="eastAsia" w:eastAsia="方正仿宋简体"/>
                <w:color w:val="000000"/>
                <w:sz w:val="24"/>
                <w:szCs w:val="24"/>
                <w:lang w:val="en-US" w:eastAsia="zh-CN"/>
              </w:rPr>
              <w:t>:</w:t>
            </w:r>
            <w:r>
              <w:rPr>
                <w:rFonts w:hint="eastAsia" w:eastAsia="方正仿宋简体"/>
                <w:color w:val="000000"/>
                <w:sz w:val="24"/>
                <w:szCs w:val="24"/>
              </w:rPr>
              <w:t>网络、信息安全、基础设施等方面建设加强，进一步夯实技术基础，保障了医保信息系统高效、安全运行，提高了数据采集质量和速度；持续开展医保定点医药机构稽核工作，打击欺诈骗保持续保持高压态势，切实保障医保基金合理有效使用；加快推进了医保支付方式改革和DGR试点工作；综合监管、宣传引导、经办服务、人才队伍建设等医疗保障服务能力得到了有效提升。</w:t>
            </w:r>
          </w:p>
        </w:tc>
      </w:tr>
      <w:tr>
        <w:tblPrEx>
          <w:tblCellMar>
            <w:top w:w="0" w:type="dxa"/>
            <w:left w:w="108" w:type="dxa"/>
            <w:bottom w:w="0" w:type="dxa"/>
            <w:right w:w="108" w:type="dxa"/>
          </w:tblCellMar>
        </w:tblPrEx>
        <w:trPr>
          <w:gridAfter w:val="1"/>
          <w:wAfter w:w="125" w:type="pct"/>
          <w:trHeight w:val="738" w:hRule="atLeast"/>
        </w:trPr>
        <w:tc>
          <w:tcPr>
            <w:tcW w:w="11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年度绩效指标完成情况</w:t>
            </w:r>
          </w:p>
        </w:tc>
        <w:tc>
          <w:tcPr>
            <w:tcW w:w="6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kern w:val="0"/>
                <w:sz w:val="24"/>
                <w:szCs w:val="24"/>
                <w:lang w:bidi="ar"/>
              </w:rPr>
            </w:pPr>
            <w:r>
              <w:rPr>
                <w:rFonts w:eastAsia="方正仿宋简体"/>
                <w:color w:val="000000"/>
                <w:kern w:val="0"/>
                <w:sz w:val="24"/>
                <w:szCs w:val="24"/>
                <w:lang w:bidi="ar"/>
              </w:rPr>
              <w:t>一级</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指标</w:t>
            </w: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kern w:val="0"/>
                <w:sz w:val="24"/>
                <w:szCs w:val="24"/>
                <w:lang w:bidi="ar"/>
              </w:rPr>
            </w:pPr>
            <w:r>
              <w:rPr>
                <w:rFonts w:eastAsia="方正仿宋简体"/>
                <w:color w:val="000000"/>
                <w:kern w:val="0"/>
                <w:sz w:val="24"/>
                <w:szCs w:val="24"/>
                <w:lang w:bidi="ar"/>
              </w:rPr>
              <w:t>二级</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kern w:val="0"/>
                <w:sz w:val="24"/>
                <w:szCs w:val="24"/>
                <w:lang w:bidi="ar"/>
              </w:rPr>
            </w:pPr>
            <w:r>
              <w:rPr>
                <w:rFonts w:eastAsia="方正仿宋简体"/>
                <w:color w:val="000000"/>
                <w:kern w:val="0"/>
                <w:sz w:val="24"/>
                <w:szCs w:val="24"/>
                <w:lang w:bidi="ar"/>
              </w:rPr>
              <w:t>三级</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指标</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预期指标值</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center"/>
              <w:rPr>
                <w:rFonts w:eastAsia="方正仿宋简体"/>
                <w:color w:val="000000"/>
                <w:sz w:val="24"/>
                <w:szCs w:val="24"/>
              </w:rPr>
            </w:pPr>
            <w:r>
              <w:rPr>
                <w:rFonts w:eastAsia="方正仿宋简体"/>
                <w:color w:val="000000"/>
                <w:kern w:val="0"/>
                <w:sz w:val="24"/>
                <w:szCs w:val="24"/>
                <w:lang w:bidi="ar"/>
              </w:rPr>
              <w:t>实际完成指标值</w:t>
            </w:r>
          </w:p>
        </w:tc>
      </w:tr>
      <w:tr>
        <w:tblPrEx>
          <w:tblCellMar>
            <w:top w:w="0" w:type="dxa"/>
            <w:left w:w="108" w:type="dxa"/>
            <w:bottom w:w="0" w:type="dxa"/>
            <w:right w:w="108" w:type="dxa"/>
          </w:tblCellMar>
        </w:tblPrEx>
        <w:trPr>
          <w:gridAfter w:val="1"/>
          <w:wAfter w:w="125" w:type="pct"/>
          <w:trHeight w:val="480" w:hRule="atLeast"/>
        </w:trPr>
        <w:tc>
          <w:tcPr>
            <w:tcW w:w="11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kern w:val="0"/>
                <w:sz w:val="24"/>
                <w:szCs w:val="24"/>
                <w:lang w:bidi="ar"/>
              </w:rPr>
            </w:pPr>
            <w:r>
              <w:rPr>
                <w:rFonts w:eastAsia="方正仿宋简体"/>
                <w:color w:val="000000"/>
                <w:kern w:val="0"/>
                <w:sz w:val="24"/>
                <w:szCs w:val="24"/>
                <w:lang w:bidi="ar"/>
              </w:rPr>
              <w:t>完成</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sz w:val="24"/>
                <w:szCs w:val="24"/>
              </w:rPr>
            </w:pPr>
            <w:r>
              <w:rPr>
                <w:rFonts w:eastAsia="方正仿宋简体"/>
                <w:color w:val="000000"/>
                <w:kern w:val="0"/>
                <w:sz w:val="24"/>
                <w:szCs w:val="24"/>
                <w:lang w:bidi="ar"/>
              </w:rPr>
              <w:t>指标</w:t>
            </w: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sz w:val="24"/>
                <w:szCs w:val="24"/>
              </w:rPr>
            </w:pPr>
            <w:r>
              <w:rPr>
                <w:rFonts w:eastAsia="方正仿宋简体"/>
                <w:color w:val="000000"/>
                <w:kern w:val="0"/>
                <w:sz w:val="24"/>
                <w:szCs w:val="24"/>
                <w:lang w:bidi="ar"/>
              </w:rPr>
              <w:t>数量指标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公用经费和人员经费</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eastAsia="zh-CN"/>
              </w:rPr>
              <w:t>保障机关正常运行，工资待遇每月</w:t>
            </w:r>
            <w:r>
              <w:rPr>
                <w:rFonts w:hint="eastAsia" w:eastAsia="方正仿宋简体"/>
                <w:color w:val="000000"/>
                <w:sz w:val="24"/>
                <w:szCs w:val="24"/>
                <w:lang w:val="en-US" w:eastAsia="zh-CN"/>
              </w:rPr>
              <w:t>15日按时发放</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eastAsia" w:eastAsia="方正仿宋简体"/>
                <w:color w:val="000000"/>
                <w:sz w:val="24"/>
                <w:szCs w:val="24"/>
                <w:lang w:eastAsia="zh-CN"/>
              </w:rPr>
            </w:pPr>
            <w:r>
              <w:rPr>
                <w:rFonts w:hint="eastAsia" w:eastAsia="方正仿宋简体"/>
                <w:color w:val="000000"/>
                <w:sz w:val="24"/>
                <w:szCs w:val="24"/>
                <w:lang w:eastAsia="zh-CN"/>
              </w:rPr>
              <w:t>机关正常运行，工资待遇每月</w:t>
            </w:r>
            <w:r>
              <w:rPr>
                <w:rFonts w:hint="eastAsia" w:eastAsia="方正仿宋简体"/>
                <w:color w:val="000000"/>
                <w:sz w:val="24"/>
                <w:szCs w:val="24"/>
                <w:lang w:val="en-US" w:eastAsia="zh-CN"/>
              </w:rPr>
              <w:t>15日按时发放</w:t>
            </w:r>
          </w:p>
        </w:tc>
      </w:tr>
      <w:tr>
        <w:tblPrEx>
          <w:tblCellMar>
            <w:top w:w="0" w:type="dxa"/>
            <w:left w:w="108" w:type="dxa"/>
            <w:bottom w:w="0" w:type="dxa"/>
            <w:right w:w="108" w:type="dxa"/>
          </w:tblCellMar>
        </w:tblPrEx>
        <w:trPr>
          <w:gridAfter w:val="1"/>
          <w:wAfter w:w="125" w:type="pct"/>
          <w:trHeight w:val="1345" w:hRule="atLeast"/>
        </w:trPr>
        <w:tc>
          <w:tcPr>
            <w:tcW w:w="1102"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kern w:val="0"/>
                <w:sz w:val="24"/>
                <w:szCs w:val="24"/>
                <w:lang w:bidi="ar"/>
              </w:rPr>
            </w:pP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kern w:val="0"/>
                <w:sz w:val="24"/>
                <w:szCs w:val="24"/>
                <w:lang w:bidi="ar"/>
              </w:rPr>
            </w:pPr>
            <w:r>
              <w:rPr>
                <w:rFonts w:eastAsia="方正仿宋简体"/>
                <w:color w:val="000000"/>
                <w:kern w:val="0"/>
                <w:sz w:val="24"/>
                <w:szCs w:val="24"/>
                <w:lang w:bidi="ar"/>
              </w:rPr>
              <w:t>数量指标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eastAsia="zh-CN"/>
              </w:rPr>
              <w:t>定点医药机构监督检查</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eastAsia" w:eastAsia="方正仿宋简体"/>
                <w:color w:val="000000"/>
                <w:sz w:val="24"/>
                <w:szCs w:val="24"/>
                <w:lang w:eastAsia="zh-CN"/>
              </w:rPr>
            </w:pPr>
            <w:r>
              <w:rPr>
                <w:rFonts w:hint="eastAsia" w:eastAsia="方正仿宋简体"/>
                <w:color w:val="000000"/>
                <w:sz w:val="24"/>
                <w:szCs w:val="24"/>
                <w:lang w:val="en-US" w:eastAsia="zh-CN"/>
              </w:rPr>
              <w:t>257</w:t>
            </w:r>
            <w:r>
              <w:rPr>
                <w:rFonts w:hint="eastAsia" w:eastAsia="方正仿宋简体"/>
                <w:color w:val="000000"/>
                <w:sz w:val="24"/>
                <w:szCs w:val="24"/>
                <w:lang w:eastAsia="zh-CN"/>
              </w:rPr>
              <w:t>家</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eastAsia" w:eastAsia="方正仿宋简体"/>
                <w:color w:val="000000"/>
                <w:sz w:val="24"/>
                <w:szCs w:val="24"/>
                <w:lang w:eastAsia="zh-CN"/>
              </w:rPr>
            </w:pPr>
            <w:r>
              <w:rPr>
                <w:rFonts w:hint="eastAsia" w:eastAsia="方正仿宋简体"/>
                <w:color w:val="000000"/>
                <w:sz w:val="24"/>
                <w:szCs w:val="24"/>
                <w:lang w:val="en-US" w:eastAsia="zh-CN"/>
              </w:rPr>
              <w:t>259</w:t>
            </w:r>
            <w:r>
              <w:rPr>
                <w:rFonts w:hint="eastAsia" w:eastAsia="方正仿宋简体"/>
                <w:color w:val="000000"/>
                <w:sz w:val="24"/>
                <w:szCs w:val="24"/>
                <w:lang w:eastAsia="zh-CN"/>
              </w:rPr>
              <w:t>家</w:t>
            </w:r>
          </w:p>
        </w:tc>
      </w:tr>
      <w:tr>
        <w:tblPrEx>
          <w:tblCellMar>
            <w:top w:w="0" w:type="dxa"/>
            <w:left w:w="108" w:type="dxa"/>
            <w:bottom w:w="0" w:type="dxa"/>
            <w:right w:w="108" w:type="dxa"/>
          </w:tblCellMar>
        </w:tblPrEx>
        <w:trPr>
          <w:gridAfter w:val="1"/>
          <w:wAfter w:w="125" w:type="pct"/>
          <w:trHeight w:val="480" w:hRule="atLeast"/>
        </w:trPr>
        <w:tc>
          <w:tcPr>
            <w:tcW w:w="1102"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kern w:val="0"/>
                <w:sz w:val="24"/>
                <w:szCs w:val="24"/>
                <w:lang w:bidi="ar"/>
              </w:rPr>
            </w:pP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ascii="Times New Roman" w:hAnsi="Times New Roman" w:eastAsia="方正仿宋简体" w:cs="Times New Roman"/>
                <w:color w:val="000000"/>
                <w:kern w:val="0"/>
                <w:sz w:val="24"/>
                <w:szCs w:val="24"/>
                <w:lang w:val="en-US" w:eastAsia="zh-CN" w:bidi="ar"/>
              </w:rPr>
            </w:pPr>
            <w:r>
              <w:rPr>
                <w:rFonts w:eastAsia="方正仿宋简体"/>
                <w:color w:val="000000"/>
                <w:kern w:val="0"/>
                <w:sz w:val="24"/>
                <w:szCs w:val="24"/>
                <w:lang w:bidi="ar"/>
              </w:rPr>
              <w:t>数量指标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default" w:ascii="Times New Roman" w:hAnsi="Times New Roman" w:eastAsia="方正仿宋简体" w:cs="Times New Roman"/>
                <w:color w:val="000000"/>
                <w:kern w:val="2"/>
                <w:sz w:val="24"/>
                <w:szCs w:val="24"/>
                <w:lang w:val="en-US" w:eastAsia="zh-CN" w:bidi="ar-SA"/>
              </w:rPr>
            </w:pPr>
            <w:r>
              <w:rPr>
                <w:rFonts w:hint="eastAsia" w:eastAsia="方正仿宋简体"/>
                <w:color w:val="000000"/>
                <w:sz w:val="24"/>
                <w:szCs w:val="24"/>
                <w:lang w:eastAsia="zh-CN"/>
              </w:rPr>
              <w:t>医保支付方式改革和DGR试点医院</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eastAsia" w:eastAsia="方正仿宋简体"/>
                <w:color w:val="000000"/>
                <w:sz w:val="24"/>
                <w:szCs w:val="24"/>
                <w:lang w:eastAsia="zh-CN"/>
              </w:rPr>
            </w:pPr>
            <w:r>
              <w:rPr>
                <w:rFonts w:hint="eastAsia" w:eastAsia="方正仿宋简体"/>
                <w:color w:val="000000"/>
                <w:sz w:val="24"/>
                <w:szCs w:val="24"/>
                <w:lang w:val="en-US" w:eastAsia="zh-CN"/>
              </w:rPr>
              <w:t>3</w:t>
            </w:r>
            <w:r>
              <w:rPr>
                <w:rFonts w:hint="eastAsia" w:eastAsia="方正仿宋简体"/>
                <w:color w:val="000000"/>
                <w:sz w:val="24"/>
                <w:szCs w:val="24"/>
                <w:lang w:eastAsia="zh-CN"/>
              </w:rPr>
              <w:t>家</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eastAsia" w:eastAsia="方正仿宋简体"/>
                <w:color w:val="000000"/>
                <w:sz w:val="24"/>
                <w:szCs w:val="24"/>
                <w:lang w:eastAsia="zh-CN"/>
              </w:rPr>
            </w:pPr>
            <w:r>
              <w:rPr>
                <w:rFonts w:hint="eastAsia" w:eastAsia="方正仿宋简体"/>
                <w:color w:val="000000"/>
                <w:sz w:val="24"/>
                <w:szCs w:val="24"/>
                <w:lang w:val="en-US" w:eastAsia="zh-CN"/>
              </w:rPr>
              <w:t>3</w:t>
            </w:r>
            <w:r>
              <w:rPr>
                <w:rFonts w:hint="eastAsia" w:eastAsia="方正仿宋简体"/>
                <w:color w:val="000000"/>
                <w:sz w:val="24"/>
                <w:szCs w:val="24"/>
                <w:lang w:eastAsia="zh-CN"/>
              </w:rPr>
              <w:t>家</w:t>
            </w:r>
          </w:p>
        </w:tc>
      </w:tr>
      <w:tr>
        <w:tblPrEx>
          <w:tblCellMar>
            <w:top w:w="0" w:type="dxa"/>
            <w:left w:w="108" w:type="dxa"/>
            <w:bottom w:w="0" w:type="dxa"/>
            <w:right w:w="108" w:type="dxa"/>
          </w:tblCellMar>
        </w:tblPrEx>
        <w:trPr>
          <w:gridAfter w:val="1"/>
          <w:wAfter w:w="125" w:type="pct"/>
          <w:trHeight w:val="480" w:hRule="atLeast"/>
        </w:trPr>
        <w:tc>
          <w:tcPr>
            <w:tcW w:w="1102"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vMerge w:val="continue"/>
            <w:tcBorders>
              <w:top w:val="single" w:color="auto" w:sz="4" w:space="0"/>
              <w:left w:val="single" w:color="000000"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kern w:val="0"/>
                <w:sz w:val="24"/>
                <w:szCs w:val="24"/>
                <w:lang w:bidi="ar"/>
              </w:rPr>
            </w:pPr>
            <w:r>
              <w:rPr>
                <w:rFonts w:eastAsia="方正仿宋简体"/>
                <w:color w:val="000000"/>
                <w:kern w:val="0"/>
                <w:sz w:val="24"/>
                <w:szCs w:val="24"/>
                <w:lang w:bidi="ar"/>
              </w:rPr>
              <w:t>数量指标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eastAsia" w:eastAsia="方正仿宋简体"/>
                <w:color w:val="000000"/>
                <w:sz w:val="24"/>
                <w:szCs w:val="24"/>
                <w:lang w:eastAsia="zh-CN"/>
              </w:rPr>
            </w:pPr>
            <w:r>
              <w:rPr>
                <w:rFonts w:hint="eastAsia" w:ascii="仿宋_GB2312" w:hAnsi="仿宋_GB2312" w:eastAsia="仿宋_GB2312" w:cs="仿宋_GB2312"/>
                <w:i w:val="0"/>
                <w:color w:val="auto"/>
                <w:sz w:val="28"/>
                <w:szCs w:val="28"/>
                <w:u w:val="none"/>
              </w:rPr>
              <w:t>开展“打击欺诈骗保、维护基金安全”集中宣传月活动（次）</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eastAsia" w:eastAsia="方正仿宋简体"/>
                <w:color w:val="000000"/>
                <w:sz w:val="24"/>
                <w:szCs w:val="24"/>
                <w:lang w:val="en-US" w:eastAsia="zh-CN"/>
              </w:rPr>
            </w:pPr>
            <w:r>
              <w:rPr>
                <w:rFonts w:hint="eastAsia" w:eastAsia="方正仿宋简体"/>
                <w:color w:val="000000"/>
                <w:sz w:val="24"/>
                <w:szCs w:val="24"/>
                <w:lang w:val="en-US" w:eastAsia="zh-CN"/>
              </w:rPr>
              <w:t>1次</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1次</w:t>
            </w:r>
          </w:p>
        </w:tc>
      </w:tr>
      <w:tr>
        <w:tblPrEx>
          <w:tblCellMar>
            <w:top w:w="0" w:type="dxa"/>
            <w:left w:w="108" w:type="dxa"/>
            <w:bottom w:w="0" w:type="dxa"/>
            <w:right w:w="108" w:type="dxa"/>
          </w:tblCellMar>
        </w:tblPrEx>
        <w:trPr>
          <w:gridAfter w:val="1"/>
          <w:wAfter w:w="125" w:type="pct"/>
          <w:trHeight w:val="480" w:hRule="atLeast"/>
        </w:trPr>
        <w:tc>
          <w:tcPr>
            <w:tcW w:w="1102"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vMerge w:val="continue"/>
            <w:tcBorders>
              <w:top w:val="single" w:color="auto" w:sz="4" w:space="0"/>
              <w:left w:val="single" w:color="000000"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sz w:val="24"/>
                <w:szCs w:val="24"/>
              </w:rPr>
            </w:pPr>
            <w:r>
              <w:rPr>
                <w:rFonts w:eastAsia="方正仿宋简体"/>
                <w:color w:val="000000"/>
                <w:kern w:val="0"/>
                <w:sz w:val="24"/>
                <w:szCs w:val="24"/>
                <w:lang w:bidi="ar"/>
              </w:rPr>
              <w:t>质量指标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eastAsia" w:eastAsia="方正仿宋简体"/>
                <w:color w:val="000000"/>
                <w:sz w:val="24"/>
                <w:szCs w:val="24"/>
                <w:lang w:eastAsia="zh-CN"/>
              </w:rPr>
            </w:pPr>
            <w:r>
              <w:rPr>
                <w:rFonts w:hint="eastAsia" w:eastAsia="方正仿宋简体"/>
                <w:color w:val="000000"/>
                <w:sz w:val="24"/>
                <w:szCs w:val="24"/>
                <w:lang w:eastAsia="zh-CN"/>
              </w:rPr>
              <w:t>定点医药机构监督检查覆盖率</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100%</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100%</w:t>
            </w:r>
          </w:p>
        </w:tc>
      </w:tr>
      <w:tr>
        <w:tblPrEx>
          <w:tblCellMar>
            <w:top w:w="0" w:type="dxa"/>
            <w:left w:w="108" w:type="dxa"/>
            <w:bottom w:w="0" w:type="dxa"/>
            <w:right w:w="108" w:type="dxa"/>
          </w:tblCellMar>
        </w:tblPrEx>
        <w:trPr>
          <w:gridAfter w:val="1"/>
          <w:wAfter w:w="125" w:type="pct"/>
          <w:trHeight w:val="480" w:hRule="atLeast"/>
        </w:trPr>
        <w:tc>
          <w:tcPr>
            <w:tcW w:w="1102"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vMerge w:val="continue"/>
            <w:tcBorders>
              <w:top w:val="single" w:color="auto" w:sz="4" w:space="0"/>
              <w:left w:val="single" w:color="000000"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kern w:val="0"/>
                <w:sz w:val="24"/>
                <w:szCs w:val="24"/>
                <w:lang w:bidi="ar"/>
              </w:rPr>
            </w:pPr>
            <w:r>
              <w:rPr>
                <w:rFonts w:eastAsia="方正仿宋简体"/>
                <w:color w:val="000000"/>
                <w:kern w:val="0"/>
                <w:sz w:val="24"/>
                <w:szCs w:val="24"/>
                <w:lang w:bidi="ar"/>
              </w:rPr>
              <w:t>质量指标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rPr>
            </w:pPr>
            <w:r>
              <w:rPr>
                <w:rFonts w:hint="eastAsia" w:eastAsia="方正仿宋简体"/>
                <w:color w:val="000000"/>
                <w:sz w:val="24"/>
                <w:szCs w:val="24"/>
                <w:lang w:val="en-US" w:eastAsia="zh-CN"/>
              </w:rPr>
              <w:t>网络、信息安全运行率</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100%</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100%</w:t>
            </w:r>
          </w:p>
        </w:tc>
      </w:tr>
      <w:tr>
        <w:tblPrEx>
          <w:tblCellMar>
            <w:top w:w="0" w:type="dxa"/>
            <w:left w:w="108" w:type="dxa"/>
            <w:bottom w:w="0" w:type="dxa"/>
            <w:right w:w="108" w:type="dxa"/>
          </w:tblCellMar>
        </w:tblPrEx>
        <w:trPr>
          <w:gridAfter w:val="1"/>
          <w:wAfter w:w="125" w:type="pct"/>
          <w:trHeight w:val="480" w:hRule="atLeast"/>
        </w:trPr>
        <w:tc>
          <w:tcPr>
            <w:tcW w:w="1102"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vMerge w:val="continue"/>
            <w:tcBorders>
              <w:top w:val="single" w:color="auto" w:sz="4" w:space="0"/>
              <w:left w:val="single" w:color="000000"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910" w:type="pct"/>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sz w:val="24"/>
                <w:szCs w:val="24"/>
              </w:rPr>
            </w:pPr>
            <w:r>
              <w:rPr>
                <w:rFonts w:eastAsia="方正仿宋简体"/>
                <w:color w:val="000000"/>
                <w:kern w:val="0"/>
                <w:sz w:val="24"/>
                <w:szCs w:val="24"/>
                <w:lang w:bidi="ar"/>
              </w:rPr>
              <w:t>时效指标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eastAsia" w:eastAsia="方正仿宋简体"/>
                <w:color w:val="000000"/>
                <w:sz w:val="24"/>
                <w:szCs w:val="24"/>
                <w:lang w:eastAsia="zh-CN"/>
              </w:rPr>
            </w:pPr>
            <w:r>
              <w:rPr>
                <w:rFonts w:hint="eastAsia" w:eastAsia="方正仿宋简体"/>
                <w:color w:val="000000"/>
                <w:sz w:val="24"/>
                <w:szCs w:val="24"/>
                <w:lang w:val="en-US" w:eastAsia="zh-CN"/>
              </w:rPr>
              <w:t>12月底</w:t>
            </w:r>
            <w:r>
              <w:rPr>
                <w:rFonts w:hint="eastAsia" w:eastAsia="方正仿宋简体"/>
                <w:color w:val="000000"/>
                <w:sz w:val="24"/>
                <w:szCs w:val="24"/>
                <w:lang w:eastAsia="zh-CN"/>
              </w:rPr>
              <w:t>完成率</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100%</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100%</w:t>
            </w:r>
          </w:p>
        </w:tc>
      </w:tr>
      <w:tr>
        <w:tblPrEx>
          <w:tblCellMar>
            <w:top w:w="0" w:type="dxa"/>
            <w:left w:w="108" w:type="dxa"/>
            <w:bottom w:w="0" w:type="dxa"/>
            <w:right w:w="108" w:type="dxa"/>
          </w:tblCellMar>
        </w:tblPrEx>
        <w:trPr>
          <w:gridAfter w:val="1"/>
          <w:wAfter w:w="125" w:type="pct"/>
          <w:trHeight w:val="880" w:hRule="atLeast"/>
        </w:trPr>
        <w:tc>
          <w:tcPr>
            <w:tcW w:w="1102"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eastAsia" w:eastAsia="方正仿宋简体"/>
                <w:color w:val="000000"/>
                <w:kern w:val="0"/>
                <w:sz w:val="24"/>
                <w:szCs w:val="24"/>
                <w:lang w:eastAsia="zh-CN" w:bidi="ar"/>
              </w:rPr>
            </w:pPr>
            <w:r>
              <w:rPr>
                <w:rFonts w:eastAsia="方正仿宋简体"/>
                <w:color w:val="000000"/>
                <w:kern w:val="0"/>
                <w:sz w:val="24"/>
                <w:szCs w:val="24"/>
                <w:lang w:bidi="ar"/>
              </w:rPr>
              <w:t>效益</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sz w:val="24"/>
                <w:szCs w:val="24"/>
              </w:rPr>
            </w:pPr>
            <w:r>
              <w:rPr>
                <w:rFonts w:eastAsia="方正仿宋简体"/>
                <w:color w:val="000000"/>
                <w:kern w:val="0"/>
                <w:sz w:val="24"/>
                <w:szCs w:val="24"/>
                <w:lang w:bidi="ar"/>
              </w:rPr>
              <w:t>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eastAsia" w:eastAsia="方正仿宋简体"/>
                <w:color w:val="000000"/>
                <w:sz w:val="24"/>
                <w:szCs w:val="24"/>
                <w:lang w:eastAsia="zh-CN"/>
              </w:rPr>
            </w:pPr>
            <w:r>
              <w:rPr>
                <w:rFonts w:hint="eastAsia" w:eastAsia="方正仿宋简体"/>
                <w:color w:val="000000"/>
                <w:sz w:val="24"/>
                <w:szCs w:val="24"/>
                <w:lang w:eastAsia="zh-CN"/>
              </w:rPr>
              <w:t>社会效益指标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tabs>
                <w:tab w:val="left" w:pos="347"/>
              </w:tabs>
              <w:kinsoku/>
              <w:wordWrap/>
              <w:overflowPunct/>
              <w:topLinePunct w:val="0"/>
              <w:autoSpaceDE/>
              <w:autoSpaceDN/>
              <w:bidi w:val="0"/>
              <w:spacing w:beforeAutospacing="0" w:afterAutospacing="0" w:line="320" w:lineRule="exact"/>
              <w:jc w:val="left"/>
              <w:textAlignment w:val="bottom"/>
              <w:rPr>
                <w:rFonts w:hint="default" w:eastAsia="方正仿宋简体"/>
                <w:color w:val="000000"/>
                <w:sz w:val="24"/>
                <w:szCs w:val="24"/>
                <w:lang w:val="en-US" w:eastAsia="zh-CN"/>
              </w:rPr>
            </w:pPr>
            <w:r>
              <w:rPr>
                <w:rFonts w:hint="eastAsia" w:eastAsia="方正仿宋简体"/>
                <w:color w:val="000000"/>
                <w:sz w:val="24"/>
                <w:szCs w:val="24"/>
                <w:lang w:eastAsia="zh-CN"/>
              </w:rPr>
              <w:t>确保医保基金安全平稳运行、维护参保群众的利益。</w:t>
            </w:r>
            <w:r>
              <w:rPr>
                <w:rFonts w:hint="eastAsia" w:eastAsia="方正仿宋简体"/>
                <w:color w:val="000000"/>
                <w:sz w:val="24"/>
                <w:szCs w:val="24"/>
                <w:lang w:eastAsia="zh-CN"/>
              </w:rPr>
              <w:tab/>
            </w:r>
            <w:r>
              <w:rPr>
                <w:rFonts w:hint="eastAsia" w:eastAsia="方正仿宋简体"/>
                <w:color w:val="000000"/>
                <w:sz w:val="24"/>
                <w:szCs w:val="24"/>
                <w:lang w:eastAsia="zh-CN"/>
              </w:rPr>
              <w:tab/>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both"/>
              <w:textAlignment w:val="bottom"/>
              <w:rPr>
                <w:rFonts w:eastAsia="方正仿宋简体"/>
                <w:color w:val="000000"/>
                <w:sz w:val="24"/>
                <w:szCs w:val="24"/>
              </w:rPr>
            </w:pPr>
            <w:r>
              <w:rPr>
                <w:rFonts w:hint="eastAsia" w:eastAsia="方正仿宋简体"/>
                <w:color w:val="000000"/>
                <w:sz w:val="24"/>
                <w:szCs w:val="24"/>
                <w:lang w:val="en-US" w:eastAsia="zh-CN"/>
              </w:rPr>
              <w:t>100%</w:t>
            </w:r>
            <w:r>
              <w:rPr>
                <w:rFonts w:hint="eastAsia" w:eastAsia="方正仿宋简体"/>
                <w:color w:val="000000"/>
                <w:sz w:val="24"/>
                <w:szCs w:val="24"/>
                <w:lang w:eastAsia="zh-CN"/>
              </w:rPr>
              <w:tab/>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eastAsia" w:eastAsia="方正仿宋简体"/>
                <w:color w:val="000000"/>
                <w:sz w:val="24"/>
                <w:szCs w:val="24"/>
                <w:lang w:val="en-US" w:eastAsia="zh-CN"/>
              </w:rPr>
              <w:t>100%</w:t>
            </w:r>
          </w:p>
        </w:tc>
      </w:tr>
      <w:tr>
        <w:tblPrEx>
          <w:tblCellMar>
            <w:top w:w="0" w:type="dxa"/>
            <w:left w:w="108" w:type="dxa"/>
            <w:bottom w:w="0" w:type="dxa"/>
            <w:right w:w="108" w:type="dxa"/>
          </w:tblCellMar>
        </w:tblPrEx>
        <w:trPr>
          <w:gridAfter w:val="1"/>
          <w:wAfter w:w="125" w:type="pct"/>
          <w:trHeight w:val="480" w:hRule="atLeast"/>
        </w:trPr>
        <w:tc>
          <w:tcPr>
            <w:tcW w:w="1102"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beforeAutospacing="0" w:afterAutospacing="0" w:line="320" w:lineRule="exact"/>
              <w:jc w:val="center"/>
              <w:rPr>
                <w:rFonts w:eastAsia="方正仿宋简体"/>
                <w:color w:val="000000"/>
                <w:sz w:val="24"/>
                <w:szCs w:val="24"/>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eastAsia" w:eastAsia="方正仿宋简体"/>
                <w:color w:val="000000"/>
                <w:kern w:val="0"/>
                <w:sz w:val="24"/>
                <w:szCs w:val="24"/>
                <w:lang w:eastAsia="zh-CN" w:bidi="ar"/>
              </w:rPr>
            </w:pPr>
            <w:r>
              <w:rPr>
                <w:rFonts w:eastAsia="方正仿宋简体"/>
                <w:color w:val="000000"/>
                <w:kern w:val="0"/>
                <w:sz w:val="24"/>
                <w:szCs w:val="24"/>
                <w:lang w:bidi="ar"/>
              </w:rPr>
              <w:t>满意</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sz w:val="24"/>
                <w:szCs w:val="24"/>
              </w:rPr>
            </w:pPr>
            <w:r>
              <w:rPr>
                <w:rFonts w:eastAsia="方正仿宋简体"/>
                <w:color w:val="000000"/>
                <w:kern w:val="0"/>
                <w:sz w:val="24"/>
                <w:szCs w:val="24"/>
                <w:lang w:bidi="ar"/>
              </w:rPr>
              <w:t>度指标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kern w:val="0"/>
                <w:sz w:val="24"/>
                <w:szCs w:val="24"/>
                <w:lang w:bidi="ar"/>
              </w:rPr>
            </w:pPr>
            <w:r>
              <w:rPr>
                <w:rFonts w:eastAsia="方正仿宋简体"/>
                <w:color w:val="000000"/>
                <w:kern w:val="0"/>
                <w:sz w:val="24"/>
                <w:szCs w:val="24"/>
                <w:lang w:bidi="ar"/>
              </w:rPr>
              <w:t>满意度</w:t>
            </w:r>
          </w:p>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eastAsia="方正仿宋简体"/>
                <w:color w:val="000000"/>
                <w:sz w:val="24"/>
                <w:szCs w:val="24"/>
              </w:rPr>
            </w:pPr>
            <w:r>
              <w:rPr>
                <w:rFonts w:eastAsia="方正仿宋简体"/>
                <w:color w:val="000000"/>
                <w:kern w:val="0"/>
                <w:sz w:val="24"/>
                <w:szCs w:val="24"/>
                <w:lang w:bidi="ar"/>
              </w:rPr>
              <w:t>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eastAsia" w:eastAsia="方正仿宋简体"/>
                <w:color w:val="000000"/>
                <w:sz w:val="24"/>
                <w:szCs w:val="24"/>
                <w:lang w:val="en-US" w:eastAsia="zh-CN"/>
              </w:rPr>
            </w:pPr>
            <w:r>
              <w:rPr>
                <w:rFonts w:hint="eastAsia" w:eastAsia="方正仿宋简体"/>
                <w:color w:val="000000"/>
                <w:sz w:val="24"/>
                <w:szCs w:val="24"/>
                <w:lang w:val="en-US" w:eastAsia="zh-CN"/>
              </w:rPr>
              <w:t>服务对象满意度</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default" w:ascii="Arial" w:hAnsi="Arial" w:eastAsia="方正仿宋简体" w:cs="Arial"/>
                <w:color w:val="000000"/>
                <w:sz w:val="24"/>
                <w:szCs w:val="24"/>
                <w:lang w:val="en-US" w:eastAsia="zh-CN"/>
              </w:rPr>
              <w:t>≥</w:t>
            </w:r>
            <w:r>
              <w:rPr>
                <w:rFonts w:hint="eastAsia" w:eastAsia="方正仿宋简体"/>
                <w:color w:val="000000"/>
                <w:sz w:val="24"/>
                <w:szCs w:val="24"/>
                <w:lang w:val="en-US" w:eastAsia="zh-CN"/>
              </w:rPr>
              <w:t>90%</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beforeAutospacing="0" w:afterAutospacing="0" w:line="320" w:lineRule="exact"/>
              <w:jc w:val="center"/>
              <w:textAlignment w:val="bottom"/>
              <w:rPr>
                <w:rFonts w:hint="default" w:eastAsia="方正仿宋简体"/>
                <w:color w:val="000000"/>
                <w:sz w:val="24"/>
                <w:szCs w:val="24"/>
                <w:lang w:val="en-US" w:eastAsia="zh-CN"/>
              </w:rPr>
            </w:pPr>
            <w:r>
              <w:rPr>
                <w:rFonts w:hint="default" w:ascii="Arial" w:hAnsi="Arial" w:eastAsia="方正仿宋简体" w:cs="Arial"/>
                <w:color w:val="000000"/>
                <w:sz w:val="24"/>
                <w:szCs w:val="24"/>
                <w:lang w:val="en-US" w:eastAsia="zh-CN"/>
              </w:rPr>
              <w:t>≥</w:t>
            </w:r>
            <w:r>
              <w:rPr>
                <w:rFonts w:hint="eastAsia" w:eastAsia="方正仿宋简体"/>
                <w:color w:val="000000"/>
                <w:sz w:val="24"/>
                <w:szCs w:val="24"/>
                <w:lang w:val="en-US" w:eastAsia="zh-CN"/>
              </w:rPr>
              <w:t>90%</w:t>
            </w:r>
          </w:p>
        </w:tc>
      </w:tr>
    </w:tbl>
    <w:p>
      <w:pPr>
        <w:keepNext w:val="0"/>
        <w:keepLines w:val="0"/>
        <w:pageBreakBefore w:val="0"/>
        <w:widowControl/>
        <w:kinsoku/>
        <w:wordWrap/>
        <w:overflowPunct/>
        <w:topLinePunct w:val="0"/>
        <w:autoSpaceDE/>
        <w:autoSpaceDN/>
        <w:bidi w:val="0"/>
        <w:adjustRightInd w:val="0"/>
        <w:snapToGrid w:val="0"/>
        <w:spacing w:beforeAutospacing="0" w:afterAutospacing="0" w:line="580" w:lineRule="exact"/>
        <w:contextualSpacing/>
        <w:jc w:val="left"/>
        <w:rPr>
          <w:rFonts w:eastAsia="方正仿宋简体"/>
          <w:color w:val="000000"/>
          <w:kern w:val="0"/>
          <w:sz w:val="30"/>
          <w:szCs w:val="30"/>
          <w:shd w:val="clear" w:color="auto" w:fill="FFFFFF"/>
        </w:rPr>
      </w:pPr>
    </w:p>
    <w:p>
      <w:pPr>
        <w:spacing w:line="580" w:lineRule="exact"/>
        <w:ind w:firstLine="640" w:firstLineChars="200"/>
        <w:rPr>
          <w:rFonts w:ascii="仿宋_GB2312" w:hAnsi="仿宋_GB2312" w:eastAsia="仿宋_GB2312" w:cs="仿宋_GB2312"/>
          <w:sz w:val="32"/>
          <w:szCs w:val="32"/>
        </w:rPr>
      </w:pPr>
    </w:p>
    <w:p>
      <w:pPr>
        <w:spacing w:line="600" w:lineRule="exact"/>
        <w:jc w:val="both"/>
        <w:outlineLvl w:val="0"/>
        <w:rPr>
          <w:rFonts w:hint="eastAsia" w:ascii="黑体" w:hAnsi="黑体" w:eastAsia="黑体"/>
          <w:color w:val="auto"/>
          <w:sz w:val="44"/>
          <w:szCs w:val="44"/>
          <w:highlight w:val="none"/>
        </w:rPr>
      </w:pPr>
      <w:bookmarkStart w:id="53" w:name="_Toc15396618"/>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rPr>
          <w:rFonts w:hint="eastAsia"/>
        </w:rPr>
      </w:pPr>
    </w:p>
    <w:p>
      <w:pPr>
        <w:spacing w:line="600" w:lineRule="exact"/>
        <w:ind w:firstLine="2640" w:firstLineChars="600"/>
        <w:jc w:val="both"/>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57"/>
    </w:p>
    <w:p>
      <w:pPr>
        <w:pStyle w:val="4"/>
        <w:rPr>
          <w:rStyle w:val="28"/>
          <w:rFonts w:ascii="仿宋" w:hAnsi="仿宋" w:eastAsia="仿宋"/>
          <w:b w:val="0"/>
          <w:bCs w:val="0"/>
          <w:color w:val="auto"/>
          <w:highlight w:val="none"/>
        </w:rPr>
      </w:pPr>
      <w:bookmarkStart w:id="58"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65"/>
    </w:p>
    <w:p>
      <w:pPr>
        <w:pStyle w:val="4"/>
        <w:rPr>
          <w:rStyle w:val="28"/>
          <w:rFonts w:hint="eastAsia" w:ascii="仿宋" w:hAnsi="仿宋" w:eastAsia="仿宋"/>
          <w:b w:val="0"/>
          <w:bCs w:val="0"/>
          <w:color w:val="auto"/>
          <w:highlight w:val="none"/>
        </w:rPr>
      </w:pPr>
      <w:bookmarkStart w:id="66" w:name="_Toc15396631"/>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8"/>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948B4E0-4374-409B-9FB5-0EC5D4247950}"/>
  </w:font>
  <w:font w:name="黑体">
    <w:panose1 w:val="02010609060101010101"/>
    <w:charset w:val="86"/>
    <w:family w:val="auto"/>
    <w:pitch w:val="default"/>
    <w:sig w:usb0="800002BF" w:usb1="38CF7CFA" w:usb2="00000016" w:usb3="00000000" w:csb0="00040001" w:csb1="00000000"/>
    <w:embedRegular r:id="rId2" w:fontKey="{0029692D-5FA7-40D4-BB29-8C5CF5E52D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3" w:fontKey="{45567CE4-E498-4631-87D8-D542C9C7D072}"/>
  </w:font>
  <w:font w:name="仿宋_GB2312">
    <w:altName w:val="仿宋"/>
    <w:panose1 w:val="02010609030101010101"/>
    <w:charset w:val="86"/>
    <w:family w:val="modern"/>
    <w:pitch w:val="default"/>
    <w:sig w:usb0="00000000" w:usb1="00000000" w:usb2="00000000" w:usb3="00000000" w:csb0="00040000" w:csb1="00000000"/>
    <w:embedRegular r:id="rId4" w:fontKey="{0B76AED0-E006-415A-B99B-462E112D27CB}"/>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50F6BD6"/>
    <w:multiLevelType w:val="singleLevel"/>
    <w:tmpl w:val="750F6BD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NzU2M2NjYjhkOTkxNDM0ODE3ODlkNGZmN2NkNmYifQ=="/>
  </w:docVars>
  <w:rsids>
    <w:rsidRoot w:val="00F1361C"/>
    <w:rsid w:val="00013654"/>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4716"/>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61F7"/>
    <w:rsid w:val="002D6D05"/>
    <w:rsid w:val="002F1818"/>
    <w:rsid w:val="002F567B"/>
    <w:rsid w:val="003216A9"/>
    <w:rsid w:val="00335A74"/>
    <w:rsid w:val="0036561B"/>
    <w:rsid w:val="0037013F"/>
    <w:rsid w:val="00380C92"/>
    <w:rsid w:val="003A3B34"/>
    <w:rsid w:val="003A484F"/>
    <w:rsid w:val="003A4883"/>
    <w:rsid w:val="003B0BE0"/>
    <w:rsid w:val="003B0C1B"/>
    <w:rsid w:val="003B688C"/>
    <w:rsid w:val="003C0291"/>
    <w:rsid w:val="003C39AE"/>
    <w:rsid w:val="003C7B60"/>
    <w:rsid w:val="003D0C0F"/>
    <w:rsid w:val="003D1FB2"/>
    <w:rsid w:val="003D66DA"/>
    <w:rsid w:val="003E1310"/>
    <w:rsid w:val="003E15FA"/>
    <w:rsid w:val="003E6F55"/>
    <w:rsid w:val="00406254"/>
    <w:rsid w:val="004223DE"/>
    <w:rsid w:val="00423C6D"/>
    <w:rsid w:val="00434489"/>
    <w:rsid w:val="00437085"/>
    <w:rsid w:val="00443880"/>
    <w:rsid w:val="004464F4"/>
    <w:rsid w:val="00471401"/>
    <w:rsid w:val="00473F31"/>
    <w:rsid w:val="0048263A"/>
    <w:rsid w:val="00487E5D"/>
    <w:rsid w:val="004A711F"/>
    <w:rsid w:val="004B199D"/>
    <w:rsid w:val="004B4690"/>
    <w:rsid w:val="004E0A2D"/>
    <w:rsid w:val="004E206B"/>
    <w:rsid w:val="004E43BF"/>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4296"/>
    <w:rsid w:val="007E23B0"/>
    <w:rsid w:val="007E23E5"/>
    <w:rsid w:val="007F1787"/>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1DAB"/>
    <w:rsid w:val="00871F71"/>
    <w:rsid w:val="00872FD8"/>
    <w:rsid w:val="00885AF4"/>
    <w:rsid w:val="008939CD"/>
    <w:rsid w:val="008B768C"/>
    <w:rsid w:val="008C4DB1"/>
    <w:rsid w:val="008C4EAF"/>
    <w:rsid w:val="008C5176"/>
    <w:rsid w:val="008C7FD0"/>
    <w:rsid w:val="008D313A"/>
    <w:rsid w:val="008E1DE7"/>
    <w:rsid w:val="008E707C"/>
    <w:rsid w:val="00900B08"/>
    <w:rsid w:val="00902155"/>
    <w:rsid w:val="00902FA3"/>
    <w:rsid w:val="00923564"/>
    <w:rsid w:val="0092392E"/>
    <w:rsid w:val="009315F9"/>
    <w:rsid w:val="00933499"/>
    <w:rsid w:val="00935C98"/>
    <w:rsid w:val="00946945"/>
    <w:rsid w:val="00951248"/>
    <w:rsid w:val="0095152F"/>
    <w:rsid w:val="00951FEE"/>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10BF"/>
    <w:rsid w:val="00A04EB0"/>
    <w:rsid w:val="00A13CC1"/>
    <w:rsid w:val="00A16847"/>
    <w:rsid w:val="00A237D8"/>
    <w:rsid w:val="00A268C4"/>
    <w:rsid w:val="00A307CD"/>
    <w:rsid w:val="00A331C8"/>
    <w:rsid w:val="00A364B9"/>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7D65"/>
    <w:rsid w:val="00D20620"/>
    <w:rsid w:val="00D254F7"/>
    <w:rsid w:val="00D26091"/>
    <w:rsid w:val="00D2685C"/>
    <w:rsid w:val="00D34E7C"/>
    <w:rsid w:val="00D35489"/>
    <w:rsid w:val="00D36AFE"/>
    <w:rsid w:val="00D51276"/>
    <w:rsid w:val="00D7035F"/>
    <w:rsid w:val="00D91EDB"/>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5C2"/>
    <w:rsid w:val="00E867B6"/>
    <w:rsid w:val="00EA010F"/>
    <w:rsid w:val="00EB60B2"/>
    <w:rsid w:val="00ED1B63"/>
    <w:rsid w:val="00ED3C1F"/>
    <w:rsid w:val="00ED4085"/>
    <w:rsid w:val="00ED420E"/>
    <w:rsid w:val="00ED6FBE"/>
    <w:rsid w:val="00EE2F57"/>
    <w:rsid w:val="00EF4C34"/>
    <w:rsid w:val="00EF77C6"/>
    <w:rsid w:val="00F01C15"/>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0390C"/>
    <w:rsid w:val="010B074C"/>
    <w:rsid w:val="011E3D92"/>
    <w:rsid w:val="012643AC"/>
    <w:rsid w:val="01347A59"/>
    <w:rsid w:val="014D4677"/>
    <w:rsid w:val="01521C8D"/>
    <w:rsid w:val="018A58CB"/>
    <w:rsid w:val="01EC20E2"/>
    <w:rsid w:val="020C62E0"/>
    <w:rsid w:val="020D21BB"/>
    <w:rsid w:val="02225B04"/>
    <w:rsid w:val="02315D47"/>
    <w:rsid w:val="02317AF5"/>
    <w:rsid w:val="023D293E"/>
    <w:rsid w:val="026C4FD1"/>
    <w:rsid w:val="02720839"/>
    <w:rsid w:val="027C3D6B"/>
    <w:rsid w:val="027E3844"/>
    <w:rsid w:val="027F4D04"/>
    <w:rsid w:val="028F06C1"/>
    <w:rsid w:val="02922C89"/>
    <w:rsid w:val="02A46519"/>
    <w:rsid w:val="02AE1145"/>
    <w:rsid w:val="02D84414"/>
    <w:rsid w:val="02DA018C"/>
    <w:rsid w:val="0300236B"/>
    <w:rsid w:val="03045209"/>
    <w:rsid w:val="03272FC0"/>
    <w:rsid w:val="03360643"/>
    <w:rsid w:val="035717DD"/>
    <w:rsid w:val="03656E4C"/>
    <w:rsid w:val="036C5C5C"/>
    <w:rsid w:val="03716C52"/>
    <w:rsid w:val="03F721BB"/>
    <w:rsid w:val="04054982"/>
    <w:rsid w:val="04194CE4"/>
    <w:rsid w:val="043B10FF"/>
    <w:rsid w:val="04695C6C"/>
    <w:rsid w:val="04700DA8"/>
    <w:rsid w:val="04806B11"/>
    <w:rsid w:val="04820ADC"/>
    <w:rsid w:val="04910D1F"/>
    <w:rsid w:val="04936845"/>
    <w:rsid w:val="04AC5B58"/>
    <w:rsid w:val="04D72BD5"/>
    <w:rsid w:val="04FE63B4"/>
    <w:rsid w:val="05096B07"/>
    <w:rsid w:val="050E236F"/>
    <w:rsid w:val="053C45A3"/>
    <w:rsid w:val="05511124"/>
    <w:rsid w:val="05575AC4"/>
    <w:rsid w:val="058D7738"/>
    <w:rsid w:val="05961A9F"/>
    <w:rsid w:val="05A30D0A"/>
    <w:rsid w:val="05C84C14"/>
    <w:rsid w:val="05DA64B7"/>
    <w:rsid w:val="05E27A84"/>
    <w:rsid w:val="05E355AA"/>
    <w:rsid w:val="05ED01D7"/>
    <w:rsid w:val="06113EC5"/>
    <w:rsid w:val="063A78C0"/>
    <w:rsid w:val="063B53E6"/>
    <w:rsid w:val="06563FCE"/>
    <w:rsid w:val="06824DC3"/>
    <w:rsid w:val="069B5E85"/>
    <w:rsid w:val="06B50CF4"/>
    <w:rsid w:val="06BF1B73"/>
    <w:rsid w:val="06E65352"/>
    <w:rsid w:val="06ED5D85"/>
    <w:rsid w:val="06F51A39"/>
    <w:rsid w:val="07154A4C"/>
    <w:rsid w:val="07245E7A"/>
    <w:rsid w:val="073A569E"/>
    <w:rsid w:val="07743731"/>
    <w:rsid w:val="079923C4"/>
    <w:rsid w:val="07F7533D"/>
    <w:rsid w:val="080261BB"/>
    <w:rsid w:val="080C6F99"/>
    <w:rsid w:val="08497015"/>
    <w:rsid w:val="08534C69"/>
    <w:rsid w:val="0858227F"/>
    <w:rsid w:val="08607386"/>
    <w:rsid w:val="08793FA4"/>
    <w:rsid w:val="088746FA"/>
    <w:rsid w:val="089018A1"/>
    <w:rsid w:val="08986B20"/>
    <w:rsid w:val="08D15B8E"/>
    <w:rsid w:val="08D77648"/>
    <w:rsid w:val="08F80163"/>
    <w:rsid w:val="09167A44"/>
    <w:rsid w:val="091A7535"/>
    <w:rsid w:val="091C2D7B"/>
    <w:rsid w:val="09306D58"/>
    <w:rsid w:val="09497E1A"/>
    <w:rsid w:val="09523172"/>
    <w:rsid w:val="097A6225"/>
    <w:rsid w:val="098A290C"/>
    <w:rsid w:val="098D7D07"/>
    <w:rsid w:val="099C43EE"/>
    <w:rsid w:val="09A3752A"/>
    <w:rsid w:val="09B90AFC"/>
    <w:rsid w:val="09C556F2"/>
    <w:rsid w:val="09E10052"/>
    <w:rsid w:val="09E21CC2"/>
    <w:rsid w:val="09E85885"/>
    <w:rsid w:val="09F2225F"/>
    <w:rsid w:val="09FB7366"/>
    <w:rsid w:val="0A106957"/>
    <w:rsid w:val="0A2032A3"/>
    <w:rsid w:val="0A261F09"/>
    <w:rsid w:val="0A2763AD"/>
    <w:rsid w:val="0A312D88"/>
    <w:rsid w:val="0A4707FD"/>
    <w:rsid w:val="0A486323"/>
    <w:rsid w:val="0A4A5BF8"/>
    <w:rsid w:val="0A621E65"/>
    <w:rsid w:val="0A6A0101"/>
    <w:rsid w:val="0A877179"/>
    <w:rsid w:val="0A8F5D00"/>
    <w:rsid w:val="0AA65AE1"/>
    <w:rsid w:val="0ABD461B"/>
    <w:rsid w:val="0AF049F1"/>
    <w:rsid w:val="0AF168D1"/>
    <w:rsid w:val="0AF67B2D"/>
    <w:rsid w:val="0AFA5870"/>
    <w:rsid w:val="0B016BFE"/>
    <w:rsid w:val="0B077F8D"/>
    <w:rsid w:val="0B0B182B"/>
    <w:rsid w:val="0B291CB1"/>
    <w:rsid w:val="0B372620"/>
    <w:rsid w:val="0B495129"/>
    <w:rsid w:val="0B5A03D0"/>
    <w:rsid w:val="0B666A61"/>
    <w:rsid w:val="0B6B051B"/>
    <w:rsid w:val="0B835865"/>
    <w:rsid w:val="0B8A37D8"/>
    <w:rsid w:val="0BA53A2D"/>
    <w:rsid w:val="0BB974D9"/>
    <w:rsid w:val="0BBC2B25"/>
    <w:rsid w:val="0BCF0AAA"/>
    <w:rsid w:val="0BD02715"/>
    <w:rsid w:val="0BFE6C9A"/>
    <w:rsid w:val="0C000C64"/>
    <w:rsid w:val="0C111BFC"/>
    <w:rsid w:val="0C201306"/>
    <w:rsid w:val="0C2D57D1"/>
    <w:rsid w:val="0C381612"/>
    <w:rsid w:val="0C430B50"/>
    <w:rsid w:val="0C6109A3"/>
    <w:rsid w:val="0C632FA1"/>
    <w:rsid w:val="0C6C454B"/>
    <w:rsid w:val="0C7C4062"/>
    <w:rsid w:val="0C9E047D"/>
    <w:rsid w:val="0CC47EE3"/>
    <w:rsid w:val="0CE153BB"/>
    <w:rsid w:val="0D2E1801"/>
    <w:rsid w:val="0D4903E8"/>
    <w:rsid w:val="0DD24882"/>
    <w:rsid w:val="0DDC74AE"/>
    <w:rsid w:val="0E0B38F0"/>
    <w:rsid w:val="0E4806A0"/>
    <w:rsid w:val="0E63372C"/>
    <w:rsid w:val="0E807E3A"/>
    <w:rsid w:val="0E833DCE"/>
    <w:rsid w:val="0EB9334C"/>
    <w:rsid w:val="0EC35F79"/>
    <w:rsid w:val="0ED91C40"/>
    <w:rsid w:val="0EEA1757"/>
    <w:rsid w:val="0EF3685E"/>
    <w:rsid w:val="0EFB5712"/>
    <w:rsid w:val="0F274759"/>
    <w:rsid w:val="0F276507"/>
    <w:rsid w:val="0F3F1AA3"/>
    <w:rsid w:val="0F566DED"/>
    <w:rsid w:val="0F6E2388"/>
    <w:rsid w:val="0F784FB5"/>
    <w:rsid w:val="0FB56209"/>
    <w:rsid w:val="0FBD6E6C"/>
    <w:rsid w:val="0FD33C9D"/>
    <w:rsid w:val="0FFC7994"/>
    <w:rsid w:val="10156CA8"/>
    <w:rsid w:val="102B64CB"/>
    <w:rsid w:val="1032785A"/>
    <w:rsid w:val="10394744"/>
    <w:rsid w:val="10441F54"/>
    <w:rsid w:val="104D6442"/>
    <w:rsid w:val="106D0892"/>
    <w:rsid w:val="106F0166"/>
    <w:rsid w:val="10790FE5"/>
    <w:rsid w:val="1084354E"/>
    <w:rsid w:val="10C055FF"/>
    <w:rsid w:val="10D91A83"/>
    <w:rsid w:val="10E2302E"/>
    <w:rsid w:val="10E723F2"/>
    <w:rsid w:val="111B02EE"/>
    <w:rsid w:val="1122342A"/>
    <w:rsid w:val="11447845"/>
    <w:rsid w:val="11561326"/>
    <w:rsid w:val="116021A5"/>
    <w:rsid w:val="11603F53"/>
    <w:rsid w:val="11643A43"/>
    <w:rsid w:val="11706CF5"/>
    <w:rsid w:val="118107EC"/>
    <w:rsid w:val="11B85B3D"/>
    <w:rsid w:val="11BA18B5"/>
    <w:rsid w:val="11D02F4B"/>
    <w:rsid w:val="11D32976"/>
    <w:rsid w:val="11DD6519"/>
    <w:rsid w:val="11E903EC"/>
    <w:rsid w:val="11F36B75"/>
    <w:rsid w:val="120246E9"/>
    <w:rsid w:val="121F5BBC"/>
    <w:rsid w:val="12303925"/>
    <w:rsid w:val="123840C4"/>
    <w:rsid w:val="124318AA"/>
    <w:rsid w:val="12502219"/>
    <w:rsid w:val="125D2D4C"/>
    <w:rsid w:val="126637EB"/>
    <w:rsid w:val="12706417"/>
    <w:rsid w:val="127D62E4"/>
    <w:rsid w:val="128679E9"/>
    <w:rsid w:val="128C701B"/>
    <w:rsid w:val="12906AB9"/>
    <w:rsid w:val="12971BF6"/>
    <w:rsid w:val="12D86F58"/>
    <w:rsid w:val="12DB2159"/>
    <w:rsid w:val="12E7492B"/>
    <w:rsid w:val="12F4390A"/>
    <w:rsid w:val="12FE3A23"/>
    <w:rsid w:val="12FE7C78"/>
    <w:rsid w:val="130152C1"/>
    <w:rsid w:val="13135720"/>
    <w:rsid w:val="13203999"/>
    <w:rsid w:val="13280AA0"/>
    <w:rsid w:val="132A4818"/>
    <w:rsid w:val="13336B4D"/>
    <w:rsid w:val="13433B2C"/>
    <w:rsid w:val="13491142"/>
    <w:rsid w:val="1395307B"/>
    <w:rsid w:val="139879D4"/>
    <w:rsid w:val="13AF2F6F"/>
    <w:rsid w:val="13B50586"/>
    <w:rsid w:val="13BA5B9C"/>
    <w:rsid w:val="13CB7DA9"/>
    <w:rsid w:val="13E7095B"/>
    <w:rsid w:val="13EE3A98"/>
    <w:rsid w:val="140908D1"/>
    <w:rsid w:val="14164D9C"/>
    <w:rsid w:val="141D612B"/>
    <w:rsid w:val="143516C6"/>
    <w:rsid w:val="143771ED"/>
    <w:rsid w:val="144E2788"/>
    <w:rsid w:val="1461426A"/>
    <w:rsid w:val="147D6BCA"/>
    <w:rsid w:val="148166BA"/>
    <w:rsid w:val="14A52C22"/>
    <w:rsid w:val="14B01994"/>
    <w:rsid w:val="14C80526"/>
    <w:rsid w:val="14FB46BE"/>
    <w:rsid w:val="150A4901"/>
    <w:rsid w:val="152D05F0"/>
    <w:rsid w:val="15602773"/>
    <w:rsid w:val="15800679"/>
    <w:rsid w:val="15B36D47"/>
    <w:rsid w:val="15D60C87"/>
    <w:rsid w:val="15F1786F"/>
    <w:rsid w:val="15FB06EE"/>
    <w:rsid w:val="15FB249C"/>
    <w:rsid w:val="161A6DC6"/>
    <w:rsid w:val="16227A29"/>
    <w:rsid w:val="16297009"/>
    <w:rsid w:val="163C6D3C"/>
    <w:rsid w:val="164125A5"/>
    <w:rsid w:val="165F75B1"/>
    <w:rsid w:val="16777D74"/>
    <w:rsid w:val="167D1103"/>
    <w:rsid w:val="167F131F"/>
    <w:rsid w:val="16AD3796"/>
    <w:rsid w:val="16AE1553"/>
    <w:rsid w:val="16BB723D"/>
    <w:rsid w:val="16BF796D"/>
    <w:rsid w:val="16C84A74"/>
    <w:rsid w:val="16D451C7"/>
    <w:rsid w:val="16D8458B"/>
    <w:rsid w:val="16DC051F"/>
    <w:rsid w:val="17015B82"/>
    <w:rsid w:val="170A508C"/>
    <w:rsid w:val="172C4537"/>
    <w:rsid w:val="176127D3"/>
    <w:rsid w:val="17797B1C"/>
    <w:rsid w:val="179E57D5"/>
    <w:rsid w:val="17AD5A18"/>
    <w:rsid w:val="17B45A93"/>
    <w:rsid w:val="17E458DD"/>
    <w:rsid w:val="17EA0A1A"/>
    <w:rsid w:val="17F453F5"/>
    <w:rsid w:val="18015F3F"/>
    <w:rsid w:val="18041ADC"/>
    <w:rsid w:val="180A2E6A"/>
    <w:rsid w:val="180B10BC"/>
    <w:rsid w:val="1816180F"/>
    <w:rsid w:val="18300B23"/>
    <w:rsid w:val="18371EB1"/>
    <w:rsid w:val="184620F4"/>
    <w:rsid w:val="187D363C"/>
    <w:rsid w:val="18AB28D3"/>
    <w:rsid w:val="18B52DD6"/>
    <w:rsid w:val="18B92B0B"/>
    <w:rsid w:val="18C96775"/>
    <w:rsid w:val="18D45952"/>
    <w:rsid w:val="18DC0363"/>
    <w:rsid w:val="18DF7E53"/>
    <w:rsid w:val="18E5190D"/>
    <w:rsid w:val="18E831AB"/>
    <w:rsid w:val="1921046B"/>
    <w:rsid w:val="1953561E"/>
    <w:rsid w:val="1954439D"/>
    <w:rsid w:val="196547FC"/>
    <w:rsid w:val="197B7B7C"/>
    <w:rsid w:val="19836A30"/>
    <w:rsid w:val="199944A6"/>
    <w:rsid w:val="19C74C01"/>
    <w:rsid w:val="1A1F2BFD"/>
    <w:rsid w:val="1A2121F4"/>
    <w:rsid w:val="1A2D490A"/>
    <w:rsid w:val="1A390CF3"/>
    <w:rsid w:val="1A39750C"/>
    <w:rsid w:val="1A3B730B"/>
    <w:rsid w:val="1A5E3468"/>
    <w:rsid w:val="1A5F124B"/>
    <w:rsid w:val="1A9609E5"/>
    <w:rsid w:val="1AA43102"/>
    <w:rsid w:val="1ABD2416"/>
    <w:rsid w:val="1AC9700C"/>
    <w:rsid w:val="1ACA2A1F"/>
    <w:rsid w:val="1ACC4407"/>
    <w:rsid w:val="1AD02149"/>
    <w:rsid w:val="1AD11A1D"/>
    <w:rsid w:val="1AD75285"/>
    <w:rsid w:val="1ADC289C"/>
    <w:rsid w:val="1B2D30F7"/>
    <w:rsid w:val="1B326960"/>
    <w:rsid w:val="1B356450"/>
    <w:rsid w:val="1B3A75C2"/>
    <w:rsid w:val="1B5A7C65"/>
    <w:rsid w:val="1B5C39DD"/>
    <w:rsid w:val="1B5E7755"/>
    <w:rsid w:val="1B886580"/>
    <w:rsid w:val="1B8F3C2A"/>
    <w:rsid w:val="1B9C64CF"/>
    <w:rsid w:val="1BA57132"/>
    <w:rsid w:val="1BE8440E"/>
    <w:rsid w:val="1C0C0F5F"/>
    <w:rsid w:val="1C146065"/>
    <w:rsid w:val="1C4E77C9"/>
    <w:rsid w:val="1C9F0025"/>
    <w:rsid w:val="1CB82E95"/>
    <w:rsid w:val="1CC47A8B"/>
    <w:rsid w:val="1CDF0421"/>
    <w:rsid w:val="1D022362"/>
    <w:rsid w:val="1D155CEE"/>
    <w:rsid w:val="1D2B3667"/>
    <w:rsid w:val="1D3A1AFC"/>
    <w:rsid w:val="1D682B0D"/>
    <w:rsid w:val="1D6B43AB"/>
    <w:rsid w:val="1DA10708"/>
    <w:rsid w:val="1DD43CFE"/>
    <w:rsid w:val="1E214A6A"/>
    <w:rsid w:val="1E2A40E0"/>
    <w:rsid w:val="1E2C7696"/>
    <w:rsid w:val="1E4A36CA"/>
    <w:rsid w:val="1E682698"/>
    <w:rsid w:val="1E6F0B8A"/>
    <w:rsid w:val="1E831280"/>
    <w:rsid w:val="1E875215"/>
    <w:rsid w:val="1E965458"/>
    <w:rsid w:val="1EA35C7E"/>
    <w:rsid w:val="1EAA2CB1"/>
    <w:rsid w:val="1ED41ADC"/>
    <w:rsid w:val="1ED53E63"/>
    <w:rsid w:val="1EDD13F3"/>
    <w:rsid w:val="1EEE0DF0"/>
    <w:rsid w:val="1EFA59E6"/>
    <w:rsid w:val="1F0B7BF4"/>
    <w:rsid w:val="1F114ADE"/>
    <w:rsid w:val="1F157885"/>
    <w:rsid w:val="1F3F164B"/>
    <w:rsid w:val="1F4E7AE0"/>
    <w:rsid w:val="1F501AAA"/>
    <w:rsid w:val="1F6B0692"/>
    <w:rsid w:val="1F6C11B8"/>
    <w:rsid w:val="1F6E1F30"/>
    <w:rsid w:val="1F75506D"/>
    <w:rsid w:val="1F7F5EEC"/>
    <w:rsid w:val="1F974FE3"/>
    <w:rsid w:val="1F9E45C4"/>
    <w:rsid w:val="1FA37E2C"/>
    <w:rsid w:val="1FCB7383"/>
    <w:rsid w:val="1FD04999"/>
    <w:rsid w:val="1FDA1374"/>
    <w:rsid w:val="1FFB37C4"/>
    <w:rsid w:val="20016901"/>
    <w:rsid w:val="20062169"/>
    <w:rsid w:val="20084133"/>
    <w:rsid w:val="20216FA3"/>
    <w:rsid w:val="20457135"/>
    <w:rsid w:val="204809D3"/>
    <w:rsid w:val="206D21E8"/>
    <w:rsid w:val="208F6602"/>
    <w:rsid w:val="20A53730"/>
    <w:rsid w:val="20C21520"/>
    <w:rsid w:val="20D55FD7"/>
    <w:rsid w:val="20F57F95"/>
    <w:rsid w:val="20FB77F4"/>
    <w:rsid w:val="20FD17BE"/>
    <w:rsid w:val="210466A8"/>
    <w:rsid w:val="211663DC"/>
    <w:rsid w:val="21274A8D"/>
    <w:rsid w:val="214E3DC8"/>
    <w:rsid w:val="215238B8"/>
    <w:rsid w:val="21592981"/>
    <w:rsid w:val="216058A9"/>
    <w:rsid w:val="21661111"/>
    <w:rsid w:val="219C4B33"/>
    <w:rsid w:val="21A165ED"/>
    <w:rsid w:val="21E5472C"/>
    <w:rsid w:val="21EF7359"/>
    <w:rsid w:val="22010E3A"/>
    <w:rsid w:val="22244B28"/>
    <w:rsid w:val="222A65E3"/>
    <w:rsid w:val="222D60D3"/>
    <w:rsid w:val="22431452"/>
    <w:rsid w:val="2245341D"/>
    <w:rsid w:val="226118D9"/>
    <w:rsid w:val="2265586D"/>
    <w:rsid w:val="22707846"/>
    <w:rsid w:val="227E6D21"/>
    <w:rsid w:val="22AC6FF8"/>
    <w:rsid w:val="22C00CF5"/>
    <w:rsid w:val="22C205C9"/>
    <w:rsid w:val="22D95913"/>
    <w:rsid w:val="22E42C35"/>
    <w:rsid w:val="230E380E"/>
    <w:rsid w:val="231A1F8B"/>
    <w:rsid w:val="232748D0"/>
    <w:rsid w:val="232B0864"/>
    <w:rsid w:val="23623B5A"/>
    <w:rsid w:val="23BF2D5B"/>
    <w:rsid w:val="23CA60B4"/>
    <w:rsid w:val="240371BF"/>
    <w:rsid w:val="242F6132"/>
    <w:rsid w:val="2432352D"/>
    <w:rsid w:val="243C084F"/>
    <w:rsid w:val="24443260"/>
    <w:rsid w:val="246A716A"/>
    <w:rsid w:val="24857B00"/>
    <w:rsid w:val="24AF12C8"/>
    <w:rsid w:val="24BB79C6"/>
    <w:rsid w:val="24ED0CC0"/>
    <w:rsid w:val="25115838"/>
    <w:rsid w:val="251610A0"/>
    <w:rsid w:val="251B2213"/>
    <w:rsid w:val="25290DD3"/>
    <w:rsid w:val="25457290"/>
    <w:rsid w:val="25675458"/>
    <w:rsid w:val="256C5943"/>
    <w:rsid w:val="257B0F03"/>
    <w:rsid w:val="25826736"/>
    <w:rsid w:val="259B3353"/>
    <w:rsid w:val="25AE12D9"/>
    <w:rsid w:val="25AF5921"/>
    <w:rsid w:val="25BC39F6"/>
    <w:rsid w:val="25C741E6"/>
    <w:rsid w:val="25F018F1"/>
    <w:rsid w:val="260239A5"/>
    <w:rsid w:val="260333D3"/>
    <w:rsid w:val="26105AEF"/>
    <w:rsid w:val="26217CFD"/>
    <w:rsid w:val="263A7E33"/>
    <w:rsid w:val="265754CC"/>
    <w:rsid w:val="266876DA"/>
    <w:rsid w:val="267C13D7"/>
    <w:rsid w:val="26AF70B6"/>
    <w:rsid w:val="26B32629"/>
    <w:rsid w:val="26B76965"/>
    <w:rsid w:val="26C80178"/>
    <w:rsid w:val="26C960BF"/>
    <w:rsid w:val="26EC20B9"/>
    <w:rsid w:val="26EF1BA9"/>
    <w:rsid w:val="27007912"/>
    <w:rsid w:val="27010B22"/>
    <w:rsid w:val="270D0281"/>
    <w:rsid w:val="27473793"/>
    <w:rsid w:val="276F6846"/>
    <w:rsid w:val="278301EA"/>
    <w:rsid w:val="27842671"/>
    <w:rsid w:val="27C2106B"/>
    <w:rsid w:val="27CE17BE"/>
    <w:rsid w:val="27D335D6"/>
    <w:rsid w:val="27DF39CB"/>
    <w:rsid w:val="27E234BC"/>
    <w:rsid w:val="27E47234"/>
    <w:rsid w:val="28133675"/>
    <w:rsid w:val="28304D8C"/>
    <w:rsid w:val="285443B9"/>
    <w:rsid w:val="287337A9"/>
    <w:rsid w:val="28773CA1"/>
    <w:rsid w:val="287A36F4"/>
    <w:rsid w:val="28861EB0"/>
    <w:rsid w:val="28887BBF"/>
    <w:rsid w:val="28B210E0"/>
    <w:rsid w:val="28C055AB"/>
    <w:rsid w:val="28CD1A76"/>
    <w:rsid w:val="28DC7F0B"/>
    <w:rsid w:val="292813A2"/>
    <w:rsid w:val="29332221"/>
    <w:rsid w:val="293E4722"/>
    <w:rsid w:val="295353E6"/>
    <w:rsid w:val="295A7650"/>
    <w:rsid w:val="297E0FC2"/>
    <w:rsid w:val="298365D8"/>
    <w:rsid w:val="29881A18"/>
    <w:rsid w:val="29A70519"/>
    <w:rsid w:val="29AC5B2F"/>
    <w:rsid w:val="29AD48E0"/>
    <w:rsid w:val="29BB2216"/>
    <w:rsid w:val="29E74DB9"/>
    <w:rsid w:val="29F13D9F"/>
    <w:rsid w:val="29FD04D3"/>
    <w:rsid w:val="2A1B4A63"/>
    <w:rsid w:val="2A306760"/>
    <w:rsid w:val="2A34233B"/>
    <w:rsid w:val="2A636B36"/>
    <w:rsid w:val="2A81520E"/>
    <w:rsid w:val="2A8E16D9"/>
    <w:rsid w:val="2AA31B91"/>
    <w:rsid w:val="2AB63109"/>
    <w:rsid w:val="2ABE7A3E"/>
    <w:rsid w:val="2AEB08D9"/>
    <w:rsid w:val="2AFC10FB"/>
    <w:rsid w:val="2B285689"/>
    <w:rsid w:val="2B3202B6"/>
    <w:rsid w:val="2B4104F9"/>
    <w:rsid w:val="2B69758B"/>
    <w:rsid w:val="2B6A3B3B"/>
    <w:rsid w:val="2BC93797"/>
    <w:rsid w:val="2BE23A8A"/>
    <w:rsid w:val="2BE94E19"/>
    <w:rsid w:val="2BEC00FB"/>
    <w:rsid w:val="2BF043F9"/>
    <w:rsid w:val="2BF77D79"/>
    <w:rsid w:val="2BFB2D9E"/>
    <w:rsid w:val="2BFF463C"/>
    <w:rsid w:val="2C027C88"/>
    <w:rsid w:val="2C136339"/>
    <w:rsid w:val="2C620559"/>
    <w:rsid w:val="2C646B95"/>
    <w:rsid w:val="2C6E3570"/>
    <w:rsid w:val="2C732934"/>
    <w:rsid w:val="2C7548FE"/>
    <w:rsid w:val="2C7A273C"/>
    <w:rsid w:val="2C7E7C57"/>
    <w:rsid w:val="2CB01DDA"/>
    <w:rsid w:val="2CB25B52"/>
    <w:rsid w:val="2CB978DA"/>
    <w:rsid w:val="2CBD0053"/>
    <w:rsid w:val="2CCB451E"/>
    <w:rsid w:val="2CD5539D"/>
    <w:rsid w:val="2CE90E48"/>
    <w:rsid w:val="2CFC6BB9"/>
    <w:rsid w:val="2D061055"/>
    <w:rsid w:val="2D1505D7"/>
    <w:rsid w:val="2D151C3D"/>
    <w:rsid w:val="2D3E1194"/>
    <w:rsid w:val="2D4A18E7"/>
    <w:rsid w:val="2D662499"/>
    <w:rsid w:val="2D687FBF"/>
    <w:rsid w:val="2D720E3E"/>
    <w:rsid w:val="2D80355B"/>
    <w:rsid w:val="2D960FD0"/>
    <w:rsid w:val="2D986AF6"/>
    <w:rsid w:val="2DC31699"/>
    <w:rsid w:val="2DC7118A"/>
    <w:rsid w:val="2DCD42C6"/>
    <w:rsid w:val="2DD35D99"/>
    <w:rsid w:val="2DE47F8D"/>
    <w:rsid w:val="2DE65A9B"/>
    <w:rsid w:val="2DF81CA6"/>
    <w:rsid w:val="2E114AD2"/>
    <w:rsid w:val="2E24038A"/>
    <w:rsid w:val="2E312C82"/>
    <w:rsid w:val="2E4427DA"/>
    <w:rsid w:val="2E450300"/>
    <w:rsid w:val="2E494D2A"/>
    <w:rsid w:val="2E70773E"/>
    <w:rsid w:val="2E84707B"/>
    <w:rsid w:val="2E884DBD"/>
    <w:rsid w:val="2EAD053B"/>
    <w:rsid w:val="2EC03733"/>
    <w:rsid w:val="2EC8340B"/>
    <w:rsid w:val="2EE95130"/>
    <w:rsid w:val="2EF02962"/>
    <w:rsid w:val="2EF37D5C"/>
    <w:rsid w:val="2EF44200"/>
    <w:rsid w:val="2EFA178C"/>
    <w:rsid w:val="2F0B32F8"/>
    <w:rsid w:val="2F0B7C46"/>
    <w:rsid w:val="2F155F25"/>
    <w:rsid w:val="2F191EB9"/>
    <w:rsid w:val="2F2A7C22"/>
    <w:rsid w:val="2F4216C1"/>
    <w:rsid w:val="2F4F1437"/>
    <w:rsid w:val="2F860BD0"/>
    <w:rsid w:val="2FAB0637"/>
    <w:rsid w:val="2FAD43AF"/>
    <w:rsid w:val="300C07F9"/>
    <w:rsid w:val="300E12F2"/>
    <w:rsid w:val="301D32E3"/>
    <w:rsid w:val="302428C3"/>
    <w:rsid w:val="30334092"/>
    <w:rsid w:val="30414D3E"/>
    <w:rsid w:val="30564A47"/>
    <w:rsid w:val="305F38FB"/>
    <w:rsid w:val="30647164"/>
    <w:rsid w:val="30701766"/>
    <w:rsid w:val="307849BD"/>
    <w:rsid w:val="30A1291D"/>
    <w:rsid w:val="30A1711A"/>
    <w:rsid w:val="30B46D73"/>
    <w:rsid w:val="30BF25EC"/>
    <w:rsid w:val="30C23E8A"/>
    <w:rsid w:val="30E91417"/>
    <w:rsid w:val="30ED53AB"/>
    <w:rsid w:val="30FC114A"/>
    <w:rsid w:val="31156847"/>
    <w:rsid w:val="31165D35"/>
    <w:rsid w:val="31342FDA"/>
    <w:rsid w:val="31684A32"/>
    <w:rsid w:val="3183186B"/>
    <w:rsid w:val="318C4BC4"/>
    <w:rsid w:val="319D7096"/>
    <w:rsid w:val="319F7F4E"/>
    <w:rsid w:val="31AB491E"/>
    <w:rsid w:val="31C37EBA"/>
    <w:rsid w:val="31C854D0"/>
    <w:rsid w:val="31E1386B"/>
    <w:rsid w:val="31E87832"/>
    <w:rsid w:val="31EF0CAF"/>
    <w:rsid w:val="31F14A27"/>
    <w:rsid w:val="31FE0EF2"/>
    <w:rsid w:val="32032BA8"/>
    <w:rsid w:val="32154E5D"/>
    <w:rsid w:val="322F37A1"/>
    <w:rsid w:val="3240775C"/>
    <w:rsid w:val="32674CE9"/>
    <w:rsid w:val="327D62BB"/>
    <w:rsid w:val="328E671A"/>
    <w:rsid w:val="3293788C"/>
    <w:rsid w:val="32C20171"/>
    <w:rsid w:val="32CC2D9E"/>
    <w:rsid w:val="32D13EB7"/>
    <w:rsid w:val="331D35FA"/>
    <w:rsid w:val="334B460B"/>
    <w:rsid w:val="334B63B9"/>
    <w:rsid w:val="33641229"/>
    <w:rsid w:val="337616F8"/>
    <w:rsid w:val="33B43F5E"/>
    <w:rsid w:val="34060532"/>
    <w:rsid w:val="340D7B12"/>
    <w:rsid w:val="342C7F98"/>
    <w:rsid w:val="3431735D"/>
    <w:rsid w:val="34963664"/>
    <w:rsid w:val="34AE6BFF"/>
    <w:rsid w:val="34B8182C"/>
    <w:rsid w:val="34C359EA"/>
    <w:rsid w:val="34D96190"/>
    <w:rsid w:val="34EC597A"/>
    <w:rsid w:val="34F07218"/>
    <w:rsid w:val="35134CB4"/>
    <w:rsid w:val="35154ED0"/>
    <w:rsid w:val="3529272A"/>
    <w:rsid w:val="35441312"/>
    <w:rsid w:val="354B6B44"/>
    <w:rsid w:val="354D6418"/>
    <w:rsid w:val="355C2AFF"/>
    <w:rsid w:val="35643762"/>
    <w:rsid w:val="359E01CA"/>
    <w:rsid w:val="35A170E9"/>
    <w:rsid w:val="35C83CF1"/>
    <w:rsid w:val="35E01551"/>
    <w:rsid w:val="35F679F4"/>
    <w:rsid w:val="36260A17"/>
    <w:rsid w:val="365657A0"/>
    <w:rsid w:val="365748E2"/>
    <w:rsid w:val="365D71DC"/>
    <w:rsid w:val="366559E4"/>
    <w:rsid w:val="366854D4"/>
    <w:rsid w:val="36877708"/>
    <w:rsid w:val="36B349A1"/>
    <w:rsid w:val="36C4095C"/>
    <w:rsid w:val="36CE5337"/>
    <w:rsid w:val="36D218B3"/>
    <w:rsid w:val="36D668E1"/>
    <w:rsid w:val="36F51053"/>
    <w:rsid w:val="371D1E1A"/>
    <w:rsid w:val="37737C8C"/>
    <w:rsid w:val="37841E99"/>
    <w:rsid w:val="37A60062"/>
    <w:rsid w:val="37C4673A"/>
    <w:rsid w:val="37F039D3"/>
    <w:rsid w:val="37F232A7"/>
    <w:rsid w:val="37F76B0F"/>
    <w:rsid w:val="37F963E3"/>
    <w:rsid w:val="37FB65FF"/>
    <w:rsid w:val="38251072"/>
    <w:rsid w:val="384B1B02"/>
    <w:rsid w:val="386046B4"/>
    <w:rsid w:val="386A5533"/>
    <w:rsid w:val="388C7258"/>
    <w:rsid w:val="38983E4E"/>
    <w:rsid w:val="38AF2F46"/>
    <w:rsid w:val="38B22A36"/>
    <w:rsid w:val="38D22E5E"/>
    <w:rsid w:val="38D429AD"/>
    <w:rsid w:val="38DE55D9"/>
    <w:rsid w:val="39094D4C"/>
    <w:rsid w:val="39237490"/>
    <w:rsid w:val="39273424"/>
    <w:rsid w:val="39322BF4"/>
    <w:rsid w:val="393618B9"/>
    <w:rsid w:val="393A4F06"/>
    <w:rsid w:val="39506669"/>
    <w:rsid w:val="395802BC"/>
    <w:rsid w:val="39580388"/>
    <w:rsid w:val="396B3311"/>
    <w:rsid w:val="398C3287"/>
    <w:rsid w:val="39AE70AB"/>
    <w:rsid w:val="39B34AE9"/>
    <w:rsid w:val="39B34CB8"/>
    <w:rsid w:val="39D01B7F"/>
    <w:rsid w:val="39E255A1"/>
    <w:rsid w:val="39F94DC1"/>
    <w:rsid w:val="3A06128C"/>
    <w:rsid w:val="3A2B0CF2"/>
    <w:rsid w:val="3A612966"/>
    <w:rsid w:val="3A73030B"/>
    <w:rsid w:val="3AA72606"/>
    <w:rsid w:val="3AAA1C17"/>
    <w:rsid w:val="3AB338E7"/>
    <w:rsid w:val="3AC16F61"/>
    <w:rsid w:val="3AC61DC4"/>
    <w:rsid w:val="3ACE7FFB"/>
    <w:rsid w:val="3AF235BE"/>
    <w:rsid w:val="3B0C4680"/>
    <w:rsid w:val="3B135A0E"/>
    <w:rsid w:val="3B135DFA"/>
    <w:rsid w:val="3B2C6AD0"/>
    <w:rsid w:val="3B381919"/>
    <w:rsid w:val="3B514788"/>
    <w:rsid w:val="3B5E2A01"/>
    <w:rsid w:val="3B815E78"/>
    <w:rsid w:val="3B8E778B"/>
    <w:rsid w:val="3B9A1C8B"/>
    <w:rsid w:val="3BA42B0A"/>
    <w:rsid w:val="3BB0325D"/>
    <w:rsid w:val="3BC1546A"/>
    <w:rsid w:val="3BD553B9"/>
    <w:rsid w:val="3BE253E0"/>
    <w:rsid w:val="3BE64ED1"/>
    <w:rsid w:val="3BE86E9B"/>
    <w:rsid w:val="3BF55114"/>
    <w:rsid w:val="3BFF2436"/>
    <w:rsid w:val="3C017F5D"/>
    <w:rsid w:val="3C0B367C"/>
    <w:rsid w:val="3C0C0783"/>
    <w:rsid w:val="3C434910"/>
    <w:rsid w:val="3C4D6CFE"/>
    <w:rsid w:val="3C683B38"/>
    <w:rsid w:val="3C6F3118"/>
    <w:rsid w:val="3C742285"/>
    <w:rsid w:val="3C834269"/>
    <w:rsid w:val="3C920BB5"/>
    <w:rsid w:val="3CAB7EC8"/>
    <w:rsid w:val="3CB11983"/>
    <w:rsid w:val="3CB7061B"/>
    <w:rsid w:val="3CE37662"/>
    <w:rsid w:val="3CEA0A1E"/>
    <w:rsid w:val="3D3B2FFA"/>
    <w:rsid w:val="3D5E4F3B"/>
    <w:rsid w:val="3D6A6C5B"/>
    <w:rsid w:val="3D874491"/>
    <w:rsid w:val="3D87623F"/>
    <w:rsid w:val="3DBF1E7D"/>
    <w:rsid w:val="3DD671C7"/>
    <w:rsid w:val="3DE511B8"/>
    <w:rsid w:val="3DEC0798"/>
    <w:rsid w:val="3E0930F8"/>
    <w:rsid w:val="3E213DF1"/>
    <w:rsid w:val="3E330175"/>
    <w:rsid w:val="3E4B3BB9"/>
    <w:rsid w:val="3E9E1A93"/>
    <w:rsid w:val="3EC60FE9"/>
    <w:rsid w:val="3EF41F07"/>
    <w:rsid w:val="3EF96E0A"/>
    <w:rsid w:val="3F0B2EA0"/>
    <w:rsid w:val="3F1104B7"/>
    <w:rsid w:val="3F122481"/>
    <w:rsid w:val="3F1E2BD3"/>
    <w:rsid w:val="3F2301EA"/>
    <w:rsid w:val="3F36616F"/>
    <w:rsid w:val="3F3E6DD2"/>
    <w:rsid w:val="3F4C1AB2"/>
    <w:rsid w:val="3F52287D"/>
    <w:rsid w:val="3F5465F5"/>
    <w:rsid w:val="3F591E5E"/>
    <w:rsid w:val="3F5D7BA0"/>
    <w:rsid w:val="3F632CDC"/>
    <w:rsid w:val="3F6A1129"/>
    <w:rsid w:val="3F830C89"/>
    <w:rsid w:val="3F9D7F9C"/>
    <w:rsid w:val="3F9F3A96"/>
    <w:rsid w:val="3FB5178A"/>
    <w:rsid w:val="3FC4377B"/>
    <w:rsid w:val="3FD414E4"/>
    <w:rsid w:val="403C77B5"/>
    <w:rsid w:val="404B5C4A"/>
    <w:rsid w:val="4050500F"/>
    <w:rsid w:val="40750F19"/>
    <w:rsid w:val="409F7D44"/>
    <w:rsid w:val="40A17F5A"/>
    <w:rsid w:val="40AA6120"/>
    <w:rsid w:val="40AD06B3"/>
    <w:rsid w:val="40CB28E7"/>
    <w:rsid w:val="40D21EC7"/>
    <w:rsid w:val="40D22B8F"/>
    <w:rsid w:val="40EA7211"/>
    <w:rsid w:val="40FC0CF2"/>
    <w:rsid w:val="411029F0"/>
    <w:rsid w:val="416E7E42"/>
    <w:rsid w:val="416F3BBA"/>
    <w:rsid w:val="418C02C8"/>
    <w:rsid w:val="41A25D3E"/>
    <w:rsid w:val="41D34149"/>
    <w:rsid w:val="41D41C6F"/>
    <w:rsid w:val="41DA54D8"/>
    <w:rsid w:val="42022339"/>
    <w:rsid w:val="42165DE4"/>
    <w:rsid w:val="42220C2D"/>
    <w:rsid w:val="42222611"/>
    <w:rsid w:val="425014D4"/>
    <w:rsid w:val="4255690C"/>
    <w:rsid w:val="426577F0"/>
    <w:rsid w:val="42666D6B"/>
    <w:rsid w:val="426B6130"/>
    <w:rsid w:val="427C06FC"/>
    <w:rsid w:val="42843695"/>
    <w:rsid w:val="428611BC"/>
    <w:rsid w:val="428E0070"/>
    <w:rsid w:val="42C937E3"/>
    <w:rsid w:val="42CF2B62"/>
    <w:rsid w:val="42DD6902"/>
    <w:rsid w:val="431247FD"/>
    <w:rsid w:val="432B58BF"/>
    <w:rsid w:val="43364990"/>
    <w:rsid w:val="434E2BA9"/>
    <w:rsid w:val="436A4639"/>
    <w:rsid w:val="436D5ED7"/>
    <w:rsid w:val="438D20D6"/>
    <w:rsid w:val="43E73EDC"/>
    <w:rsid w:val="43F8121A"/>
    <w:rsid w:val="440305EA"/>
    <w:rsid w:val="44120AE1"/>
    <w:rsid w:val="44150A49"/>
    <w:rsid w:val="44185E43"/>
    <w:rsid w:val="442916E1"/>
    <w:rsid w:val="444906F3"/>
    <w:rsid w:val="447479BB"/>
    <w:rsid w:val="447C0AC8"/>
    <w:rsid w:val="447C2876"/>
    <w:rsid w:val="44850D61"/>
    <w:rsid w:val="4486147F"/>
    <w:rsid w:val="44983428"/>
    <w:rsid w:val="44B26298"/>
    <w:rsid w:val="44C91833"/>
    <w:rsid w:val="44DA134B"/>
    <w:rsid w:val="44F763A1"/>
    <w:rsid w:val="4506156C"/>
    <w:rsid w:val="454113CA"/>
    <w:rsid w:val="454809AA"/>
    <w:rsid w:val="45857508"/>
    <w:rsid w:val="45877724"/>
    <w:rsid w:val="458F2701"/>
    <w:rsid w:val="459C0CF6"/>
    <w:rsid w:val="45D65FB6"/>
    <w:rsid w:val="46286D1C"/>
    <w:rsid w:val="46470C62"/>
    <w:rsid w:val="464C0026"/>
    <w:rsid w:val="46584C1D"/>
    <w:rsid w:val="46696E2A"/>
    <w:rsid w:val="467632F5"/>
    <w:rsid w:val="467B090B"/>
    <w:rsid w:val="46853538"/>
    <w:rsid w:val="468A0B4E"/>
    <w:rsid w:val="469043B7"/>
    <w:rsid w:val="469320F9"/>
    <w:rsid w:val="46CB1893"/>
    <w:rsid w:val="46D151E0"/>
    <w:rsid w:val="46E14C12"/>
    <w:rsid w:val="46E91D19"/>
    <w:rsid w:val="47176886"/>
    <w:rsid w:val="471C3E9C"/>
    <w:rsid w:val="4755115C"/>
    <w:rsid w:val="475950F1"/>
    <w:rsid w:val="47705F96"/>
    <w:rsid w:val="47775577"/>
    <w:rsid w:val="478F28C0"/>
    <w:rsid w:val="479A2599"/>
    <w:rsid w:val="47A83982"/>
    <w:rsid w:val="47B87F32"/>
    <w:rsid w:val="47D6229D"/>
    <w:rsid w:val="47E32C0C"/>
    <w:rsid w:val="47FB7F56"/>
    <w:rsid w:val="47FE4DAC"/>
    <w:rsid w:val="480D7C89"/>
    <w:rsid w:val="481B4154"/>
    <w:rsid w:val="482F5E51"/>
    <w:rsid w:val="483416BA"/>
    <w:rsid w:val="48547666"/>
    <w:rsid w:val="488A12DA"/>
    <w:rsid w:val="488F2CC7"/>
    <w:rsid w:val="48A759E8"/>
    <w:rsid w:val="48B00D40"/>
    <w:rsid w:val="48D83DF3"/>
    <w:rsid w:val="48FA020D"/>
    <w:rsid w:val="49060960"/>
    <w:rsid w:val="49261E5D"/>
    <w:rsid w:val="493150F6"/>
    <w:rsid w:val="493C27E9"/>
    <w:rsid w:val="494476DB"/>
    <w:rsid w:val="49523BA5"/>
    <w:rsid w:val="496D4E83"/>
    <w:rsid w:val="496F39ED"/>
    <w:rsid w:val="4981448B"/>
    <w:rsid w:val="498F5898"/>
    <w:rsid w:val="49AD5280"/>
    <w:rsid w:val="49EA64D4"/>
    <w:rsid w:val="49FF41D3"/>
    <w:rsid w:val="4A0F7CE8"/>
    <w:rsid w:val="4A1D0657"/>
    <w:rsid w:val="4A253068"/>
    <w:rsid w:val="4A34774F"/>
    <w:rsid w:val="4A3B0ADD"/>
    <w:rsid w:val="4A477482"/>
    <w:rsid w:val="4A5D6CA6"/>
    <w:rsid w:val="4A6B0070"/>
    <w:rsid w:val="4A777DDA"/>
    <w:rsid w:val="4A7D4C52"/>
    <w:rsid w:val="4AAD305D"/>
    <w:rsid w:val="4AB36025"/>
    <w:rsid w:val="4AB443EC"/>
    <w:rsid w:val="4ABD14F2"/>
    <w:rsid w:val="4AD66A58"/>
    <w:rsid w:val="4ADB5E1D"/>
    <w:rsid w:val="4AE44CD1"/>
    <w:rsid w:val="4B524331"/>
    <w:rsid w:val="4B5E421B"/>
    <w:rsid w:val="4B6B71A0"/>
    <w:rsid w:val="4B7122DD"/>
    <w:rsid w:val="4B761FDE"/>
    <w:rsid w:val="4B9A1834"/>
    <w:rsid w:val="4BAD65D1"/>
    <w:rsid w:val="4BD50ABE"/>
    <w:rsid w:val="4BDF193C"/>
    <w:rsid w:val="4BE068DB"/>
    <w:rsid w:val="4BEB208F"/>
    <w:rsid w:val="4BF6002B"/>
    <w:rsid w:val="4BFC429C"/>
    <w:rsid w:val="4C0575F5"/>
    <w:rsid w:val="4C1930A0"/>
    <w:rsid w:val="4C2630C7"/>
    <w:rsid w:val="4C322340"/>
    <w:rsid w:val="4C325F10"/>
    <w:rsid w:val="4C39104D"/>
    <w:rsid w:val="4C46376A"/>
    <w:rsid w:val="4C4719BC"/>
    <w:rsid w:val="4C561BFF"/>
    <w:rsid w:val="4C653BF0"/>
    <w:rsid w:val="4C7622A1"/>
    <w:rsid w:val="4C816D83"/>
    <w:rsid w:val="4C9565A3"/>
    <w:rsid w:val="4CA30BBC"/>
    <w:rsid w:val="4CC72AFC"/>
    <w:rsid w:val="4CD24250"/>
    <w:rsid w:val="4CDA0472"/>
    <w:rsid w:val="4CE74FE6"/>
    <w:rsid w:val="4CEC4311"/>
    <w:rsid w:val="4CF82CB6"/>
    <w:rsid w:val="4D16545C"/>
    <w:rsid w:val="4D183358"/>
    <w:rsid w:val="4D2D5673"/>
    <w:rsid w:val="4D3F08E5"/>
    <w:rsid w:val="4D53613E"/>
    <w:rsid w:val="4D5D520F"/>
    <w:rsid w:val="4DB56DF9"/>
    <w:rsid w:val="4DC42B98"/>
    <w:rsid w:val="4DC4528E"/>
    <w:rsid w:val="4DC4703C"/>
    <w:rsid w:val="4DC62DB4"/>
    <w:rsid w:val="4DE33966"/>
    <w:rsid w:val="4DE44FE8"/>
    <w:rsid w:val="4E52289A"/>
    <w:rsid w:val="4E6D3230"/>
    <w:rsid w:val="4E7E33D7"/>
    <w:rsid w:val="4E916F1E"/>
    <w:rsid w:val="4E942825"/>
    <w:rsid w:val="4E9702AC"/>
    <w:rsid w:val="4E9B7300"/>
    <w:rsid w:val="4EAA7FE0"/>
    <w:rsid w:val="4EAD7AD0"/>
    <w:rsid w:val="4EB42C0C"/>
    <w:rsid w:val="4ECE2238"/>
    <w:rsid w:val="4ED82D9F"/>
    <w:rsid w:val="4EF13E61"/>
    <w:rsid w:val="4EF609BE"/>
    <w:rsid w:val="4EF83441"/>
    <w:rsid w:val="4F2204BE"/>
    <w:rsid w:val="4F247D92"/>
    <w:rsid w:val="4F4977F9"/>
    <w:rsid w:val="4F55619D"/>
    <w:rsid w:val="4F732AC8"/>
    <w:rsid w:val="4F905428"/>
    <w:rsid w:val="4F912F4E"/>
    <w:rsid w:val="4F9A0054"/>
    <w:rsid w:val="4FB5550C"/>
    <w:rsid w:val="4FBB70BF"/>
    <w:rsid w:val="4FC11A85"/>
    <w:rsid w:val="4FD277EE"/>
    <w:rsid w:val="4FEB4D54"/>
    <w:rsid w:val="4FF04118"/>
    <w:rsid w:val="4FF21C3E"/>
    <w:rsid w:val="50083210"/>
    <w:rsid w:val="50137E07"/>
    <w:rsid w:val="50395ABF"/>
    <w:rsid w:val="503E30D6"/>
    <w:rsid w:val="507C64A1"/>
    <w:rsid w:val="50962F12"/>
    <w:rsid w:val="509947B0"/>
    <w:rsid w:val="50B415EA"/>
    <w:rsid w:val="50BB4726"/>
    <w:rsid w:val="50EF6CE4"/>
    <w:rsid w:val="50F96FFC"/>
    <w:rsid w:val="510460CD"/>
    <w:rsid w:val="511D718F"/>
    <w:rsid w:val="51247A93"/>
    <w:rsid w:val="51716FFD"/>
    <w:rsid w:val="51750D79"/>
    <w:rsid w:val="51756599"/>
    <w:rsid w:val="51757592"/>
    <w:rsid w:val="517C40D7"/>
    <w:rsid w:val="518965D2"/>
    <w:rsid w:val="519D207E"/>
    <w:rsid w:val="51CF353A"/>
    <w:rsid w:val="51DB4B86"/>
    <w:rsid w:val="52005DED"/>
    <w:rsid w:val="522105B9"/>
    <w:rsid w:val="52232583"/>
    <w:rsid w:val="523D5C1B"/>
    <w:rsid w:val="52421D16"/>
    <w:rsid w:val="527C7EE5"/>
    <w:rsid w:val="527E5A0B"/>
    <w:rsid w:val="528B637A"/>
    <w:rsid w:val="52BC6534"/>
    <w:rsid w:val="52CA29FF"/>
    <w:rsid w:val="52ED2B91"/>
    <w:rsid w:val="531B76FE"/>
    <w:rsid w:val="53202F66"/>
    <w:rsid w:val="53486019"/>
    <w:rsid w:val="534E5E76"/>
    <w:rsid w:val="53560736"/>
    <w:rsid w:val="53620E89"/>
    <w:rsid w:val="53856D4C"/>
    <w:rsid w:val="53AB0A82"/>
    <w:rsid w:val="53CC09F8"/>
    <w:rsid w:val="53E61ABA"/>
    <w:rsid w:val="53E75832"/>
    <w:rsid w:val="540939FA"/>
    <w:rsid w:val="5415414D"/>
    <w:rsid w:val="541F4FCC"/>
    <w:rsid w:val="54232D0E"/>
    <w:rsid w:val="54295E4B"/>
    <w:rsid w:val="54316AAD"/>
    <w:rsid w:val="54534C76"/>
    <w:rsid w:val="54556C40"/>
    <w:rsid w:val="54776BB6"/>
    <w:rsid w:val="54866DF9"/>
    <w:rsid w:val="54C47921"/>
    <w:rsid w:val="54DD3BD0"/>
    <w:rsid w:val="54DF6509"/>
    <w:rsid w:val="54E83610"/>
    <w:rsid w:val="55202DAA"/>
    <w:rsid w:val="55333C3E"/>
    <w:rsid w:val="555111B5"/>
    <w:rsid w:val="55515659"/>
    <w:rsid w:val="558062AA"/>
    <w:rsid w:val="55807CEC"/>
    <w:rsid w:val="55DA564E"/>
    <w:rsid w:val="55F10BEA"/>
    <w:rsid w:val="560501F2"/>
    <w:rsid w:val="562543F0"/>
    <w:rsid w:val="56352885"/>
    <w:rsid w:val="565151E5"/>
    <w:rsid w:val="566E5D97"/>
    <w:rsid w:val="5684380C"/>
    <w:rsid w:val="5686452A"/>
    <w:rsid w:val="56892BD1"/>
    <w:rsid w:val="56BE6D1E"/>
    <w:rsid w:val="56D4209E"/>
    <w:rsid w:val="56E30533"/>
    <w:rsid w:val="56EB5639"/>
    <w:rsid w:val="56FB3ACE"/>
    <w:rsid w:val="571A1A7B"/>
    <w:rsid w:val="572B2250"/>
    <w:rsid w:val="572D5C52"/>
    <w:rsid w:val="573B211D"/>
    <w:rsid w:val="57541431"/>
    <w:rsid w:val="57572CCF"/>
    <w:rsid w:val="57597CFE"/>
    <w:rsid w:val="57672F12"/>
    <w:rsid w:val="577949F3"/>
    <w:rsid w:val="57911D3D"/>
    <w:rsid w:val="57B95737"/>
    <w:rsid w:val="57D32355"/>
    <w:rsid w:val="582E6B03"/>
    <w:rsid w:val="58474AF1"/>
    <w:rsid w:val="58604D4E"/>
    <w:rsid w:val="5878114F"/>
    <w:rsid w:val="58823D7B"/>
    <w:rsid w:val="588673C8"/>
    <w:rsid w:val="588B70D4"/>
    <w:rsid w:val="589C4E3D"/>
    <w:rsid w:val="58AE459A"/>
    <w:rsid w:val="58C3061C"/>
    <w:rsid w:val="58C467D6"/>
    <w:rsid w:val="58D8399B"/>
    <w:rsid w:val="58E662A8"/>
    <w:rsid w:val="58EF7663"/>
    <w:rsid w:val="58F24A5D"/>
    <w:rsid w:val="58FE1654"/>
    <w:rsid w:val="590D7AE9"/>
    <w:rsid w:val="591C1ADA"/>
    <w:rsid w:val="591E5852"/>
    <w:rsid w:val="59396B30"/>
    <w:rsid w:val="59441031"/>
    <w:rsid w:val="5966544B"/>
    <w:rsid w:val="596B2B8E"/>
    <w:rsid w:val="596F4300"/>
    <w:rsid w:val="59701E26"/>
    <w:rsid w:val="598C4EB2"/>
    <w:rsid w:val="59945B14"/>
    <w:rsid w:val="5999312B"/>
    <w:rsid w:val="59B166C6"/>
    <w:rsid w:val="59B60181"/>
    <w:rsid w:val="59B70343"/>
    <w:rsid w:val="59C52172"/>
    <w:rsid w:val="59CC1752"/>
    <w:rsid w:val="59E52F1C"/>
    <w:rsid w:val="5A1218E8"/>
    <w:rsid w:val="5A252C10"/>
    <w:rsid w:val="5A313098"/>
    <w:rsid w:val="5A394EB9"/>
    <w:rsid w:val="5A481542"/>
    <w:rsid w:val="5A4F7C8D"/>
    <w:rsid w:val="5A5F6122"/>
    <w:rsid w:val="5A663955"/>
    <w:rsid w:val="5A706581"/>
    <w:rsid w:val="5A721556"/>
    <w:rsid w:val="5A785436"/>
    <w:rsid w:val="5A820063"/>
    <w:rsid w:val="5A95462C"/>
    <w:rsid w:val="5AAE2C06"/>
    <w:rsid w:val="5AB83A84"/>
    <w:rsid w:val="5ABD553F"/>
    <w:rsid w:val="5AD308BE"/>
    <w:rsid w:val="5ADF54B5"/>
    <w:rsid w:val="5AE44879"/>
    <w:rsid w:val="5B3752F1"/>
    <w:rsid w:val="5B4B1D4C"/>
    <w:rsid w:val="5B6A1223"/>
    <w:rsid w:val="5B767BC7"/>
    <w:rsid w:val="5B8B1199"/>
    <w:rsid w:val="5B9E00B2"/>
    <w:rsid w:val="5BB6611F"/>
    <w:rsid w:val="5BC30933"/>
    <w:rsid w:val="5BE07737"/>
    <w:rsid w:val="5C335AB8"/>
    <w:rsid w:val="5C3929A3"/>
    <w:rsid w:val="5C473312"/>
    <w:rsid w:val="5C5B500F"/>
    <w:rsid w:val="5C9F4EFC"/>
    <w:rsid w:val="5CB63FF4"/>
    <w:rsid w:val="5CBA7F88"/>
    <w:rsid w:val="5CC26E3C"/>
    <w:rsid w:val="5CC52489"/>
    <w:rsid w:val="5CC901CB"/>
    <w:rsid w:val="5CEE29A4"/>
    <w:rsid w:val="5CFA4828"/>
    <w:rsid w:val="5D1B6816"/>
    <w:rsid w:val="5D204067"/>
    <w:rsid w:val="5D641CA2"/>
    <w:rsid w:val="5D69550A"/>
    <w:rsid w:val="5D6E48CE"/>
    <w:rsid w:val="5D775E79"/>
    <w:rsid w:val="5DA12EF6"/>
    <w:rsid w:val="5DC15346"/>
    <w:rsid w:val="5DC6028D"/>
    <w:rsid w:val="5DCA5FA9"/>
    <w:rsid w:val="5DDD2180"/>
    <w:rsid w:val="5DE51034"/>
    <w:rsid w:val="5DEC4171"/>
    <w:rsid w:val="5DF50B4C"/>
    <w:rsid w:val="5E033269"/>
    <w:rsid w:val="5E071B9F"/>
    <w:rsid w:val="5E115985"/>
    <w:rsid w:val="5E322D38"/>
    <w:rsid w:val="5E394EDC"/>
    <w:rsid w:val="5E3B0C54"/>
    <w:rsid w:val="5E897C12"/>
    <w:rsid w:val="5E93283E"/>
    <w:rsid w:val="5EBE53E1"/>
    <w:rsid w:val="5EE035AA"/>
    <w:rsid w:val="5EF7101F"/>
    <w:rsid w:val="5F223BC2"/>
    <w:rsid w:val="5F526256"/>
    <w:rsid w:val="5F556CBE"/>
    <w:rsid w:val="5F7206A6"/>
    <w:rsid w:val="5F7316DF"/>
    <w:rsid w:val="5F7F2DC3"/>
    <w:rsid w:val="5F903521"/>
    <w:rsid w:val="5F9A5E4E"/>
    <w:rsid w:val="5FA840C8"/>
    <w:rsid w:val="5FAF3E4B"/>
    <w:rsid w:val="5FB37081"/>
    <w:rsid w:val="5FC1162D"/>
    <w:rsid w:val="5FC52ECB"/>
    <w:rsid w:val="5FF971C8"/>
    <w:rsid w:val="60082DB8"/>
    <w:rsid w:val="600D6620"/>
    <w:rsid w:val="60107EBF"/>
    <w:rsid w:val="603D4A2C"/>
    <w:rsid w:val="610A2B60"/>
    <w:rsid w:val="610D7308"/>
    <w:rsid w:val="61131A15"/>
    <w:rsid w:val="61167757"/>
    <w:rsid w:val="611B4D6D"/>
    <w:rsid w:val="612416D5"/>
    <w:rsid w:val="612C6F7A"/>
    <w:rsid w:val="613D4CE3"/>
    <w:rsid w:val="61532ACB"/>
    <w:rsid w:val="616109D2"/>
    <w:rsid w:val="61614E76"/>
    <w:rsid w:val="61623355"/>
    <w:rsid w:val="61722BDF"/>
    <w:rsid w:val="61897F29"/>
    <w:rsid w:val="61BC02FE"/>
    <w:rsid w:val="61C96577"/>
    <w:rsid w:val="61E433B1"/>
    <w:rsid w:val="620847C0"/>
    <w:rsid w:val="622D4D58"/>
    <w:rsid w:val="62342F61"/>
    <w:rsid w:val="623606C6"/>
    <w:rsid w:val="627E3805"/>
    <w:rsid w:val="628651C1"/>
    <w:rsid w:val="6287090C"/>
    <w:rsid w:val="62BE3C02"/>
    <w:rsid w:val="62C21944"/>
    <w:rsid w:val="62CF061A"/>
    <w:rsid w:val="62CF347D"/>
    <w:rsid w:val="62D376AD"/>
    <w:rsid w:val="62E55633"/>
    <w:rsid w:val="630B32EB"/>
    <w:rsid w:val="6341070D"/>
    <w:rsid w:val="634C3904"/>
    <w:rsid w:val="635A7DCF"/>
    <w:rsid w:val="635D78BF"/>
    <w:rsid w:val="636649C5"/>
    <w:rsid w:val="63701D5A"/>
    <w:rsid w:val="638E7A78"/>
    <w:rsid w:val="63927568"/>
    <w:rsid w:val="63A1155A"/>
    <w:rsid w:val="63C82F8A"/>
    <w:rsid w:val="64033FC2"/>
    <w:rsid w:val="641B57B0"/>
    <w:rsid w:val="642F3009"/>
    <w:rsid w:val="643028DD"/>
    <w:rsid w:val="64346872"/>
    <w:rsid w:val="64591E34"/>
    <w:rsid w:val="649C61C5"/>
    <w:rsid w:val="64A01811"/>
    <w:rsid w:val="64C51278"/>
    <w:rsid w:val="64CA39A1"/>
    <w:rsid w:val="64D67929"/>
    <w:rsid w:val="64EA5182"/>
    <w:rsid w:val="64EC0EFA"/>
    <w:rsid w:val="64EC4A56"/>
    <w:rsid w:val="64F25181"/>
    <w:rsid w:val="65071890"/>
    <w:rsid w:val="65102E3B"/>
    <w:rsid w:val="65387C9C"/>
    <w:rsid w:val="653E102A"/>
    <w:rsid w:val="65493C57"/>
    <w:rsid w:val="6554084E"/>
    <w:rsid w:val="656C5B97"/>
    <w:rsid w:val="65843DE6"/>
    <w:rsid w:val="659B647C"/>
    <w:rsid w:val="65B85280"/>
    <w:rsid w:val="65CC4888"/>
    <w:rsid w:val="65CC7925"/>
    <w:rsid w:val="65DA30BA"/>
    <w:rsid w:val="65F04A1A"/>
    <w:rsid w:val="65FF07B9"/>
    <w:rsid w:val="65FF4C5D"/>
    <w:rsid w:val="662D5327"/>
    <w:rsid w:val="66391F1D"/>
    <w:rsid w:val="66495ED8"/>
    <w:rsid w:val="665054B9"/>
    <w:rsid w:val="665F74AA"/>
    <w:rsid w:val="667C005C"/>
    <w:rsid w:val="66B45A48"/>
    <w:rsid w:val="66ED0F5A"/>
    <w:rsid w:val="670F0ED0"/>
    <w:rsid w:val="672229B1"/>
    <w:rsid w:val="673023BE"/>
    <w:rsid w:val="67334BBF"/>
    <w:rsid w:val="67401089"/>
    <w:rsid w:val="675B2367"/>
    <w:rsid w:val="67694A84"/>
    <w:rsid w:val="67A863CC"/>
    <w:rsid w:val="67BB4BB4"/>
    <w:rsid w:val="67D80F73"/>
    <w:rsid w:val="67E45EB9"/>
    <w:rsid w:val="6841330B"/>
    <w:rsid w:val="68784853"/>
    <w:rsid w:val="68923B67"/>
    <w:rsid w:val="689E42BA"/>
    <w:rsid w:val="68A51AEC"/>
    <w:rsid w:val="68C006D4"/>
    <w:rsid w:val="68CD4699"/>
    <w:rsid w:val="69004F74"/>
    <w:rsid w:val="69236EB5"/>
    <w:rsid w:val="692C7B17"/>
    <w:rsid w:val="692F585A"/>
    <w:rsid w:val="694A2693"/>
    <w:rsid w:val="6954706E"/>
    <w:rsid w:val="695D31F9"/>
    <w:rsid w:val="69640855"/>
    <w:rsid w:val="698E2580"/>
    <w:rsid w:val="69937B96"/>
    <w:rsid w:val="699D0A15"/>
    <w:rsid w:val="69A91168"/>
    <w:rsid w:val="69AA3132"/>
    <w:rsid w:val="69AE677E"/>
    <w:rsid w:val="69C9180A"/>
    <w:rsid w:val="69E80182"/>
    <w:rsid w:val="6A060AF0"/>
    <w:rsid w:val="6A22716C"/>
    <w:rsid w:val="6A406F46"/>
    <w:rsid w:val="6A415844"/>
    <w:rsid w:val="6A4D41E9"/>
    <w:rsid w:val="6A4E61B3"/>
    <w:rsid w:val="6A696B49"/>
    <w:rsid w:val="6A9040D6"/>
    <w:rsid w:val="6AB2229E"/>
    <w:rsid w:val="6AB82C3D"/>
    <w:rsid w:val="6AC66C31"/>
    <w:rsid w:val="6B040620"/>
    <w:rsid w:val="6B105217"/>
    <w:rsid w:val="6B19056F"/>
    <w:rsid w:val="6B3C7DBA"/>
    <w:rsid w:val="6B3E1D84"/>
    <w:rsid w:val="6B413622"/>
    <w:rsid w:val="6B4F21E3"/>
    <w:rsid w:val="6B5B46E4"/>
    <w:rsid w:val="6B633598"/>
    <w:rsid w:val="6B6A054F"/>
    <w:rsid w:val="6B6C68F1"/>
    <w:rsid w:val="6B6F1F3D"/>
    <w:rsid w:val="6B7E6624"/>
    <w:rsid w:val="6B882FFF"/>
    <w:rsid w:val="6BA50055"/>
    <w:rsid w:val="6BA65274"/>
    <w:rsid w:val="6C191777"/>
    <w:rsid w:val="6C1B3E73"/>
    <w:rsid w:val="6C2B055A"/>
    <w:rsid w:val="6C2C7E2E"/>
    <w:rsid w:val="6C4A05C8"/>
    <w:rsid w:val="6C7B4C6C"/>
    <w:rsid w:val="6C8034E5"/>
    <w:rsid w:val="6CAA2B0F"/>
    <w:rsid w:val="6CB0280D"/>
    <w:rsid w:val="6CB22A29"/>
    <w:rsid w:val="6CB87914"/>
    <w:rsid w:val="6CCF2537"/>
    <w:rsid w:val="6D035033"/>
    <w:rsid w:val="6D0A63C2"/>
    <w:rsid w:val="6D0D1A0E"/>
    <w:rsid w:val="6D194857"/>
    <w:rsid w:val="6D464F20"/>
    <w:rsid w:val="6D512242"/>
    <w:rsid w:val="6D5A0320"/>
    <w:rsid w:val="6D657A9C"/>
    <w:rsid w:val="6D7D4DE5"/>
    <w:rsid w:val="6D94212F"/>
    <w:rsid w:val="6DAA1953"/>
    <w:rsid w:val="6DAA3701"/>
    <w:rsid w:val="6DB97DE8"/>
    <w:rsid w:val="6DBC51E2"/>
    <w:rsid w:val="6DBE0F5A"/>
    <w:rsid w:val="6DC63E80"/>
    <w:rsid w:val="6DDB238F"/>
    <w:rsid w:val="6DEC5AC7"/>
    <w:rsid w:val="6DEF3809"/>
    <w:rsid w:val="6DF130DE"/>
    <w:rsid w:val="6E26547D"/>
    <w:rsid w:val="6E292877"/>
    <w:rsid w:val="6E3336F6"/>
    <w:rsid w:val="6E3B6A4F"/>
    <w:rsid w:val="6E413253"/>
    <w:rsid w:val="6E414065"/>
    <w:rsid w:val="6E692816"/>
    <w:rsid w:val="6E78596E"/>
    <w:rsid w:val="6EA42846"/>
    <w:rsid w:val="6ED00F45"/>
    <w:rsid w:val="6EDA6095"/>
    <w:rsid w:val="6EF30DFA"/>
    <w:rsid w:val="6F3D7A43"/>
    <w:rsid w:val="6F400306"/>
    <w:rsid w:val="6F6A75EB"/>
    <w:rsid w:val="6F6D0E8A"/>
    <w:rsid w:val="6F7C731F"/>
    <w:rsid w:val="6F7D1C9E"/>
    <w:rsid w:val="6F865AA7"/>
    <w:rsid w:val="6F947AC5"/>
    <w:rsid w:val="6F953A54"/>
    <w:rsid w:val="6FA0053A"/>
    <w:rsid w:val="6FB46AB9"/>
    <w:rsid w:val="6FD16B15"/>
    <w:rsid w:val="6FD44A65"/>
    <w:rsid w:val="6FE078AE"/>
    <w:rsid w:val="6FE253D4"/>
    <w:rsid w:val="701D465E"/>
    <w:rsid w:val="7036127C"/>
    <w:rsid w:val="703A6FBE"/>
    <w:rsid w:val="70411DBD"/>
    <w:rsid w:val="70457711"/>
    <w:rsid w:val="70485764"/>
    <w:rsid w:val="704F058F"/>
    <w:rsid w:val="709661BE"/>
    <w:rsid w:val="70967F6C"/>
    <w:rsid w:val="70D72A5F"/>
    <w:rsid w:val="70FD4D9E"/>
    <w:rsid w:val="71031AA6"/>
    <w:rsid w:val="71063344"/>
    <w:rsid w:val="710F68B9"/>
    <w:rsid w:val="71290DE0"/>
    <w:rsid w:val="71353C29"/>
    <w:rsid w:val="7137174F"/>
    <w:rsid w:val="714300F4"/>
    <w:rsid w:val="71544AC9"/>
    <w:rsid w:val="715C11B6"/>
    <w:rsid w:val="717E2EDA"/>
    <w:rsid w:val="71C823A7"/>
    <w:rsid w:val="71CF3736"/>
    <w:rsid w:val="71F5266E"/>
    <w:rsid w:val="72037883"/>
    <w:rsid w:val="720A29C0"/>
    <w:rsid w:val="720A6E64"/>
    <w:rsid w:val="720C2BDC"/>
    <w:rsid w:val="721750DD"/>
    <w:rsid w:val="721E46BD"/>
    <w:rsid w:val="72251364"/>
    <w:rsid w:val="72345C8F"/>
    <w:rsid w:val="724E6D50"/>
    <w:rsid w:val="726F6CC7"/>
    <w:rsid w:val="72734D90"/>
    <w:rsid w:val="72BA6194"/>
    <w:rsid w:val="72D82ABE"/>
    <w:rsid w:val="72DA6836"/>
    <w:rsid w:val="72E17BC5"/>
    <w:rsid w:val="72F53670"/>
    <w:rsid w:val="73503C74"/>
    <w:rsid w:val="7387070E"/>
    <w:rsid w:val="738F5872"/>
    <w:rsid w:val="739C3AEB"/>
    <w:rsid w:val="73BB0416"/>
    <w:rsid w:val="73E21E46"/>
    <w:rsid w:val="74212243"/>
    <w:rsid w:val="7431199B"/>
    <w:rsid w:val="743B50B2"/>
    <w:rsid w:val="7440091B"/>
    <w:rsid w:val="74687E72"/>
    <w:rsid w:val="7473539A"/>
    <w:rsid w:val="747405C4"/>
    <w:rsid w:val="74890514"/>
    <w:rsid w:val="748C3B60"/>
    <w:rsid w:val="74AB25E0"/>
    <w:rsid w:val="74AE3CBF"/>
    <w:rsid w:val="74DF1EE2"/>
    <w:rsid w:val="75263FB5"/>
    <w:rsid w:val="754D3DBC"/>
    <w:rsid w:val="75596138"/>
    <w:rsid w:val="758243E3"/>
    <w:rsid w:val="75874AC7"/>
    <w:rsid w:val="75936516"/>
    <w:rsid w:val="75947170"/>
    <w:rsid w:val="759E7FEF"/>
    <w:rsid w:val="75A924F0"/>
    <w:rsid w:val="75AA6994"/>
    <w:rsid w:val="75BC0475"/>
    <w:rsid w:val="75CD61DE"/>
    <w:rsid w:val="75E672A0"/>
    <w:rsid w:val="75EA3234"/>
    <w:rsid w:val="75F55735"/>
    <w:rsid w:val="75FA2D4B"/>
    <w:rsid w:val="760616F0"/>
    <w:rsid w:val="760C1130"/>
    <w:rsid w:val="76197675"/>
    <w:rsid w:val="763444AF"/>
    <w:rsid w:val="76447C6A"/>
    <w:rsid w:val="766A1C7F"/>
    <w:rsid w:val="767B0330"/>
    <w:rsid w:val="769A6A08"/>
    <w:rsid w:val="76A01B45"/>
    <w:rsid w:val="76A67A7B"/>
    <w:rsid w:val="76B807C3"/>
    <w:rsid w:val="76B80C3C"/>
    <w:rsid w:val="76B92C06"/>
    <w:rsid w:val="76C21ABB"/>
    <w:rsid w:val="76C53359"/>
    <w:rsid w:val="76E01F41"/>
    <w:rsid w:val="76EF1728"/>
    <w:rsid w:val="76FF4ABD"/>
    <w:rsid w:val="77212C85"/>
    <w:rsid w:val="772207AC"/>
    <w:rsid w:val="77224DF8"/>
    <w:rsid w:val="77297D8C"/>
    <w:rsid w:val="774C75D7"/>
    <w:rsid w:val="77626DFA"/>
    <w:rsid w:val="776963DA"/>
    <w:rsid w:val="778356EE"/>
    <w:rsid w:val="778925D9"/>
    <w:rsid w:val="778B00FF"/>
    <w:rsid w:val="77955421"/>
    <w:rsid w:val="77976AA4"/>
    <w:rsid w:val="77AC464A"/>
    <w:rsid w:val="77BD2282"/>
    <w:rsid w:val="77E75F40"/>
    <w:rsid w:val="77EF4B32"/>
    <w:rsid w:val="78182A4E"/>
    <w:rsid w:val="7819395D"/>
    <w:rsid w:val="781F283D"/>
    <w:rsid w:val="78210A63"/>
    <w:rsid w:val="78236589"/>
    <w:rsid w:val="78526E6F"/>
    <w:rsid w:val="78866B18"/>
    <w:rsid w:val="78C94979"/>
    <w:rsid w:val="78DD498A"/>
    <w:rsid w:val="790068CB"/>
    <w:rsid w:val="790121C2"/>
    <w:rsid w:val="7908577F"/>
    <w:rsid w:val="790A14F7"/>
    <w:rsid w:val="791B3704"/>
    <w:rsid w:val="792702FB"/>
    <w:rsid w:val="79352A18"/>
    <w:rsid w:val="79507852"/>
    <w:rsid w:val="79554E68"/>
    <w:rsid w:val="795C61F7"/>
    <w:rsid w:val="795D1F6F"/>
    <w:rsid w:val="795F7A95"/>
    <w:rsid w:val="796706F8"/>
    <w:rsid w:val="79694470"/>
    <w:rsid w:val="796D0AA9"/>
    <w:rsid w:val="79703A50"/>
    <w:rsid w:val="79856DD0"/>
    <w:rsid w:val="79865022"/>
    <w:rsid w:val="798C015E"/>
    <w:rsid w:val="798D4602"/>
    <w:rsid w:val="798E3ED6"/>
    <w:rsid w:val="79927E6B"/>
    <w:rsid w:val="799C2A97"/>
    <w:rsid w:val="79BF0534"/>
    <w:rsid w:val="79C246A4"/>
    <w:rsid w:val="79E7B28D"/>
    <w:rsid w:val="7A044199"/>
    <w:rsid w:val="7A2E1215"/>
    <w:rsid w:val="7A396538"/>
    <w:rsid w:val="7A612377"/>
    <w:rsid w:val="7A884DCA"/>
    <w:rsid w:val="7A951295"/>
    <w:rsid w:val="7AA240DD"/>
    <w:rsid w:val="7AAA11E4"/>
    <w:rsid w:val="7AC2652D"/>
    <w:rsid w:val="7AC73B44"/>
    <w:rsid w:val="7ACC6326"/>
    <w:rsid w:val="7B0326A2"/>
    <w:rsid w:val="7B0703E4"/>
    <w:rsid w:val="7B242D44"/>
    <w:rsid w:val="7B2E771F"/>
    <w:rsid w:val="7B3A4316"/>
    <w:rsid w:val="7B672C31"/>
    <w:rsid w:val="7B6C6499"/>
    <w:rsid w:val="7B914152"/>
    <w:rsid w:val="7BE11686"/>
    <w:rsid w:val="7BE6624C"/>
    <w:rsid w:val="7BEE5100"/>
    <w:rsid w:val="7C011166"/>
    <w:rsid w:val="7C09738B"/>
    <w:rsid w:val="7C372603"/>
    <w:rsid w:val="7C6A0C2B"/>
    <w:rsid w:val="7C80044E"/>
    <w:rsid w:val="7C945CA8"/>
    <w:rsid w:val="7C947A56"/>
    <w:rsid w:val="7C95557C"/>
    <w:rsid w:val="7CB73744"/>
    <w:rsid w:val="7CB80078"/>
    <w:rsid w:val="7CD267D0"/>
    <w:rsid w:val="7CED09AA"/>
    <w:rsid w:val="7CF25303"/>
    <w:rsid w:val="7CFD1A9F"/>
    <w:rsid w:val="7D1041CF"/>
    <w:rsid w:val="7D16490F"/>
    <w:rsid w:val="7D40198C"/>
    <w:rsid w:val="7D425704"/>
    <w:rsid w:val="7D4476CE"/>
    <w:rsid w:val="7D4D5E56"/>
    <w:rsid w:val="7D513B99"/>
    <w:rsid w:val="7D592F5B"/>
    <w:rsid w:val="7D6E02A7"/>
    <w:rsid w:val="7D760836"/>
    <w:rsid w:val="7D7F4443"/>
    <w:rsid w:val="7DAA32A9"/>
    <w:rsid w:val="7DAE4304"/>
    <w:rsid w:val="7DB67EA0"/>
    <w:rsid w:val="7DC91981"/>
    <w:rsid w:val="7DCE1294"/>
    <w:rsid w:val="7DDF73F6"/>
    <w:rsid w:val="7DEB5D9B"/>
    <w:rsid w:val="7E1150D6"/>
    <w:rsid w:val="7E1C7D03"/>
    <w:rsid w:val="7E215319"/>
    <w:rsid w:val="7E4E00D8"/>
    <w:rsid w:val="7E68242D"/>
    <w:rsid w:val="7E8D0C00"/>
    <w:rsid w:val="7EA61CC2"/>
    <w:rsid w:val="7EAB72D9"/>
    <w:rsid w:val="7EC16AFC"/>
    <w:rsid w:val="7ECB797B"/>
    <w:rsid w:val="7ED77E80"/>
    <w:rsid w:val="7EE36A72"/>
    <w:rsid w:val="7EE8052D"/>
    <w:rsid w:val="7F17671C"/>
    <w:rsid w:val="7F21759B"/>
    <w:rsid w:val="7F3E639F"/>
    <w:rsid w:val="7F840255"/>
    <w:rsid w:val="7F8A15E4"/>
    <w:rsid w:val="7F963AE5"/>
    <w:rsid w:val="7F9F20EE"/>
    <w:rsid w:val="7FD05249"/>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rPr>
      <w:rFonts w:ascii="Times New Roman" w:hAnsi="Times New Roman" w:eastAsia="仿宋"/>
      <w:sz w:val="32"/>
      <w:szCs w:val="24"/>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样式 行距: 固定值 28.9 磅"/>
    <w:basedOn w:val="1"/>
    <w:qFormat/>
    <w:uiPriority w:val="0"/>
    <w:pPr>
      <w:spacing w:line="578" w:lineRule="exact"/>
    </w:pPr>
    <w:rPr>
      <w:rFonts w:cs="宋体"/>
      <w:szCs w:val="20"/>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6.xml"/><Relationship Id="rId11" Type="http://schemas.openxmlformats.org/officeDocument/2006/relationships/image" Target="media/image1.png"/><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1&#24180;-&#20915;&#31639;&#22270;&#34920;(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1&#24180;-&#20915;&#31639;&#22270;&#34920;(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1&#24180;-&#20915;&#31639;&#22270;&#34920;(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1&#24180;-&#20915;&#31639;&#22270;&#34920;(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1&#24180;-&#20915;&#31639;&#22270;&#34920;(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1&#24180;-&#20915;&#31639;&#22270;&#349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2020-2021预算收支对比图</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tx>
            <c:strRef>
              <c:f>'[2021年-决算图表(2).xlsx]2021决算收支对比'!$A$2</c:f>
              <c:strCache>
                <c:ptCount val="1"/>
                <c:pt idx="0">
                  <c:v>预算收入</c:v>
                </c:pt>
              </c:strCache>
            </c:strRef>
          </c:tx>
          <c:spPr>
            <a:solidFill>
              <a:schemeClr val="accent1"/>
            </a:solidFill>
            <a:ln>
              <a:noFill/>
            </a:ln>
            <a:effectLst/>
          </c:spPr>
          <c:invertIfNegative val="0"/>
          <c:dLbls>
            <c:delete val="1"/>
          </c:dLbls>
          <c:cat>
            <c:strRef>
              <c:f>'[2021年-决算图表(2).xlsx]2021决算收支对比'!$B$1:$C$1</c:f>
              <c:strCache>
                <c:ptCount val="2"/>
                <c:pt idx="0">
                  <c:v>2020年</c:v>
                </c:pt>
                <c:pt idx="1">
                  <c:v>2021年</c:v>
                </c:pt>
              </c:strCache>
            </c:strRef>
          </c:cat>
          <c:val>
            <c:numRef>
              <c:f>'[2021年-决算图表(2).xlsx]2021决算收支对比'!$B$2:$C$2</c:f>
              <c:numCache>
                <c:formatCode>General</c:formatCode>
                <c:ptCount val="2"/>
                <c:pt idx="0">
                  <c:v>2586.51</c:v>
                </c:pt>
                <c:pt idx="1">
                  <c:v>680</c:v>
                </c:pt>
              </c:numCache>
            </c:numRef>
          </c:val>
        </c:ser>
        <c:ser>
          <c:idx val="1"/>
          <c:order val="1"/>
          <c:tx>
            <c:strRef>
              <c:f>'[2021年-决算图表(2).xlsx]2021决算收支对比'!$A$3</c:f>
              <c:strCache>
                <c:ptCount val="1"/>
                <c:pt idx="0">
                  <c:v>预算支出</c:v>
                </c:pt>
              </c:strCache>
            </c:strRef>
          </c:tx>
          <c:spPr>
            <a:solidFill>
              <a:schemeClr val="accent2"/>
            </a:solidFill>
            <a:ln>
              <a:noFill/>
            </a:ln>
            <a:effectLst/>
          </c:spPr>
          <c:invertIfNegative val="0"/>
          <c:dLbls>
            <c:delete val="1"/>
          </c:dLbls>
          <c:cat>
            <c:strRef>
              <c:f>'[2021年-决算图表(2).xlsx]2021决算收支对比'!$B$1:$C$1</c:f>
              <c:strCache>
                <c:ptCount val="2"/>
                <c:pt idx="0">
                  <c:v>2020年</c:v>
                </c:pt>
                <c:pt idx="1">
                  <c:v>2021年</c:v>
                </c:pt>
              </c:strCache>
            </c:strRef>
          </c:cat>
          <c:val>
            <c:numRef>
              <c:f>'[2021年-决算图表(2).xlsx]2021决算收支对比'!$B$3:$C$3</c:f>
              <c:numCache>
                <c:formatCode>General</c:formatCode>
                <c:ptCount val="2"/>
                <c:pt idx="0">
                  <c:v>2297.31</c:v>
                </c:pt>
                <c:pt idx="1">
                  <c:v>680</c:v>
                </c:pt>
              </c:numCache>
            </c:numRef>
          </c:val>
        </c:ser>
        <c:dLbls>
          <c:showLegendKey val="0"/>
          <c:showVal val="0"/>
          <c:showCatName val="0"/>
          <c:showSerName val="0"/>
          <c:showPercent val="0"/>
          <c:showBubbleSize val="0"/>
        </c:dLbls>
        <c:gapWidth val="219"/>
        <c:overlap val="-27"/>
        <c:axId val="937885351"/>
        <c:axId val="24273674"/>
      </c:barChart>
      <c:catAx>
        <c:axId val="9378853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3674"/>
        <c:crosses val="autoZero"/>
        <c:auto val="1"/>
        <c:lblAlgn val="ctr"/>
        <c:lblOffset val="100"/>
        <c:noMultiLvlLbl val="0"/>
      </c:catAx>
      <c:valAx>
        <c:axId val="242736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8853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年收入决算结构图</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'[2021年-决算图表(2).xlsx]收入结构图'!$A$1:$A$8</c:f>
              <c:strCache>
                <c:ptCount val="8"/>
                <c:pt idx="0">
                  <c:v>一般公共预算财政拨款收入</c:v>
                </c:pt>
                <c:pt idx="1">
                  <c:v>政府性基金预算财政拨款收入</c:v>
                </c:pt>
                <c:pt idx="2">
                  <c:v>国有资本经营预算财政拨款收入</c:v>
                </c:pt>
                <c:pt idx="3">
                  <c:v>上级补助收</c:v>
                </c:pt>
                <c:pt idx="4">
                  <c:v>事业收入</c:v>
                </c:pt>
                <c:pt idx="5">
                  <c:v>经营收入</c:v>
                </c:pt>
                <c:pt idx="6">
                  <c:v>附属单位上缴收入</c:v>
                </c:pt>
                <c:pt idx="7">
                  <c:v>其他收入</c:v>
                </c:pt>
              </c:strCache>
            </c:strRef>
          </c:cat>
          <c:val>
            <c:numRef>
              <c:f>'[2021年-决算图表(2).xlsx]收入结构图'!$B$1:$B$8</c:f>
              <c:numCache>
                <c:formatCode>General</c:formatCode>
                <c:ptCount val="8"/>
                <c:pt idx="0">
                  <c:v>680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年支出决算结构图</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'[2021年-决算图表(2).xlsx]支出结构图 '!$A$1:$A$5</c:f>
              <c:strCache>
                <c:ptCount val="5"/>
                <c:pt idx="0">
                  <c:v>基本支出</c:v>
                </c:pt>
                <c:pt idx="1">
                  <c:v>项目支出</c:v>
                </c:pt>
                <c:pt idx="2">
                  <c:v>上缴上级补助收支出</c:v>
                </c:pt>
                <c:pt idx="3">
                  <c:v>经营支出</c:v>
                </c:pt>
                <c:pt idx="4">
                  <c:v>对附属单位补助支出</c:v>
                </c:pt>
              </c:strCache>
            </c:strRef>
          </c:cat>
          <c:val>
            <c:numRef>
              <c:f>'[2021年-决算图表(2).xlsx]支出结构图 '!$B$1:$B$5</c:f>
              <c:numCache>
                <c:formatCode>General</c:formatCode>
                <c:ptCount val="5"/>
                <c:pt idx="0">
                  <c:v>300.21</c:v>
                </c:pt>
                <c:pt idx="1">
                  <c:v>90.6</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2020-2021预算收支对比图</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tx>
            <c:strRef>
              <c:f>'[2021年-决算图表(2).xlsx]2021决算收支对比'!$A$2</c:f>
              <c:strCache>
                <c:ptCount val="1"/>
                <c:pt idx="0">
                  <c:v>预算收入</c:v>
                </c:pt>
              </c:strCache>
            </c:strRef>
          </c:tx>
          <c:spPr>
            <a:solidFill>
              <a:schemeClr val="accent1"/>
            </a:solidFill>
            <a:ln>
              <a:noFill/>
            </a:ln>
            <a:effectLst/>
          </c:spPr>
          <c:invertIfNegative val="0"/>
          <c:dLbls>
            <c:delete val="1"/>
          </c:dLbls>
          <c:cat>
            <c:strRef>
              <c:f>'[2021年-决算图表(2).xlsx]2021决算收支对比'!$B$1:$C$1</c:f>
              <c:strCache>
                <c:ptCount val="2"/>
                <c:pt idx="0">
                  <c:v>2020年</c:v>
                </c:pt>
                <c:pt idx="1">
                  <c:v>2021年</c:v>
                </c:pt>
              </c:strCache>
            </c:strRef>
          </c:cat>
          <c:val>
            <c:numRef>
              <c:f>'[2021年-决算图表(2).xlsx]2021决算收支对比'!$B$2:$C$2</c:f>
              <c:numCache>
                <c:formatCode>General</c:formatCode>
                <c:ptCount val="2"/>
                <c:pt idx="0">
                  <c:v>2586.51</c:v>
                </c:pt>
                <c:pt idx="1">
                  <c:v>680</c:v>
                </c:pt>
              </c:numCache>
            </c:numRef>
          </c:val>
        </c:ser>
        <c:ser>
          <c:idx val="1"/>
          <c:order val="1"/>
          <c:tx>
            <c:strRef>
              <c:f>'[2021年-决算图表(2).xlsx]2021决算收支对比'!$A$3</c:f>
              <c:strCache>
                <c:ptCount val="1"/>
                <c:pt idx="0">
                  <c:v>预算支出</c:v>
                </c:pt>
              </c:strCache>
            </c:strRef>
          </c:tx>
          <c:spPr>
            <a:solidFill>
              <a:schemeClr val="accent2"/>
            </a:solidFill>
            <a:ln>
              <a:noFill/>
            </a:ln>
            <a:effectLst/>
          </c:spPr>
          <c:invertIfNegative val="0"/>
          <c:dLbls>
            <c:delete val="1"/>
          </c:dLbls>
          <c:cat>
            <c:strRef>
              <c:f>'[2021年-决算图表(2).xlsx]2021决算收支对比'!$B$1:$C$1</c:f>
              <c:strCache>
                <c:ptCount val="2"/>
                <c:pt idx="0">
                  <c:v>2020年</c:v>
                </c:pt>
                <c:pt idx="1">
                  <c:v>2021年</c:v>
                </c:pt>
              </c:strCache>
            </c:strRef>
          </c:cat>
          <c:val>
            <c:numRef>
              <c:f>'[2021年-决算图表(2).xlsx]2021决算收支对比'!$B$3:$C$3</c:f>
              <c:numCache>
                <c:formatCode>General</c:formatCode>
                <c:ptCount val="2"/>
                <c:pt idx="0">
                  <c:v>2297.31</c:v>
                </c:pt>
                <c:pt idx="1">
                  <c:v>680</c:v>
                </c:pt>
              </c:numCache>
            </c:numRef>
          </c:val>
        </c:ser>
        <c:dLbls>
          <c:showLegendKey val="0"/>
          <c:showVal val="0"/>
          <c:showCatName val="0"/>
          <c:showSerName val="0"/>
          <c:showPercent val="0"/>
          <c:showBubbleSize val="0"/>
        </c:dLbls>
        <c:gapWidth val="219"/>
        <c:overlap val="-27"/>
        <c:axId val="937885351"/>
        <c:axId val="24273674"/>
      </c:barChart>
      <c:catAx>
        <c:axId val="9378853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3674"/>
        <c:crosses val="autoZero"/>
        <c:auto val="1"/>
        <c:lblAlgn val="ctr"/>
        <c:lblOffset val="100"/>
        <c:noMultiLvlLbl val="0"/>
      </c:catAx>
      <c:valAx>
        <c:axId val="242736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8853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2020-2021</a:t>
            </a:r>
            <a:r>
              <a:t>一般公共预算财政拨款支出变动</a:t>
            </a:r>
          </a:p>
        </c:rich>
      </c:tx>
      <c:layout/>
      <c:overlay val="0"/>
      <c:spPr>
        <a:noFill/>
        <a:ln>
          <a:noFill/>
        </a:ln>
        <a:effectLst/>
      </c:spPr>
    </c:title>
    <c:autoTitleDeleted val="0"/>
    <c:plotArea>
      <c:layout>
        <c:manualLayout>
          <c:layoutTarget val="inner"/>
          <c:xMode val="edge"/>
          <c:yMode val="edge"/>
          <c:x val="0.0966874585514936"/>
          <c:y val="0.151869597918337"/>
          <c:w val="0.899396092362345"/>
          <c:h val="0.731426113142611"/>
        </c:manualLayout>
      </c:layout>
      <c:barChart>
        <c:barDir val="col"/>
        <c:grouping val="stacked"/>
        <c:varyColors val="0"/>
        <c:ser>
          <c:idx val="0"/>
          <c:order val="0"/>
          <c:spPr>
            <a:solidFill>
              <a:schemeClr val="accent1"/>
            </a:solidFill>
            <a:ln>
              <a:noFill/>
            </a:ln>
            <a:effectLst/>
          </c:spPr>
          <c:invertIfNegative val="0"/>
          <c:dLbls>
            <c:delete val="1"/>
          </c:dLbls>
          <c:cat>
            <c:strRef>
              <c:f>'[2021年-决算图表(2).xlsx]一般公共预算财政拨款收支变动'!$B$2:$C$2</c:f>
              <c:strCache>
                <c:ptCount val="2"/>
                <c:pt idx="0">
                  <c:v>2020年</c:v>
                </c:pt>
                <c:pt idx="1">
                  <c:v>2021年</c:v>
                </c:pt>
              </c:strCache>
            </c:strRef>
          </c:cat>
          <c:val>
            <c:numRef>
              <c:f>'[2021年-决算图表(2).xlsx]一般公共预算财政拨款收支变动'!$B$3:$C$3</c:f>
              <c:numCache>
                <c:formatCode>General</c:formatCode>
                <c:ptCount val="2"/>
                <c:pt idx="0">
                  <c:v>2257.22</c:v>
                </c:pt>
                <c:pt idx="1">
                  <c:v>390.81</c:v>
                </c:pt>
              </c:numCache>
            </c:numRef>
          </c:val>
        </c:ser>
        <c:dLbls>
          <c:showLegendKey val="0"/>
          <c:showVal val="0"/>
          <c:showCatName val="0"/>
          <c:showSerName val="0"/>
          <c:showPercent val="0"/>
          <c:showBubbleSize val="0"/>
        </c:dLbls>
        <c:gapWidth val="150"/>
        <c:overlap val="100"/>
        <c:axId val="976093457"/>
        <c:axId val="440025152"/>
      </c:barChart>
      <c:catAx>
        <c:axId val="9760934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025152"/>
        <c:crosses val="autoZero"/>
        <c:auto val="1"/>
        <c:lblAlgn val="ctr"/>
        <c:lblOffset val="100"/>
        <c:noMultiLvlLbl val="0"/>
      </c:catAx>
      <c:valAx>
        <c:axId val="44002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09345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manualLayout>
          <c:layoutTarget val="inner"/>
          <c:xMode val="edge"/>
          <c:yMode val="edge"/>
          <c:x val="0.286319444444444"/>
          <c:y val="0.204861111111111"/>
          <c:w val="0.400694444444444"/>
          <c:h val="0.66782407407407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'[2021年-决算图表(2).xlsx]“三公”经费财政拨款支出结构'!$A$2:$A$4</c:f>
              <c:strCache>
                <c:ptCount val="3"/>
                <c:pt idx="0">
                  <c:v>因公出国（境）费</c:v>
                </c:pt>
                <c:pt idx="1">
                  <c:v>公务用车购置及运行维护费</c:v>
                </c:pt>
                <c:pt idx="2">
                  <c:v>公务接待费</c:v>
                </c:pt>
              </c:strCache>
            </c:strRef>
          </c:cat>
          <c:val>
            <c:numRef>
              <c:f>'[2021年-决算图表(2).xlsx]“三公”经费财政拨款支出结构'!$B$2:$B$4</c:f>
              <c:numCache>
                <c:formatCode>General</c:formatCode>
                <c:ptCount val="3"/>
                <c:pt idx="0">
                  <c:v>0</c:v>
                </c:pt>
                <c:pt idx="1">
                  <c:v>0</c:v>
                </c:pt>
                <c:pt idx="2">
                  <c:v>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10415</Words>
  <Characters>12187</Characters>
  <Lines>61</Lines>
  <Paragraphs>17</Paragraphs>
  <TotalTime>13</TotalTime>
  <ScaleCrop>false</ScaleCrop>
  <LinksUpToDate>false</LinksUpToDate>
  <CharactersWithSpaces>12225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巧DAYTOY</cp:lastModifiedBy>
  <cp:lastPrinted>2022-10-24T08:02:00Z</cp:lastPrinted>
  <dcterms:modified xsi:type="dcterms:W3CDTF">2022-10-25T04:46:35Z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A6F392EB80CE4266918EC9FF0A783D54</vt:lpwstr>
  </property>
</Properties>
</file>