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2A404">
      <w:pPr>
        <w:spacing w:line="600" w:lineRule="exact"/>
        <w:jc w:val="center"/>
        <w:outlineLvl w:val="9"/>
        <w:rPr>
          <w:rStyle w:val="17"/>
        </w:rPr>
      </w:pPr>
      <w:bookmarkStart w:id="0" w:name="_Toc15396475"/>
      <w:bookmarkStart w:id="1" w:name="_Toc15378441"/>
      <w:bookmarkStart w:id="2" w:name="_Toc15377425"/>
      <w:bookmarkStart w:id="3" w:name="_Toc15377193"/>
      <w:bookmarkStart w:id="4" w:name="_Toc15396597"/>
      <w:bookmarkStart w:id="5" w:name="_Toc15306267"/>
    </w:p>
    <w:p w14:paraId="627020F9">
      <w:pPr>
        <w:pStyle w:val="2"/>
        <w:spacing w:before="93"/>
      </w:pPr>
    </w:p>
    <w:p w14:paraId="6E3D0254">
      <w:pPr>
        <w:spacing w:line="600" w:lineRule="exact"/>
        <w:jc w:val="center"/>
        <w:outlineLvl w:val="9"/>
        <w:rPr>
          <w:rFonts w:ascii="方正小标宋简体" w:hAnsi="宋体" w:eastAsia="方正小标宋简体"/>
          <w:sz w:val="72"/>
          <w:szCs w:val="72"/>
        </w:rPr>
      </w:pPr>
    </w:p>
    <w:p w14:paraId="41968A9A">
      <w:pPr>
        <w:spacing w:line="600" w:lineRule="exact"/>
        <w:jc w:val="center"/>
        <w:outlineLvl w:val="9"/>
        <w:rPr>
          <w:rFonts w:ascii="方正小标宋简体" w:hAnsi="宋体" w:eastAsia="方正小标宋简体"/>
          <w:sz w:val="72"/>
          <w:szCs w:val="72"/>
        </w:rPr>
      </w:pPr>
    </w:p>
    <w:p w14:paraId="1BE4CDB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0639"/>
      <w:bookmarkStart w:id="7" w:name="_Toc19717"/>
      <w:bookmarkStart w:id="8" w:name="_Toc3714"/>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6"/>
      <w:bookmarkEnd w:id="7"/>
      <w:bookmarkEnd w:id="8"/>
    </w:p>
    <w:bookmarkEnd w:id="5"/>
    <w:p w14:paraId="4E0A409A">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9" w:name="_Toc15396598"/>
      <w:bookmarkStart w:id="10" w:name="_Toc15377194"/>
      <w:bookmarkStart w:id="11" w:name="_Toc15396476"/>
      <w:bookmarkStart w:id="12" w:name="_Toc15306268"/>
      <w:bookmarkStart w:id="13" w:name="_Toc15378442"/>
      <w:bookmarkStart w:id="14" w:name="_Toc24819"/>
      <w:bookmarkStart w:id="15" w:name="_Toc32291"/>
      <w:bookmarkStart w:id="16" w:name="_Toc15377426"/>
      <w:bookmarkStart w:id="17" w:name="_Toc3198"/>
      <w:r>
        <w:rPr>
          <w:rFonts w:hint="eastAsia" w:ascii="方正小标宋简体" w:hAnsi="方正小标宋简体" w:eastAsia="方正小标宋简体" w:cs="方正小标宋简体"/>
          <w:sz w:val="72"/>
          <w:szCs w:val="72"/>
          <w:lang w:val="en-US" w:eastAsia="zh-CN"/>
        </w:rPr>
        <w:t>万源市交通运输综合行政执法大队</w:t>
      </w:r>
      <w:r>
        <w:rPr>
          <w:rFonts w:hint="eastAsia" w:ascii="方正小标宋简体" w:hAnsi="方正小标宋简体" w:eastAsia="方正小标宋简体" w:cs="方正小标宋简体"/>
          <w:sz w:val="72"/>
          <w:szCs w:val="72"/>
        </w:rPr>
        <w:t>部门</w:t>
      </w:r>
      <w:r>
        <w:rPr>
          <w:rFonts w:hint="eastAsia" w:ascii="方正小标宋简体" w:hAnsi="方正小标宋简体" w:eastAsia="方正小标宋简体" w:cs="方正小标宋简体"/>
          <w:sz w:val="72"/>
          <w:szCs w:val="72"/>
          <w:lang w:val="en-US" w:eastAsia="zh-CN"/>
        </w:rPr>
        <w:t>决算</w:t>
      </w:r>
      <w:bookmarkEnd w:id="9"/>
      <w:bookmarkEnd w:id="10"/>
      <w:bookmarkEnd w:id="11"/>
      <w:bookmarkEnd w:id="12"/>
      <w:bookmarkEnd w:id="13"/>
      <w:bookmarkEnd w:id="14"/>
      <w:bookmarkEnd w:id="15"/>
      <w:bookmarkEnd w:id="16"/>
      <w:bookmarkEnd w:id="17"/>
    </w:p>
    <w:p w14:paraId="7DE7B8C9">
      <w:pPr>
        <w:widowControl/>
        <w:jc w:val="center"/>
        <w:rPr>
          <w:rFonts w:ascii="黑体" w:hAnsi="黑体" w:eastAsia="黑体"/>
          <w:sz w:val="48"/>
          <w:szCs w:val="48"/>
        </w:rPr>
      </w:pPr>
      <w:r>
        <w:rPr>
          <w:rFonts w:hint="eastAsia" w:ascii="黑体" w:hAnsi="黑体" w:eastAsia="黑体"/>
          <w:sz w:val="48"/>
          <w:szCs w:val="48"/>
        </w:rPr>
        <w:t>目录</w:t>
      </w:r>
    </w:p>
    <w:p w14:paraId="3647F980">
      <w:pPr>
        <w:widowControl/>
        <w:jc w:val="center"/>
        <w:rPr>
          <w:rFonts w:ascii="黑体" w:hAnsi="黑体" w:eastAsia="黑体" w:cstheme="minorBidi"/>
          <w:sz w:val="28"/>
          <w:szCs w:val="28"/>
        </w:rPr>
      </w:pPr>
    </w:p>
    <w:p w14:paraId="755BD0C6">
      <w:pPr>
        <w:pStyle w:val="11"/>
      </w:pPr>
      <w:r>
        <w:rPr>
          <w:rFonts w:hint="eastAsia"/>
        </w:rPr>
        <w:t>公开时间：2023年</w:t>
      </w:r>
      <w:r>
        <w:rPr>
          <w:rFonts w:hint="eastAsia"/>
          <w:lang w:val="en-US" w:eastAsia="zh-CN"/>
        </w:rPr>
        <w:t>11</w:t>
      </w:r>
      <w:r>
        <w:rPr>
          <w:rFonts w:hint="eastAsia"/>
        </w:rPr>
        <w:t xml:space="preserve">月 </w:t>
      </w:r>
      <w:r>
        <w:rPr>
          <w:rFonts w:hint="eastAsia"/>
          <w:lang w:val="en-US" w:eastAsia="zh-CN"/>
        </w:rPr>
        <w:t>14</w:t>
      </w:r>
      <w:r>
        <w:rPr>
          <w:rFonts w:hint="eastAsia"/>
        </w:rPr>
        <w:t xml:space="preserve"> 日</w:t>
      </w:r>
    </w:p>
    <w:p w14:paraId="7955FD1A"/>
    <w:sdt>
      <w:sdtPr>
        <w:rPr>
          <w:rFonts w:ascii="宋体" w:hAnsi="宋体" w:eastAsia="宋体" w:cs="Times New Roman"/>
          <w:kern w:val="2"/>
          <w:sz w:val="21"/>
          <w:szCs w:val="24"/>
          <w:lang w:val="en-US" w:eastAsia="zh-CN" w:bidi="ar-SA"/>
        </w:rPr>
        <w:id w:val="147453146"/>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14:paraId="2F64C869">
          <w:pPr>
            <w:spacing w:before="0" w:beforeLines="0" w:after="0" w:afterLines="0" w:line="240" w:lineRule="auto"/>
            <w:ind w:left="0" w:leftChars="0" w:right="0" w:rightChars="0" w:firstLine="0" w:firstLineChars="0"/>
            <w:jc w:val="center"/>
          </w:pPr>
        </w:p>
        <w:p w14:paraId="29E1CA39">
          <w:pPr>
            <w:pStyle w:val="11"/>
            <w:tabs>
              <w:tab w:val="right" w:leader="dot" w:pos="8306"/>
              <w:tab w:val="clear" w:pos="8296"/>
            </w:tabs>
          </w:pPr>
          <w:r>
            <w:fldChar w:fldCharType="begin"/>
          </w:r>
          <w:r>
            <w:instrText xml:space="preserve">TOC \o "1-2" \h \u </w:instrText>
          </w:r>
          <w:r>
            <w:fldChar w:fldCharType="separate"/>
          </w:r>
          <w:r>
            <w:fldChar w:fldCharType="begin"/>
          </w:r>
          <w:r>
            <w:instrText xml:space="preserve"> HYPERLINK \l _Toc19434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_Toc19434 \h </w:instrText>
          </w:r>
          <w:r>
            <w:fldChar w:fldCharType="separate"/>
          </w:r>
          <w:r>
            <w:t>3</w:t>
          </w:r>
          <w:r>
            <w:fldChar w:fldCharType="end"/>
          </w:r>
          <w:r>
            <w:fldChar w:fldCharType="end"/>
          </w:r>
        </w:p>
        <w:p w14:paraId="59FDCF65">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_Toc19021 </w:instrText>
          </w:r>
          <w:r>
            <w:rPr>
              <w:rFonts w:hint="eastAsia" w:ascii="仿宋" w:hAnsi="仿宋" w:eastAsia="仿宋" w:cs="仿宋"/>
              <w:sz w:val="28"/>
              <w:szCs w:val="28"/>
            </w:rPr>
            <w:fldChar w:fldCharType="separate"/>
          </w:r>
          <w:r>
            <w:rPr>
              <w:rFonts w:hint="eastAsia" w:ascii="仿宋" w:hAnsi="仿宋" w:eastAsia="仿宋" w:cs="仿宋"/>
              <w:sz w:val="28"/>
              <w:szCs w:val="28"/>
            </w:rPr>
            <w:t>一、 部门职责</w:t>
          </w:r>
          <w:r>
            <w:rPr>
              <w:rFonts w:hint="eastAsia" w:ascii="仿宋" w:hAnsi="仿宋" w:eastAsia="仿宋" w:cs="仿宋"/>
              <w:sz w:val="28"/>
              <w:szCs w:val="28"/>
            </w:rPr>
            <w:tab/>
          </w:r>
          <w:bookmarkStart w:id="97" w:name="_GoBack"/>
          <w:bookmarkEnd w:id="97"/>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_Toc19021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4C7D3CA">
          <w:pPr>
            <w:pStyle w:val="12"/>
            <w:tabs>
              <w:tab w:val="right" w:leader="dot" w:pos="8306"/>
              <w:tab w:val="clear" w:pos="829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_Toc13978 </w:instrText>
          </w:r>
          <w:r>
            <w:rPr>
              <w:rFonts w:hint="eastAsia" w:ascii="仿宋" w:hAnsi="仿宋" w:eastAsia="仿宋" w:cs="仿宋"/>
              <w:sz w:val="28"/>
              <w:szCs w:val="28"/>
            </w:rPr>
            <w:fldChar w:fldCharType="separate"/>
          </w:r>
          <w:r>
            <w:rPr>
              <w:rFonts w:hint="eastAsia" w:ascii="仿宋" w:hAnsi="仿宋" w:eastAsia="仿宋" w:cs="仿宋"/>
              <w:sz w:val="28"/>
              <w:szCs w:val="28"/>
            </w:rPr>
            <w:t>二、机</w:t>
          </w:r>
          <w:r>
            <w:rPr>
              <w:rFonts w:hint="eastAsia" w:ascii="仿宋" w:hAnsi="仿宋" w:eastAsia="仿宋" w:cs="仿宋"/>
              <w:bCs w:val="0"/>
              <w:sz w:val="28"/>
              <w:szCs w:val="28"/>
            </w:rPr>
            <w:t>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_Toc13978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878500E">
          <w:pPr>
            <w:pStyle w:val="11"/>
            <w:tabs>
              <w:tab w:val="right" w:leader="dot" w:pos="8306"/>
              <w:tab w:val="clear" w:pos="8296"/>
            </w:tabs>
          </w:pPr>
          <w:r>
            <w:fldChar w:fldCharType="begin"/>
          </w:r>
          <w:r>
            <w:instrText xml:space="preserve"> HYPERLINK \l _Toc8962 </w:instrText>
          </w:r>
          <w:r>
            <w:fldChar w:fldCharType="separate"/>
          </w:r>
          <w:r>
            <w:rPr>
              <w:rFonts w:hint="eastAsia" w:ascii="黑体" w:hAnsi="黑体" w:eastAsia="黑体"/>
            </w:rPr>
            <w:t>第二部分 2023年度</w:t>
          </w:r>
          <w:r>
            <w:rPr>
              <w:rFonts w:hint="eastAsia" w:ascii="黑体" w:hAnsi="黑体" w:eastAsia="黑体"/>
              <w:bCs/>
            </w:rPr>
            <w:t>部门决算情况说明</w:t>
          </w:r>
          <w:r>
            <w:tab/>
          </w:r>
          <w:r>
            <w:fldChar w:fldCharType="begin"/>
          </w:r>
          <w:r>
            <w:instrText xml:space="preserve"> PAGEREF _Toc8962 \h </w:instrText>
          </w:r>
          <w:r>
            <w:fldChar w:fldCharType="separate"/>
          </w:r>
          <w:r>
            <w:t>4</w:t>
          </w:r>
          <w:r>
            <w:fldChar w:fldCharType="end"/>
          </w:r>
          <w:r>
            <w:fldChar w:fldCharType="end"/>
          </w:r>
        </w:p>
        <w:p w14:paraId="5553C695">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_Toc21202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_Toc21202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1F7BE2F">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_Toc2426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16A2C0E">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_Toc12115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_Toc12115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F365BCD">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_Toc15414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_Toc15414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3DCB31">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_Toc31488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_Toc31488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565AB2">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_Toc26640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_Toc26640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5480629">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_Toc11013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_Toc11013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6F94229">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_Toc28780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_Toc28780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CA7896">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_Toc12118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_Toc12118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2330CC">
          <w:pPr>
            <w:pStyle w:val="12"/>
            <w:tabs>
              <w:tab w:val="right" w:leader="dot" w:pos="8306"/>
              <w:tab w:val="clear" w:pos="829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_Toc22378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_Toc22378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E10041">
          <w:pPr>
            <w:pStyle w:val="11"/>
            <w:tabs>
              <w:tab w:val="right" w:leader="dot" w:pos="8306"/>
              <w:tab w:val="clear" w:pos="8296"/>
            </w:tabs>
          </w:pPr>
          <w:r>
            <w:fldChar w:fldCharType="begin"/>
          </w:r>
          <w:r>
            <w:instrText xml:space="preserve"> HYPERLINK \l _Toc14883 </w:instrText>
          </w:r>
          <w:r>
            <w:fldChar w:fldCharType="separate"/>
          </w:r>
          <w:r>
            <w:rPr>
              <w:rFonts w:hint="eastAsia" w:ascii="黑体" w:hAnsi="黑体" w:eastAsia="黑体"/>
            </w:rPr>
            <w:t>第三部分 名词解释</w:t>
          </w:r>
          <w:r>
            <w:tab/>
          </w:r>
          <w:r>
            <w:fldChar w:fldCharType="begin"/>
          </w:r>
          <w:r>
            <w:instrText xml:space="preserve"> PAGEREF _Toc14883 \h </w:instrText>
          </w:r>
          <w:r>
            <w:fldChar w:fldCharType="separate"/>
          </w:r>
          <w:r>
            <w:t>14</w:t>
          </w:r>
          <w:r>
            <w:fldChar w:fldCharType="end"/>
          </w:r>
          <w:r>
            <w:fldChar w:fldCharType="end"/>
          </w:r>
        </w:p>
        <w:p w14:paraId="49EE2F77">
          <w:pPr>
            <w:pStyle w:val="11"/>
            <w:tabs>
              <w:tab w:val="right" w:leader="dot" w:pos="8306"/>
              <w:tab w:val="clear" w:pos="8296"/>
            </w:tabs>
          </w:pPr>
          <w:r>
            <w:fldChar w:fldCharType="begin"/>
          </w:r>
          <w:r>
            <w:instrText xml:space="preserve"> HYPERLINK \l _Toc9416 </w:instrText>
          </w:r>
          <w:r>
            <w:fldChar w:fldCharType="separate"/>
          </w:r>
          <w:r>
            <w:rPr>
              <w:rFonts w:hint="eastAsia" w:ascii="黑体" w:hAnsi="黑体" w:eastAsia="黑体"/>
            </w:rPr>
            <w:t>第四部分 附件</w:t>
          </w:r>
          <w:r>
            <w:tab/>
          </w:r>
          <w:r>
            <w:fldChar w:fldCharType="begin"/>
          </w:r>
          <w:r>
            <w:instrText xml:space="preserve"> PAGEREF _Toc9416 \h </w:instrText>
          </w:r>
          <w:r>
            <w:fldChar w:fldCharType="separate"/>
          </w:r>
          <w:r>
            <w:t>16</w:t>
          </w:r>
          <w:r>
            <w:fldChar w:fldCharType="end"/>
          </w:r>
          <w:r>
            <w:fldChar w:fldCharType="end"/>
          </w:r>
        </w:p>
        <w:p w14:paraId="4C385AD7">
          <w:pPr>
            <w:pStyle w:val="11"/>
            <w:tabs>
              <w:tab w:val="right" w:leader="dot" w:pos="8306"/>
              <w:tab w:val="clear" w:pos="8296"/>
            </w:tabs>
          </w:pPr>
          <w:r>
            <w:fldChar w:fldCharType="begin"/>
          </w:r>
          <w:r>
            <w:instrText xml:space="preserve"> HYPERLINK \l _Toc344 </w:instrText>
          </w:r>
          <w:r>
            <w:fldChar w:fldCharType="separate"/>
          </w:r>
          <w:r>
            <w:rPr>
              <w:rFonts w:hint="eastAsia" w:ascii="黑体" w:hAnsi="黑体" w:eastAsia="黑体"/>
            </w:rPr>
            <w:t>第五部分 附表</w:t>
          </w:r>
          <w:r>
            <w:tab/>
          </w:r>
          <w:r>
            <w:fldChar w:fldCharType="begin"/>
          </w:r>
          <w:r>
            <w:instrText xml:space="preserve"> PAGEREF _Toc344 \h </w:instrText>
          </w:r>
          <w:r>
            <w:fldChar w:fldCharType="separate"/>
          </w:r>
          <w:r>
            <w:t>33</w:t>
          </w:r>
          <w:r>
            <w:fldChar w:fldCharType="end"/>
          </w:r>
          <w:r>
            <w:fldChar w:fldCharType="end"/>
          </w:r>
        </w:p>
        <w:p w14:paraId="73BB40A6">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_Toc22366 </w:instrText>
          </w:r>
          <w:r>
            <w:rPr>
              <w:rFonts w:hint="eastAsia" w:ascii="仿宋" w:hAnsi="仿宋" w:eastAsia="仿宋" w:cs="仿宋"/>
              <w:sz w:val="28"/>
              <w:szCs w:val="28"/>
            </w:rP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_Toc22366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69CC4B">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_Toc3742 </w:instrText>
          </w:r>
          <w:r>
            <w:rPr>
              <w:rFonts w:hint="eastAsia" w:ascii="仿宋" w:hAnsi="仿宋" w:eastAsia="仿宋" w:cs="仿宋"/>
              <w:sz w:val="28"/>
              <w:szCs w:val="28"/>
            </w:rP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_Toc3742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6016CFE">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_Toc1943 </w:instrText>
          </w:r>
          <w:r>
            <w:rPr>
              <w:rFonts w:hint="eastAsia" w:ascii="仿宋" w:hAnsi="仿宋" w:eastAsia="仿宋" w:cs="仿宋"/>
              <w:sz w:val="28"/>
              <w:szCs w:val="28"/>
            </w:rP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_Toc1943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C23100">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_Toc8310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_Toc8310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535A51">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_Toc27305 </w:instrText>
          </w:r>
          <w:r>
            <w:rPr>
              <w:rFonts w:hint="eastAsia" w:ascii="仿宋" w:hAnsi="仿宋" w:eastAsia="仿宋" w:cs="仿宋"/>
              <w:sz w:val="28"/>
              <w:szCs w:val="28"/>
            </w:rP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_Toc27305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5ADD19">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_Toc11533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_Toc11533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AA7D43">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_Toc9371 </w:instrText>
          </w:r>
          <w:r>
            <w:rPr>
              <w:rFonts w:hint="eastAsia" w:ascii="仿宋" w:hAnsi="仿宋" w:eastAsia="仿宋" w:cs="仿宋"/>
              <w:sz w:val="28"/>
              <w:szCs w:val="28"/>
            </w:rP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_Toc9371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54C62DA">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_Toc23731 </w:instrText>
          </w:r>
          <w:r>
            <w:rPr>
              <w:rFonts w:hint="eastAsia" w:ascii="仿宋" w:hAnsi="仿宋" w:eastAsia="仿宋" w:cs="仿宋"/>
              <w:sz w:val="28"/>
              <w:szCs w:val="28"/>
            </w:rP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_Toc23731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121385">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_Toc1875 </w:instrText>
          </w:r>
          <w:r>
            <w:rPr>
              <w:rFonts w:hint="eastAsia" w:ascii="仿宋" w:hAnsi="仿宋" w:eastAsia="仿宋" w:cs="仿宋"/>
              <w:sz w:val="28"/>
              <w:szCs w:val="28"/>
            </w:rP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_Toc1875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E74BF0">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_Toc16678 </w:instrText>
          </w:r>
          <w:r>
            <w:rPr>
              <w:rFonts w:hint="eastAsia" w:ascii="仿宋" w:hAnsi="仿宋" w:eastAsia="仿宋" w:cs="仿宋"/>
              <w:sz w:val="28"/>
              <w:szCs w:val="28"/>
            </w:rPr>
            <w:fldChar w:fldCharType="separate"/>
          </w:r>
          <w:r>
            <w:rPr>
              <w:rFonts w:hint="eastAsia" w:ascii="仿宋" w:hAnsi="仿宋" w:eastAsia="仿宋" w:cs="仿宋"/>
              <w:sz w:val="28"/>
              <w:szCs w:val="28"/>
            </w:rPr>
            <w:t>十、政府性基金预算财政拨款收入支出决算表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_Toc16678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35D862">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_Toc3912 </w:instrText>
          </w:r>
          <w:r>
            <w:rPr>
              <w:rFonts w:hint="eastAsia" w:ascii="仿宋" w:hAnsi="仿宋" w:eastAsia="仿宋" w:cs="仿宋"/>
              <w:sz w:val="28"/>
              <w:szCs w:val="28"/>
            </w:rPr>
            <w:fldChar w:fldCharType="separate"/>
          </w:r>
          <w:r>
            <w:rPr>
              <w:rFonts w:hint="eastAsia" w:ascii="仿宋" w:hAnsi="仿宋" w:eastAsia="仿宋" w:cs="仿宋"/>
              <w:sz w:val="28"/>
              <w:szCs w:val="28"/>
            </w:rPr>
            <w:t>十一、国有资本经营预算财政拨款收入支出决算表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_Toc3912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DED790">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_Toc30727 </w:instrText>
          </w:r>
          <w:r>
            <w:rPr>
              <w:rFonts w:hint="eastAsia" w:ascii="仿宋" w:hAnsi="仿宋" w:eastAsia="仿宋" w:cs="仿宋"/>
              <w:sz w:val="28"/>
              <w:szCs w:val="28"/>
            </w:rPr>
            <w:fldChar w:fldCharType="separate"/>
          </w:r>
          <w:r>
            <w:rPr>
              <w:rFonts w:hint="eastAsia" w:ascii="仿宋" w:hAnsi="仿宋" w:eastAsia="仿宋" w:cs="仿宋"/>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_Toc30727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1D3F23">
          <w:pPr>
            <w:pStyle w:val="12"/>
            <w:tabs>
              <w:tab w:val="right" w:leader="dot" w:pos="8306"/>
              <w:tab w:val="clear" w:pos="829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_Toc12935 </w:instrText>
          </w:r>
          <w:r>
            <w:rPr>
              <w:rFonts w:hint="eastAsia" w:ascii="仿宋" w:hAnsi="仿宋" w:eastAsia="仿宋" w:cs="仿宋"/>
              <w:sz w:val="28"/>
              <w:szCs w:val="28"/>
            </w:rPr>
            <w:fldChar w:fldCharType="separate"/>
          </w:r>
          <w:r>
            <w:rPr>
              <w:rFonts w:hint="eastAsia" w:ascii="仿宋" w:hAnsi="仿宋" w:eastAsia="仿宋" w:cs="仿宋"/>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_Toc12935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CDABF3">
          <w:r>
            <w:fldChar w:fldCharType="end"/>
          </w:r>
        </w:p>
      </w:sdtContent>
    </w:sdt>
    <w:p w14:paraId="135E764C">
      <w:pPr>
        <w:pStyle w:val="3"/>
        <w:jc w:val="center"/>
        <w:rPr>
          <w:rFonts w:hint="eastAsia" w:ascii="黑体" w:hAnsi="黑体" w:eastAsia="黑体"/>
          <w:b w:val="0"/>
        </w:rPr>
      </w:pPr>
      <w:bookmarkStart w:id="18" w:name="_Toc15377196"/>
      <w:bookmarkStart w:id="19" w:name="_Toc15396599"/>
      <w:bookmarkStart w:id="20" w:name="_Toc19434"/>
    </w:p>
    <w:p w14:paraId="67428FE4">
      <w:pPr>
        <w:rPr>
          <w:rFonts w:hint="eastAsia"/>
        </w:rPr>
      </w:pPr>
    </w:p>
    <w:p w14:paraId="45FD4190">
      <w:pPr>
        <w:pStyle w:val="2"/>
        <w:rPr>
          <w:rFonts w:hint="eastAsia"/>
        </w:rPr>
      </w:pPr>
    </w:p>
    <w:p w14:paraId="069FA22A">
      <w:pPr>
        <w:rPr>
          <w:rFonts w:hint="eastAsia"/>
        </w:rPr>
      </w:pPr>
    </w:p>
    <w:p w14:paraId="3A374ECA">
      <w:pPr>
        <w:pStyle w:val="2"/>
        <w:rPr>
          <w:rFonts w:hint="eastAsia"/>
        </w:rPr>
      </w:pPr>
    </w:p>
    <w:p w14:paraId="475D89C7">
      <w:pPr>
        <w:pStyle w:val="3"/>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8"/>
      <w:bookmarkEnd w:id="19"/>
      <w:bookmarkEnd w:id="20"/>
    </w:p>
    <w:p w14:paraId="03797555">
      <w:pPr>
        <w:widowControl/>
        <w:jc w:val="left"/>
        <w:rPr>
          <w:rFonts w:ascii="黑体" w:eastAsia="黑体"/>
          <w:sz w:val="32"/>
          <w:szCs w:val="32"/>
        </w:rPr>
      </w:pPr>
    </w:p>
    <w:p w14:paraId="68273C95">
      <w:pPr>
        <w:pStyle w:val="4"/>
        <w:numPr>
          <w:ilvl w:val="0"/>
          <w:numId w:val="1"/>
        </w:numPr>
        <w:rPr>
          <w:rFonts w:hint="eastAsia" w:ascii="黑体" w:hAnsi="黑体" w:eastAsia="黑体"/>
          <w:b w:val="0"/>
        </w:rPr>
      </w:pPr>
      <w:bookmarkStart w:id="21" w:name="_Toc19021"/>
      <w:r>
        <w:rPr>
          <w:rFonts w:hint="eastAsia" w:ascii="黑体" w:hAnsi="黑体" w:eastAsia="黑体"/>
          <w:b w:val="0"/>
        </w:rPr>
        <w:t>部门职责</w:t>
      </w:r>
      <w:bookmarkEnd w:id="21"/>
    </w:p>
    <w:p w14:paraId="23A07D9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eastAsia" w:ascii="方正仿宋简体" w:eastAsia="方正仿宋简体"/>
          <w:bCs/>
          <w:sz w:val="32"/>
          <w:szCs w:val="32"/>
        </w:rPr>
        <w:t>我单位的职能：依法集中行使公路路政、道路运政、水路运政、航道行政、港口行政、地方海事行政、工工程质量监督管理等领域执法</w:t>
      </w:r>
      <w:r>
        <w:rPr>
          <w:rFonts w:hint="eastAsia" w:ascii="方正仿宋简体" w:eastAsia="方正仿宋简体"/>
          <w:bCs/>
          <w:sz w:val="32"/>
          <w:szCs w:val="32"/>
          <w:lang w:val="en-US" w:eastAsia="zh-CN"/>
        </w:rPr>
        <w:t>权</w:t>
      </w:r>
      <w:r>
        <w:rPr>
          <w:rFonts w:hint="eastAsia" w:ascii="方正仿宋简体" w:eastAsia="方正仿宋简体"/>
          <w:bCs/>
          <w:sz w:val="32"/>
          <w:szCs w:val="32"/>
        </w:rPr>
        <w:t>。</w:t>
      </w:r>
    </w:p>
    <w:p w14:paraId="166647CF">
      <w:pPr>
        <w:pStyle w:val="4"/>
        <w:rPr>
          <w:rStyle w:val="28"/>
          <w:b w:val="0"/>
          <w:bCs w:val="0"/>
        </w:rPr>
      </w:pPr>
      <w:bookmarkStart w:id="22" w:name="_Toc13978"/>
      <w:bookmarkStart w:id="23" w:name="_Toc15377200"/>
      <w:bookmarkStart w:id="24" w:name="_Toc15396601"/>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22"/>
      <w:bookmarkEnd w:id="23"/>
      <w:bookmarkEnd w:id="24"/>
    </w:p>
    <w:p w14:paraId="42C79C4D">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40" w:firstLineChars="200"/>
        <w:textAlignment w:val="auto"/>
        <w:rPr>
          <w:rFonts w:hint="eastAsia" w:ascii="仿宋" w:hAnsi="仿宋" w:eastAsia="仿宋"/>
          <w:sz w:val="32"/>
          <w:szCs w:val="32"/>
          <w:lang w:eastAsia="zh-CN"/>
        </w:rPr>
      </w:pPr>
      <w:r>
        <w:rPr>
          <w:sz w:val="32"/>
          <w:szCs w:val="32"/>
        </w:rPr>
        <w:t>万源市交通运输综合行政执法大队</w:t>
      </w:r>
      <w:r>
        <w:rPr>
          <w:rFonts w:hint="eastAsia"/>
          <w:sz w:val="32"/>
          <w:szCs w:val="32"/>
          <w:lang w:val="en-US" w:eastAsia="zh-CN"/>
        </w:rPr>
        <w:t>无</w:t>
      </w:r>
      <w:r>
        <w:rPr>
          <w:rFonts w:hint="eastAsia" w:ascii="仿宋" w:hAnsi="仿宋" w:eastAsia="仿宋"/>
          <w:sz w:val="32"/>
          <w:szCs w:val="32"/>
        </w:rPr>
        <w:t>下属二级预算单位</w:t>
      </w:r>
      <w:r>
        <w:rPr>
          <w:rFonts w:hint="eastAsia" w:ascii="仿宋" w:hAnsi="仿宋" w:eastAsia="仿宋"/>
          <w:sz w:val="32"/>
          <w:szCs w:val="32"/>
          <w:lang w:eastAsia="zh-CN"/>
        </w:rPr>
        <w:t>。</w:t>
      </w:r>
    </w:p>
    <w:p w14:paraId="139E2260">
      <w:pPr>
        <w:widowControl/>
        <w:jc w:val="left"/>
        <w:rPr>
          <w:rFonts w:ascii="仿宋" w:hAnsi="仿宋" w:eastAsia="仿宋"/>
          <w:kern w:val="0"/>
          <w:sz w:val="32"/>
          <w:szCs w:val="32"/>
        </w:rPr>
      </w:pPr>
      <w:r>
        <w:rPr>
          <w:rFonts w:ascii="仿宋" w:hAnsi="仿宋" w:eastAsia="仿宋"/>
          <w:sz w:val="32"/>
          <w:szCs w:val="32"/>
        </w:rPr>
        <w:br w:type="page"/>
      </w:r>
    </w:p>
    <w:p w14:paraId="1C08907A">
      <w:pPr>
        <w:pStyle w:val="3"/>
        <w:ind w:right="440"/>
        <w:jc w:val="center"/>
        <w:rPr>
          <w:rStyle w:val="27"/>
          <w:rFonts w:ascii="黑体" w:hAnsi="黑体" w:eastAsia="黑体"/>
          <w:b w:val="0"/>
          <w:bCs/>
        </w:rPr>
      </w:pPr>
      <w:bookmarkStart w:id="25" w:name="_Toc8962"/>
      <w:bookmarkStart w:id="26" w:name="_Toc15377204"/>
      <w:bookmarkStart w:id="27" w:name="_Toc15396602"/>
      <w:r>
        <w:rPr>
          <w:rFonts w:hint="eastAsia" w:ascii="黑体" w:hAnsi="黑体" w:eastAsia="黑体"/>
          <w:b w:val="0"/>
        </w:rPr>
        <w:t>第二部分 2023年度</w:t>
      </w:r>
      <w:r>
        <w:rPr>
          <w:rStyle w:val="27"/>
          <w:rFonts w:hint="eastAsia" w:ascii="黑体" w:hAnsi="黑体" w:eastAsia="黑体"/>
          <w:b w:val="0"/>
          <w:bCs/>
        </w:rPr>
        <w:t>部门决算情况说明</w:t>
      </w:r>
      <w:bookmarkEnd w:id="25"/>
      <w:bookmarkEnd w:id="26"/>
      <w:bookmarkEnd w:id="27"/>
    </w:p>
    <w:p w14:paraId="743CA374"/>
    <w:p w14:paraId="50C25F5A">
      <w:pPr>
        <w:pStyle w:val="26"/>
        <w:numPr>
          <w:ilvl w:val="0"/>
          <w:numId w:val="2"/>
        </w:numPr>
        <w:spacing w:line="600" w:lineRule="exact"/>
        <w:ind w:firstLineChars="0"/>
        <w:outlineLvl w:val="1"/>
        <w:rPr>
          <w:rStyle w:val="28"/>
          <w:rFonts w:ascii="黑体" w:hAnsi="黑体" w:eastAsia="黑体"/>
          <w:b w:val="0"/>
        </w:rPr>
      </w:pPr>
      <w:bookmarkStart w:id="28" w:name="_Toc21202"/>
      <w:bookmarkStart w:id="29" w:name="_Toc15396603"/>
      <w:bookmarkStart w:id="30"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8"/>
      <w:bookmarkEnd w:id="29"/>
      <w:bookmarkEnd w:id="30"/>
    </w:p>
    <w:p w14:paraId="3D456122">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2023年度收、支总计均为</w:t>
      </w:r>
      <w:r>
        <w:rPr>
          <w:rFonts w:hint="eastAsia"/>
          <w:sz w:val="32"/>
          <w:szCs w:val="32"/>
        </w:rPr>
        <w:t>1789.51</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343.83</w:t>
      </w:r>
      <w:r>
        <w:rPr>
          <w:rFonts w:hint="eastAsia" w:ascii="仿宋" w:hAnsi="仿宋" w:eastAsia="仿宋"/>
          <w:sz w:val="32"/>
          <w:szCs w:val="32"/>
        </w:rPr>
        <w:t>万元，增长</w:t>
      </w:r>
      <w:r>
        <w:rPr>
          <w:rFonts w:hint="eastAsia" w:ascii="仿宋" w:hAnsi="仿宋" w:eastAsia="仿宋"/>
          <w:sz w:val="32"/>
          <w:szCs w:val="32"/>
          <w:lang w:val="en-US" w:eastAsia="zh-CN"/>
        </w:rPr>
        <w:t>23.78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养老保险及住房公积金基数调整，预算支出增加</w:t>
      </w:r>
      <w:r>
        <w:rPr>
          <w:rFonts w:hint="eastAsia" w:ascii="仿宋" w:hAnsi="仿宋" w:eastAsia="仿宋"/>
          <w:sz w:val="32"/>
          <w:szCs w:val="32"/>
        </w:rPr>
        <w:t>。</w:t>
      </w:r>
    </w:p>
    <w:p w14:paraId="143D4CC9">
      <w:pPr>
        <w:pStyle w:val="18"/>
        <w:outlineLvl w:val="9"/>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lang w:val="en-US" w:eastAsia="zh-CN"/>
        </w:rPr>
        <w:t xml:space="preserve">    </w:t>
      </w: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EFD735">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ABD0757">
      <w:pPr>
        <w:spacing w:line="600" w:lineRule="exact"/>
        <w:ind w:firstLine="640" w:firstLineChars="200"/>
        <w:jc w:val="left"/>
        <w:rPr>
          <w:rFonts w:ascii="仿宋_GB2312" w:eastAsia="仿宋_GB2312"/>
          <w:sz w:val="32"/>
          <w:szCs w:val="32"/>
        </w:rPr>
      </w:pPr>
    </w:p>
    <w:p w14:paraId="1915D3C4">
      <w:pPr>
        <w:pStyle w:val="26"/>
        <w:numPr>
          <w:ilvl w:val="0"/>
          <w:numId w:val="2"/>
        </w:numPr>
        <w:spacing w:line="600" w:lineRule="exact"/>
        <w:ind w:firstLineChars="0"/>
        <w:outlineLvl w:val="1"/>
        <w:rPr>
          <w:rStyle w:val="28"/>
          <w:rFonts w:ascii="黑体" w:hAnsi="黑体" w:eastAsia="黑体"/>
          <w:b w:val="0"/>
        </w:rPr>
      </w:pPr>
      <w:bookmarkStart w:id="31" w:name="_Toc2426"/>
      <w:bookmarkStart w:id="32" w:name="_Toc15377206"/>
      <w:bookmarkStart w:id="33" w:name="_Toc15396604"/>
      <w:r>
        <w:rPr>
          <w:rFonts w:hint="eastAsia" w:ascii="黑体" w:hAnsi="黑体" w:eastAsia="黑体"/>
          <w:sz w:val="32"/>
          <w:szCs w:val="32"/>
        </w:rPr>
        <w:t>收</w:t>
      </w:r>
      <w:r>
        <w:rPr>
          <w:rStyle w:val="28"/>
          <w:rFonts w:hint="eastAsia" w:ascii="黑体" w:hAnsi="黑体" w:eastAsia="黑体"/>
          <w:b w:val="0"/>
        </w:rPr>
        <w:t>入决算情况说明</w:t>
      </w:r>
      <w:bookmarkEnd w:id="31"/>
      <w:bookmarkEnd w:id="32"/>
      <w:bookmarkEnd w:id="33"/>
    </w:p>
    <w:p w14:paraId="69AC5FB6">
      <w:pPr>
        <w:spacing w:line="600" w:lineRule="exact"/>
        <w:ind w:firstLine="640" w:firstLineChars="200"/>
        <w:jc w:val="left"/>
        <w:outlineLvl w:val="1"/>
        <w:rPr>
          <w:rFonts w:ascii="仿宋" w:hAnsi="仿宋" w:eastAsia="仿宋"/>
          <w:sz w:val="32"/>
          <w:szCs w:val="32"/>
        </w:rPr>
      </w:pPr>
      <w:bookmarkStart w:id="34" w:name="_Toc29331"/>
      <w:bookmarkStart w:id="35" w:name="_Toc22744"/>
      <w:bookmarkStart w:id="36" w:name="_Toc25511"/>
      <w:r>
        <w:rPr>
          <w:rFonts w:hint="eastAsia" w:ascii="仿宋" w:hAnsi="仿宋" w:eastAsia="仿宋"/>
          <w:sz w:val="32"/>
          <w:szCs w:val="32"/>
        </w:rPr>
        <w:t>2023年度本年收入合计</w:t>
      </w:r>
      <w:r>
        <w:rPr>
          <w:sz w:val="32"/>
          <w:szCs w:val="32"/>
        </w:rPr>
        <w:t>1789.51</w:t>
      </w:r>
      <w:r>
        <w:rPr>
          <w:rFonts w:hint="eastAsia" w:ascii="仿宋" w:hAnsi="仿宋" w:eastAsia="仿宋"/>
          <w:sz w:val="32"/>
          <w:szCs w:val="32"/>
        </w:rPr>
        <w:t>万元，其中：一般公共预算财政拨款收入</w:t>
      </w:r>
      <w:r>
        <w:rPr>
          <w:sz w:val="32"/>
          <w:szCs w:val="32"/>
        </w:rPr>
        <w:t>1789.51</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34"/>
      <w:bookmarkEnd w:id="35"/>
      <w:bookmarkEnd w:id="36"/>
    </w:p>
    <w:p w14:paraId="2334A4EE">
      <w:pPr>
        <w:spacing w:line="600" w:lineRule="exact"/>
        <w:ind w:firstLine="643" w:firstLineChars="200"/>
        <w:outlineLvl w:val="1"/>
        <w:rPr>
          <w:rFonts w:ascii="仿宋" w:hAnsi="仿宋" w:eastAsia="仿宋"/>
          <w:b/>
          <w:sz w:val="32"/>
          <w:szCs w:val="32"/>
        </w:rPr>
      </w:pPr>
      <w:bookmarkStart w:id="37" w:name="_Toc15746"/>
      <w:bookmarkStart w:id="38" w:name="_Toc10595"/>
      <w:bookmarkStart w:id="39" w:name="_Toc30120"/>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bookmarkEnd w:id="37"/>
      <w:bookmarkEnd w:id="38"/>
      <w:bookmarkEnd w:id="39"/>
    </w:p>
    <w:p w14:paraId="0E7FE358">
      <w:pPr>
        <w:spacing w:line="600" w:lineRule="exact"/>
        <w:ind w:firstLine="640" w:firstLineChars="200"/>
        <w:outlineLvl w:val="9"/>
        <w:rPr>
          <w:rFonts w:ascii="仿宋" w:hAnsi="仿宋" w:eastAsia="仿宋"/>
          <w:sz w:val="32"/>
          <w:szCs w:val="32"/>
        </w:rPr>
      </w:pPr>
      <w:r>
        <w:rPr>
          <w:rFonts w:hint="default" w:ascii="仿宋" w:hAnsi="仿宋" w:eastAsia="仿宋"/>
          <w:color w:val="000000"/>
          <w:sz w:val="32"/>
          <w:szCs w:val="24"/>
          <w:lang w:eastAsia="zh-CN"/>
        </w:rPr>
        <w:pict>
          <v:shape id="Object 4" o:spid="_x0000_s1027" o:spt="75" type="#_x0000_t75" style="position:absolute;left:0pt;margin-left:27.75pt;margin-top:4.65pt;height:303pt;width:399.75pt;mso-wrap-distance-bottom:0pt;mso-wrap-distance-left:9pt;mso-wrap-distance-right:9pt;mso-wrap-distance-top:0pt;z-index:251659264;mso-width-relative:page;mso-height-relative:page;" o:ole="t" filled="f" o:preferrelative="t" stroked="f" coordsize="21600,21600">
            <v:path/>
            <v:fill on="f" focussize="0,0"/>
            <v:stroke on="f"/>
            <v:imagedata r:id="rId15" o:title=""/>
            <o:lock v:ext="edit" aspectratio="t"/>
            <w10:wrap type="square"/>
          </v:shape>
          <o:OLEObject Type="Embed" ProgID="Excel.Sheet.8" ShapeID="Object 4" DrawAspect="Content" ObjectID="_1468075725" r:id="rId14">
            <o:LockedField>false</o:LockedField>
          </o:OLEObject>
        </w:pict>
      </w:r>
    </w:p>
    <w:p w14:paraId="68F8A3EA">
      <w:pPr>
        <w:pStyle w:val="18"/>
        <w:outlineLvl w:val="9"/>
        <w:rPr>
          <w:rFonts w:ascii="仿宋" w:hAnsi="仿宋" w:eastAsia="仿宋"/>
          <w:sz w:val="32"/>
          <w:szCs w:val="32"/>
        </w:rPr>
      </w:pPr>
    </w:p>
    <w:p w14:paraId="08727276"/>
    <w:p w14:paraId="4B8B1715">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val="en-US" w:eastAsia="zh-CN"/>
        </w:rPr>
        <w:t xml:space="preserve">        </w:t>
      </w:r>
    </w:p>
    <w:p w14:paraId="0F69EC86">
      <w:pPr>
        <w:spacing w:line="600" w:lineRule="exact"/>
        <w:ind w:firstLine="640" w:firstLineChars="200"/>
        <w:rPr>
          <w:rFonts w:hint="eastAsia" w:ascii="仿宋" w:hAnsi="仿宋" w:eastAsia="仿宋"/>
          <w:sz w:val="32"/>
          <w:szCs w:val="32"/>
          <w:lang w:val="en-US" w:eastAsia="zh-CN"/>
        </w:rPr>
      </w:pPr>
    </w:p>
    <w:p w14:paraId="56C94096">
      <w:pPr>
        <w:spacing w:line="600" w:lineRule="exact"/>
        <w:ind w:firstLine="640" w:firstLineChars="200"/>
        <w:rPr>
          <w:rFonts w:hint="eastAsia" w:ascii="仿宋" w:hAnsi="仿宋" w:eastAsia="仿宋"/>
          <w:sz w:val="32"/>
          <w:szCs w:val="32"/>
          <w:lang w:val="en-US" w:eastAsia="zh-CN"/>
        </w:rPr>
      </w:pPr>
    </w:p>
    <w:p w14:paraId="3ACBC316">
      <w:pPr>
        <w:spacing w:line="600" w:lineRule="exact"/>
        <w:ind w:firstLine="640" w:firstLineChars="200"/>
        <w:rPr>
          <w:rFonts w:hint="eastAsia" w:ascii="仿宋" w:hAnsi="仿宋" w:eastAsia="仿宋"/>
          <w:sz w:val="32"/>
          <w:szCs w:val="32"/>
          <w:lang w:val="en-US" w:eastAsia="zh-CN"/>
        </w:rPr>
      </w:pPr>
    </w:p>
    <w:p w14:paraId="7613D477">
      <w:pPr>
        <w:spacing w:line="600" w:lineRule="exact"/>
        <w:ind w:firstLine="640" w:firstLineChars="200"/>
        <w:rPr>
          <w:rFonts w:hint="eastAsia" w:ascii="仿宋" w:hAnsi="仿宋" w:eastAsia="仿宋"/>
          <w:sz w:val="32"/>
          <w:szCs w:val="32"/>
          <w:lang w:val="en-US" w:eastAsia="zh-CN"/>
        </w:rPr>
      </w:pPr>
    </w:p>
    <w:p w14:paraId="326166B6">
      <w:pPr>
        <w:spacing w:line="600" w:lineRule="exact"/>
        <w:ind w:firstLine="640" w:firstLineChars="200"/>
        <w:rPr>
          <w:rFonts w:hint="eastAsia" w:ascii="仿宋" w:hAnsi="仿宋" w:eastAsia="仿宋"/>
          <w:sz w:val="32"/>
          <w:szCs w:val="32"/>
          <w:lang w:val="en-US" w:eastAsia="zh-CN"/>
        </w:rPr>
      </w:pPr>
    </w:p>
    <w:p w14:paraId="52A998F3">
      <w:pPr>
        <w:spacing w:line="600" w:lineRule="exact"/>
        <w:ind w:firstLine="1920" w:firstLineChars="6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图2：收入决算结构图）（饼状图）</w:t>
      </w:r>
    </w:p>
    <w:p w14:paraId="0243E575">
      <w:pPr>
        <w:spacing w:line="600" w:lineRule="exact"/>
        <w:ind w:firstLine="640" w:firstLineChars="200"/>
        <w:rPr>
          <w:rFonts w:ascii="仿宋_GB2312" w:eastAsia="仿宋_GB2312"/>
          <w:sz w:val="32"/>
          <w:szCs w:val="32"/>
        </w:rPr>
      </w:pPr>
    </w:p>
    <w:p w14:paraId="7D6483A4">
      <w:pPr>
        <w:pStyle w:val="26"/>
        <w:numPr>
          <w:ilvl w:val="0"/>
          <w:numId w:val="2"/>
        </w:numPr>
        <w:spacing w:line="600" w:lineRule="exact"/>
        <w:ind w:firstLineChars="0"/>
        <w:outlineLvl w:val="1"/>
        <w:rPr>
          <w:rStyle w:val="28"/>
          <w:rFonts w:ascii="黑体" w:hAnsi="黑体" w:eastAsia="黑体"/>
          <w:b w:val="0"/>
        </w:rPr>
      </w:pPr>
      <w:bookmarkStart w:id="40" w:name="_Toc15396605"/>
      <w:bookmarkStart w:id="41" w:name="_Toc15377207"/>
      <w:bookmarkStart w:id="42" w:name="_Toc12115"/>
      <w:r>
        <w:rPr>
          <w:rFonts w:hint="eastAsia" w:ascii="黑体" w:hAnsi="黑体" w:eastAsia="黑体"/>
          <w:sz w:val="32"/>
          <w:szCs w:val="32"/>
        </w:rPr>
        <w:t>支</w:t>
      </w:r>
      <w:r>
        <w:rPr>
          <w:rStyle w:val="28"/>
          <w:rFonts w:hint="eastAsia" w:ascii="黑体" w:hAnsi="黑体" w:eastAsia="黑体"/>
          <w:b w:val="0"/>
        </w:rPr>
        <w:t>出决算情况说明</w:t>
      </w:r>
      <w:bookmarkEnd w:id="40"/>
      <w:bookmarkEnd w:id="41"/>
      <w:bookmarkEnd w:id="42"/>
    </w:p>
    <w:p w14:paraId="212ED1F8">
      <w:pPr>
        <w:spacing w:line="600" w:lineRule="exact"/>
        <w:ind w:firstLine="640" w:firstLineChars="200"/>
        <w:outlineLvl w:val="1"/>
        <w:rPr>
          <w:rFonts w:ascii="仿宋" w:hAnsi="仿宋" w:eastAsia="仿宋"/>
          <w:sz w:val="32"/>
          <w:szCs w:val="32"/>
        </w:rPr>
      </w:pPr>
      <w:bookmarkStart w:id="43" w:name="_Toc5679"/>
      <w:bookmarkStart w:id="44" w:name="_Toc28709"/>
      <w:bookmarkStart w:id="45" w:name="_Toc23627"/>
      <w:r>
        <w:rPr>
          <w:rFonts w:hint="eastAsia" w:ascii="仿宋" w:hAnsi="仿宋" w:eastAsia="仿宋"/>
          <w:sz w:val="32"/>
          <w:szCs w:val="32"/>
        </w:rPr>
        <w:t>2023年度本年支出合计</w:t>
      </w:r>
      <w:r>
        <w:rPr>
          <w:sz w:val="32"/>
          <w:szCs w:val="32"/>
        </w:rPr>
        <w:t>1789.51</w:t>
      </w:r>
      <w:r>
        <w:rPr>
          <w:rFonts w:hint="eastAsia" w:ascii="仿宋" w:hAnsi="仿宋" w:eastAsia="仿宋"/>
          <w:sz w:val="32"/>
          <w:szCs w:val="32"/>
        </w:rPr>
        <w:t>万元，其中：基本支出</w:t>
      </w:r>
      <w:r>
        <w:rPr>
          <w:sz w:val="32"/>
          <w:szCs w:val="32"/>
        </w:rPr>
        <w:t>1769.51</w:t>
      </w:r>
      <w:r>
        <w:rPr>
          <w:rFonts w:hint="eastAsia" w:ascii="仿宋" w:hAnsi="仿宋" w:eastAsia="仿宋"/>
          <w:sz w:val="32"/>
          <w:szCs w:val="32"/>
        </w:rPr>
        <w:t>万元，占</w:t>
      </w:r>
      <w:r>
        <w:rPr>
          <w:sz w:val="32"/>
          <w:szCs w:val="32"/>
        </w:rPr>
        <w:t>98.88</w:t>
      </w:r>
      <w:r>
        <w:rPr>
          <w:rFonts w:ascii="仿宋" w:hAnsi="仿宋" w:eastAsia="仿宋"/>
          <w:sz w:val="32"/>
          <w:szCs w:val="32"/>
        </w:rPr>
        <w:t>%</w:t>
      </w:r>
      <w:r>
        <w:rPr>
          <w:rFonts w:hint="eastAsia" w:ascii="仿宋" w:hAnsi="仿宋" w:eastAsia="仿宋"/>
          <w:sz w:val="32"/>
          <w:szCs w:val="32"/>
        </w:rPr>
        <w:t>；项目支出</w:t>
      </w:r>
      <w:r>
        <w:rPr>
          <w:sz w:val="32"/>
          <w:szCs w:val="32"/>
        </w:rPr>
        <w:t>20</w:t>
      </w:r>
      <w:r>
        <w:rPr>
          <w:rFonts w:hint="eastAsia" w:ascii="仿宋" w:hAnsi="仿宋" w:eastAsia="仿宋"/>
          <w:sz w:val="32"/>
          <w:szCs w:val="32"/>
        </w:rPr>
        <w:t>万元，占</w:t>
      </w:r>
      <w:r>
        <w:rPr>
          <w:sz w:val="32"/>
          <w:szCs w:val="32"/>
        </w:rPr>
        <w:t>1.11</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43"/>
      <w:bookmarkEnd w:id="44"/>
      <w:bookmarkEnd w:id="45"/>
    </w:p>
    <w:p w14:paraId="383A85AB">
      <w:pPr>
        <w:spacing w:line="600" w:lineRule="exact"/>
        <w:ind w:firstLine="643" w:firstLineChars="200"/>
        <w:outlineLvl w:val="1"/>
        <w:rPr>
          <w:rFonts w:ascii="仿宋" w:hAnsi="仿宋" w:eastAsia="仿宋"/>
          <w:b/>
          <w:sz w:val="32"/>
          <w:szCs w:val="32"/>
        </w:rPr>
      </w:pPr>
      <w:bookmarkStart w:id="46" w:name="_Toc10271"/>
      <w:bookmarkStart w:id="47" w:name="_Toc16443"/>
      <w:bookmarkStart w:id="48" w:name="_Toc3200"/>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bookmarkEnd w:id="46"/>
      <w:bookmarkEnd w:id="47"/>
      <w:bookmarkEnd w:id="48"/>
    </w:p>
    <w:p w14:paraId="45E55DD2">
      <w:r>
        <w:rPr>
          <w:rFonts w:hint="eastAsia"/>
          <w:lang w:val="en-US" w:eastAsia="zh-CN"/>
        </w:rPr>
        <w:t xml:space="preserve">  </w:t>
      </w: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79C9BA">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0570D9A3">
      <w:pPr>
        <w:spacing w:line="600" w:lineRule="exact"/>
        <w:ind w:firstLine="640" w:firstLineChars="200"/>
        <w:rPr>
          <w:rFonts w:ascii="仿宋_GB2312" w:eastAsia="仿宋_GB2312"/>
          <w:sz w:val="32"/>
          <w:szCs w:val="32"/>
        </w:rPr>
      </w:pPr>
    </w:p>
    <w:p w14:paraId="0BA09351">
      <w:pPr>
        <w:spacing w:line="600" w:lineRule="exact"/>
        <w:ind w:firstLine="640" w:firstLineChars="200"/>
        <w:outlineLvl w:val="1"/>
        <w:rPr>
          <w:rStyle w:val="28"/>
          <w:rFonts w:ascii="黑体" w:hAnsi="黑体" w:eastAsia="黑体"/>
          <w:b w:val="0"/>
        </w:rPr>
      </w:pPr>
      <w:bookmarkStart w:id="49" w:name="_Toc15414"/>
      <w:bookmarkStart w:id="50" w:name="_Toc15377208"/>
      <w:bookmarkStart w:id="51"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49"/>
      <w:bookmarkEnd w:id="50"/>
      <w:bookmarkEnd w:id="51"/>
    </w:p>
    <w:p w14:paraId="1BAFD54F">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sz w:val="32"/>
          <w:szCs w:val="32"/>
        </w:rPr>
        <w:t>1789.51</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343.83</w:t>
      </w:r>
      <w:r>
        <w:rPr>
          <w:rFonts w:hint="eastAsia" w:ascii="仿宋" w:hAnsi="仿宋" w:eastAsia="仿宋"/>
          <w:sz w:val="32"/>
          <w:szCs w:val="32"/>
        </w:rPr>
        <w:t>万元，增长</w:t>
      </w:r>
      <w:r>
        <w:rPr>
          <w:rFonts w:hint="eastAsia" w:ascii="仿宋" w:hAnsi="仿宋" w:eastAsia="仿宋"/>
          <w:sz w:val="32"/>
          <w:szCs w:val="32"/>
          <w:lang w:val="en-US" w:eastAsia="zh-CN"/>
        </w:rPr>
        <w:t>23.78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养老保险及住房公积金基数调整，预算支出增加</w:t>
      </w:r>
      <w:r>
        <w:rPr>
          <w:rFonts w:hint="eastAsia" w:ascii="仿宋" w:hAnsi="仿宋" w:eastAsia="仿宋"/>
          <w:sz w:val="32"/>
          <w:szCs w:val="32"/>
        </w:rPr>
        <w:t>。</w:t>
      </w:r>
    </w:p>
    <w:p w14:paraId="1B15F411">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01D72DFF">
      <w:pPr>
        <w:spacing w:line="600" w:lineRule="exact"/>
      </w:pPr>
    </w:p>
    <w:p w14:paraId="37897919">
      <w:pPr>
        <w:spacing w:line="600" w:lineRule="exact"/>
      </w:pPr>
    </w:p>
    <w:p w14:paraId="1C478F0B">
      <w:pPr>
        <w:spacing w:line="600" w:lineRule="exact"/>
      </w:pPr>
    </w:p>
    <w:p w14:paraId="5E8494B2">
      <w:pPr>
        <w:spacing w:line="600" w:lineRule="exact"/>
      </w:pPr>
    </w:p>
    <w:p w14:paraId="6989A499">
      <w:pPr>
        <w:spacing w:line="600" w:lineRule="exact"/>
      </w:pPr>
    </w:p>
    <w:p w14:paraId="7E7DC641">
      <w:pPr>
        <w:spacing w:line="600" w:lineRule="exact"/>
      </w:pPr>
    </w:p>
    <w:p w14:paraId="150CD560">
      <w:pPr>
        <w:spacing w:line="600" w:lineRule="exact"/>
      </w:pPr>
      <w:r>
        <w:drawing>
          <wp:anchor distT="0" distB="0" distL="114300" distR="114300" simplePos="0" relativeHeight="251660288" behindDoc="0" locked="0" layoutInCell="1" allowOverlap="1">
            <wp:simplePos x="0" y="0"/>
            <wp:positionH relativeFrom="column">
              <wp:posOffset>4445</wp:posOffset>
            </wp:positionH>
            <wp:positionV relativeFrom="paragraph">
              <wp:posOffset>-2205355</wp:posOffset>
            </wp:positionV>
            <wp:extent cx="4572000" cy="2496185"/>
            <wp:effectExtent l="4445" t="4445" r="14605" b="1397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140FB6B">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1913450E">
      <w:pPr>
        <w:spacing w:line="600" w:lineRule="exact"/>
        <w:ind w:firstLine="640"/>
        <w:rPr>
          <w:rFonts w:ascii="仿宋" w:hAnsi="仿宋" w:eastAsia="仿宋"/>
          <w:b/>
          <w:sz w:val="32"/>
          <w:szCs w:val="32"/>
        </w:rPr>
      </w:pPr>
    </w:p>
    <w:p w14:paraId="28FACA39">
      <w:pPr>
        <w:spacing w:line="600" w:lineRule="exact"/>
        <w:ind w:firstLine="640" w:firstLineChars="200"/>
        <w:outlineLvl w:val="1"/>
        <w:rPr>
          <w:rStyle w:val="28"/>
          <w:rFonts w:ascii="黑体" w:hAnsi="黑体" w:eastAsia="黑体"/>
          <w:b w:val="0"/>
        </w:rPr>
      </w:pPr>
      <w:bookmarkStart w:id="52" w:name="_Toc15396607"/>
      <w:bookmarkStart w:id="53" w:name="_Toc15377209"/>
      <w:bookmarkStart w:id="54" w:name="_Toc31488"/>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52"/>
      <w:bookmarkEnd w:id="53"/>
      <w:bookmarkEnd w:id="54"/>
    </w:p>
    <w:p w14:paraId="22539DA7">
      <w:pPr>
        <w:spacing w:line="600" w:lineRule="exact"/>
        <w:ind w:firstLine="643" w:firstLineChars="200"/>
        <w:outlineLvl w:val="2"/>
        <w:rPr>
          <w:rFonts w:ascii="仿宋" w:hAnsi="仿宋" w:eastAsia="仿宋"/>
          <w:b/>
          <w:sz w:val="32"/>
          <w:szCs w:val="32"/>
        </w:rPr>
      </w:pPr>
      <w:bookmarkStart w:id="55" w:name="_Toc15377210"/>
      <w:r>
        <w:rPr>
          <w:rFonts w:hint="eastAsia" w:ascii="仿宋" w:hAnsi="仿宋" w:eastAsia="仿宋"/>
          <w:b/>
          <w:sz w:val="32"/>
          <w:szCs w:val="32"/>
        </w:rPr>
        <w:t>（一）一般公共预算财政拨款支出决算总体情况</w:t>
      </w:r>
      <w:bookmarkEnd w:id="55"/>
    </w:p>
    <w:p w14:paraId="631D609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sz w:val="32"/>
          <w:szCs w:val="32"/>
        </w:rPr>
        <w:t>1789.51</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343.83</w:t>
      </w:r>
      <w:r>
        <w:rPr>
          <w:rFonts w:hint="eastAsia" w:ascii="仿宋" w:hAnsi="仿宋" w:eastAsia="仿宋"/>
          <w:sz w:val="32"/>
          <w:szCs w:val="32"/>
        </w:rPr>
        <w:t>万元，增长</w:t>
      </w:r>
      <w:r>
        <w:rPr>
          <w:rFonts w:hint="eastAsia" w:ascii="仿宋" w:hAnsi="仿宋" w:eastAsia="仿宋"/>
          <w:sz w:val="32"/>
          <w:szCs w:val="32"/>
          <w:lang w:val="en-US" w:eastAsia="zh-CN"/>
        </w:rPr>
        <w:t>23.78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养老保险及住房公积金基数调整，预算支出增加</w:t>
      </w:r>
      <w:r>
        <w:rPr>
          <w:rFonts w:hint="eastAsia" w:ascii="仿宋" w:hAnsi="仿宋" w:eastAsia="仿宋"/>
          <w:sz w:val="32"/>
          <w:szCs w:val="32"/>
        </w:rPr>
        <w:t>。</w:t>
      </w:r>
    </w:p>
    <w:p w14:paraId="32E6B226">
      <w:pPr>
        <w:pStyle w:val="18"/>
        <w:outlineLvl w:val="9"/>
        <w:rPr>
          <w:rFonts w:hint="eastAsia" w:ascii="仿宋" w:hAnsi="仿宋" w:eastAsia="仿宋"/>
          <w:sz w:val="32"/>
          <w:szCs w:val="32"/>
        </w:rPr>
      </w:pPr>
      <w:r>
        <w:rPr>
          <w:rFonts w:hint="eastAsia"/>
          <w:lang w:val="en-US" w:eastAsia="zh-CN"/>
        </w:rPr>
        <w:t xml:space="preserve">    </w:t>
      </w:r>
      <w:r>
        <w:drawing>
          <wp:inline distT="0" distB="0" distL="114300" distR="114300">
            <wp:extent cx="4572000" cy="2743200"/>
            <wp:effectExtent l="4445" t="4445" r="14605" b="14605"/>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05A8B1">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32B2DB0D">
      <w:pPr>
        <w:spacing w:line="600" w:lineRule="exact"/>
        <w:ind w:firstLine="640" w:firstLineChars="200"/>
        <w:rPr>
          <w:rFonts w:ascii="仿宋" w:hAnsi="仿宋" w:eastAsia="仿宋"/>
          <w:sz w:val="32"/>
          <w:szCs w:val="32"/>
        </w:rPr>
      </w:pPr>
    </w:p>
    <w:p w14:paraId="5EBC8D1E">
      <w:pPr>
        <w:spacing w:line="600" w:lineRule="exact"/>
        <w:ind w:firstLine="643" w:firstLineChars="200"/>
        <w:outlineLvl w:val="2"/>
        <w:rPr>
          <w:rFonts w:ascii="仿宋" w:hAnsi="仿宋" w:eastAsia="仿宋"/>
          <w:b/>
          <w:sz w:val="32"/>
          <w:szCs w:val="32"/>
        </w:rPr>
      </w:pPr>
      <w:bookmarkStart w:id="56" w:name="_Toc15377211"/>
      <w:r>
        <w:rPr>
          <w:rFonts w:hint="eastAsia" w:ascii="仿宋" w:hAnsi="仿宋" w:eastAsia="仿宋"/>
          <w:b/>
          <w:sz w:val="32"/>
          <w:szCs w:val="32"/>
        </w:rPr>
        <w:t>（二）一般公共预算财政拨款支出决算结构情况</w:t>
      </w:r>
      <w:bookmarkEnd w:id="56"/>
    </w:p>
    <w:p w14:paraId="3EDCCB89">
      <w:pPr>
        <w:spacing w:line="600" w:lineRule="exact"/>
        <w:ind w:firstLine="640"/>
        <w:rPr>
          <w:rFonts w:hint="eastAsia" w:hAnsi="仿宋_GB2312" w:cs="Times New Roman"/>
          <w:color w:val="000000"/>
          <w:kern w:val="2"/>
          <w:sz w:val="32"/>
          <w:szCs w:val="24"/>
          <w:lang w:val="zh-CN"/>
        </w:rPr>
      </w:pPr>
      <w:r>
        <w:rPr>
          <w:rFonts w:hint="eastAsia" w:ascii="仿宋" w:hAnsi="仿宋" w:eastAsia="仿宋"/>
          <w:sz w:val="32"/>
          <w:szCs w:val="32"/>
        </w:rPr>
        <w:t>2023年度一般公共预算财政拨款支出</w:t>
      </w:r>
      <w:r>
        <w:rPr>
          <w:sz w:val="32"/>
          <w:szCs w:val="32"/>
        </w:rPr>
        <w:t>1789.51</w:t>
      </w:r>
      <w:r>
        <w:rPr>
          <w:rFonts w:hint="eastAsia" w:ascii="仿宋" w:hAnsi="仿宋" w:eastAsia="仿宋"/>
          <w:sz w:val="32"/>
          <w:szCs w:val="32"/>
        </w:rPr>
        <w:t>万元，主要用于以下方面</w:t>
      </w:r>
      <w:r>
        <w:rPr>
          <w:rFonts w:ascii="仿宋" w:hAnsi="仿宋" w:eastAsia="仿宋"/>
          <w:sz w:val="32"/>
          <w:szCs w:val="32"/>
        </w:rPr>
        <w:t>:</w:t>
      </w:r>
      <w:r>
        <w:rPr>
          <w:rFonts w:hint="eastAsia" w:hAnsi="仿宋_GB2312" w:cs="Times New Roman"/>
          <w:color w:val="000000"/>
          <w:kern w:val="2"/>
          <w:sz w:val="32"/>
          <w:szCs w:val="24"/>
          <w:lang w:val="zh-CN"/>
        </w:rPr>
        <w:t>交通运输支出</w:t>
      </w:r>
      <w:r>
        <w:rPr>
          <w:rFonts w:hint="eastAsia" w:hAnsi="仿宋_GB2312" w:cs="Times New Roman"/>
          <w:color w:val="000000"/>
          <w:kern w:val="2"/>
          <w:sz w:val="32"/>
          <w:szCs w:val="24"/>
          <w:lang w:val="en-US" w:eastAsia="zh-CN"/>
        </w:rPr>
        <w:t>1607.46</w:t>
      </w:r>
      <w:r>
        <w:rPr>
          <w:rFonts w:hint="eastAsia" w:hAnsi="仿宋_GB2312" w:cs="Times New Roman"/>
          <w:color w:val="000000"/>
          <w:kern w:val="2"/>
          <w:sz w:val="32"/>
          <w:szCs w:val="24"/>
          <w:lang w:val="zh-CN"/>
        </w:rPr>
        <w:t>万元，占89</w:t>
      </w:r>
      <w:r>
        <w:rPr>
          <w:rFonts w:hint="eastAsia" w:hAnsi="仿宋_GB2312" w:cs="Times New Roman"/>
          <w:color w:val="000000"/>
          <w:kern w:val="2"/>
          <w:sz w:val="32"/>
          <w:szCs w:val="24"/>
          <w:lang w:val="en-US" w:eastAsia="zh-CN"/>
        </w:rPr>
        <w:t>.8</w:t>
      </w:r>
      <w:r>
        <w:rPr>
          <w:rFonts w:hint="eastAsia" w:hAnsi="仿宋_GB2312" w:cs="Times New Roman"/>
          <w:color w:val="000000"/>
          <w:kern w:val="2"/>
          <w:sz w:val="32"/>
          <w:szCs w:val="24"/>
          <w:lang w:val="zh-CN"/>
        </w:rPr>
        <w:t>%；社会保障和就业支出</w:t>
      </w:r>
      <w:r>
        <w:rPr>
          <w:rFonts w:hint="eastAsia" w:hAnsi="仿宋_GB2312" w:cs="Times New Roman"/>
          <w:color w:val="000000"/>
          <w:kern w:val="2"/>
          <w:sz w:val="32"/>
          <w:szCs w:val="24"/>
          <w:lang w:val="en-US" w:eastAsia="zh-CN"/>
        </w:rPr>
        <w:t>85.82</w:t>
      </w:r>
      <w:r>
        <w:rPr>
          <w:rFonts w:hint="eastAsia" w:hAnsi="仿宋_GB2312" w:cs="Times New Roman"/>
          <w:color w:val="000000"/>
          <w:kern w:val="2"/>
          <w:sz w:val="32"/>
          <w:szCs w:val="24"/>
          <w:lang w:val="zh-CN"/>
        </w:rPr>
        <w:t>万元，占</w:t>
      </w:r>
      <w:r>
        <w:rPr>
          <w:rFonts w:hint="eastAsia" w:hAnsi="仿宋_GB2312" w:cs="Times New Roman"/>
          <w:color w:val="000000"/>
          <w:kern w:val="2"/>
          <w:sz w:val="32"/>
          <w:szCs w:val="24"/>
          <w:lang w:val="en-US" w:eastAsia="zh-CN"/>
        </w:rPr>
        <w:t>4.8</w:t>
      </w:r>
      <w:r>
        <w:rPr>
          <w:rFonts w:hint="eastAsia" w:hAnsi="仿宋_GB2312" w:cs="Times New Roman"/>
          <w:color w:val="000000"/>
          <w:kern w:val="2"/>
          <w:sz w:val="32"/>
          <w:szCs w:val="24"/>
          <w:lang w:val="zh-CN"/>
        </w:rPr>
        <w:t>%；卫生健康支出</w:t>
      </w:r>
      <w:r>
        <w:rPr>
          <w:rFonts w:hint="eastAsia" w:hAnsi="仿宋_GB2312" w:cs="Times New Roman"/>
          <w:color w:val="000000"/>
          <w:kern w:val="2"/>
          <w:sz w:val="32"/>
          <w:szCs w:val="24"/>
          <w:lang w:val="en-US" w:eastAsia="zh-CN"/>
        </w:rPr>
        <w:t>34.88</w:t>
      </w:r>
      <w:r>
        <w:rPr>
          <w:rFonts w:hint="eastAsia" w:hAnsi="仿宋_GB2312" w:cs="Times New Roman"/>
          <w:color w:val="000000"/>
          <w:kern w:val="2"/>
          <w:sz w:val="32"/>
          <w:szCs w:val="24"/>
          <w:lang w:val="zh-CN"/>
        </w:rPr>
        <w:t>万元，占2.</w:t>
      </w:r>
      <w:r>
        <w:rPr>
          <w:rFonts w:hint="eastAsia" w:hAnsi="仿宋_GB2312" w:cs="Times New Roman"/>
          <w:color w:val="000000"/>
          <w:kern w:val="2"/>
          <w:sz w:val="32"/>
          <w:szCs w:val="24"/>
          <w:lang w:val="en-US" w:eastAsia="zh-CN"/>
        </w:rPr>
        <w:t>0</w:t>
      </w:r>
      <w:r>
        <w:rPr>
          <w:rFonts w:hint="eastAsia" w:hAnsi="仿宋_GB2312" w:cs="Times New Roman"/>
          <w:color w:val="000000"/>
          <w:kern w:val="2"/>
          <w:sz w:val="32"/>
          <w:szCs w:val="24"/>
          <w:lang w:val="zh-CN"/>
        </w:rPr>
        <w:t>%；住房保障支出</w:t>
      </w:r>
      <w:r>
        <w:rPr>
          <w:rFonts w:hint="eastAsia" w:hAnsi="仿宋_GB2312" w:cs="Times New Roman"/>
          <w:color w:val="000000"/>
          <w:kern w:val="2"/>
          <w:sz w:val="32"/>
          <w:szCs w:val="24"/>
          <w:lang w:val="en-US" w:eastAsia="zh-CN"/>
        </w:rPr>
        <w:t>61.35</w:t>
      </w:r>
      <w:r>
        <w:rPr>
          <w:rFonts w:hint="eastAsia" w:hAnsi="仿宋_GB2312" w:cs="Times New Roman"/>
          <w:color w:val="000000"/>
          <w:kern w:val="2"/>
          <w:sz w:val="32"/>
          <w:szCs w:val="24"/>
          <w:lang w:val="zh-CN"/>
        </w:rPr>
        <w:t>万元，占3.</w:t>
      </w:r>
      <w:r>
        <w:rPr>
          <w:rFonts w:hint="eastAsia" w:hAnsi="仿宋_GB2312" w:cs="Times New Roman"/>
          <w:color w:val="000000"/>
          <w:kern w:val="2"/>
          <w:sz w:val="32"/>
          <w:szCs w:val="24"/>
          <w:lang w:val="en-US" w:eastAsia="zh-CN"/>
        </w:rPr>
        <w:t>4</w:t>
      </w:r>
      <w:r>
        <w:rPr>
          <w:rFonts w:hint="eastAsia" w:hAnsi="仿宋_GB2312" w:cs="Times New Roman"/>
          <w:color w:val="000000"/>
          <w:kern w:val="2"/>
          <w:sz w:val="32"/>
          <w:szCs w:val="24"/>
          <w:lang w:val="zh-CN"/>
        </w:rPr>
        <w:t>%。</w:t>
      </w:r>
    </w:p>
    <w:p w14:paraId="5D9F538B">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14:paraId="2D69E57A">
      <w:pPr>
        <w:pStyle w:val="18"/>
        <w:outlineLvl w:val="9"/>
      </w:pPr>
      <w:r>
        <w:rPr>
          <w:rFonts w:hint="eastAsia" w:ascii="仿宋" w:hAnsi="仿宋" w:eastAsia="仿宋"/>
          <w:color w:val="000000"/>
          <w:sz w:val="32"/>
          <w:szCs w:val="24"/>
          <w:lang w:val="en-US" w:eastAsia="zh-CN"/>
        </w:rPr>
        <w:t xml:space="preserve">     </w:t>
      </w:r>
      <w:r>
        <w:rPr>
          <w:rFonts w:hint="default" w:ascii="仿宋" w:hAnsi="仿宋" w:eastAsia="仿宋"/>
          <w:color w:val="000000"/>
          <w:sz w:val="32"/>
          <w:szCs w:val="24"/>
          <w:lang w:eastAsia="zh-CN"/>
        </w:rPr>
        <w:object>
          <v:shape id="_x0000_i1025" o:spt="75" type="#_x0000_t75" style="height:268.8pt;width:352.95pt;" o:ole="t" filled="f" o:preferrelative="t" stroked="f" coordsize="21600,21600">
            <v:path/>
            <v:fill on="f" focussize="0,0"/>
            <v:stroke on="f"/>
            <v:imagedata r:id="rId20" o:title=""/>
            <o:lock v:ext="edit" aspectratio="f"/>
            <w10:wrap type="none"/>
            <w10:anchorlock/>
          </v:shape>
          <o:OLEObject Type="Embed" ProgID="Excel.Sheet.8" ShapeID="_x0000_i1025" DrawAspect="Content" ObjectID="_1468075726" r:id="rId19">
            <o:LockedField>false</o:LockedField>
          </o:OLEObject>
        </w:object>
      </w:r>
    </w:p>
    <w:p w14:paraId="62ACE103">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0A54C956">
      <w:pPr>
        <w:spacing w:line="600" w:lineRule="exact"/>
        <w:ind w:firstLine="640" w:firstLineChars="200"/>
        <w:rPr>
          <w:rFonts w:ascii="仿宋" w:hAnsi="仿宋" w:eastAsia="仿宋"/>
          <w:sz w:val="32"/>
          <w:szCs w:val="32"/>
        </w:rPr>
      </w:pPr>
    </w:p>
    <w:p w14:paraId="6B45FAE3">
      <w:pPr>
        <w:spacing w:line="600" w:lineRule="exact"/>
        <w:ind w:firstLine="643" w:firstLineChars="200"/>
        <w:outlineLvl w:val="2"/>
        <w:rPr>
          <w:rFonts w:ascii="仿宋" w:hAnsi="仿宋" w:eastAsia="仿宋"/>
          <w:b/>
          <w:sz w:val="32"/>
          <w:szCs w:val="32"/>
        </w:rPr>
      </w:pPr>
      <w:bookmarkStart w:id="57" w:name="_Toc15377212"/>
      <w:r>
        <w:rPr>
          <w:rFonts w:hint="eastAsia" w:ascii="仿宋" w:hAnsi="仿宋" w:eastAsia="仿宋"/>
          <w:b/>
          <w:sz w:val="32"/>
          <w:szCs w:val="32"/>
        </w:rPr>
        <w:t>（三）一般公共预算财政拨款支出决算具体情况</w:t>
      </w:r>
      <w:bookmarkEnd w:id="57"/>
    </w:p>
    <w:p w14:paraId="0A833997">
      <w:pPr>
        <w:spacing w:line="600" w:lineRule="exact"/>
        <w:ind w:firstLine="643" w:firstLineChars="200"/>
        <w:outlineLvl w:val="2"/>
        <w:rPr>
          <w:rFonts w:ascii="仿宋" w:hAnsi="仿宋" w:eastAsia="仿宋"/>
          <w:sz w:val="32"/>
          <w:szCs w:val="32"/>
        </w:rPr>
      </w:pPr>
      <w:bookmarkStart w:id="58" w:name="_Toc15378460"/>
      <w:bookmarkStart w:id="59" w:name="_Toc15377213"/>
      <w:bookmarkStart w:id="60" w:name="_Toc15377444"/>
      <w:r>
        <w:rPr>
          <w:rFonts w:hint="eastAsia" w:ascii="仿宋" w:hAnsi="仿宋" w:eastAsia="仿宋"/>
          <w:b/>
          <w:sz w:val="32"/>
          <w:szCs w:val="32"/>
        </w:rPr>
        <w:t>2023年度一般公共预算支出决算数为</w:t>
      </w:r>
      <w:r>
        <w:rPr>
          <w:sz w:val="32"/>
          <w:szCs w:val="32"/>
        </w:rPr>
        <w:t>1789.51</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58"/>
      <w:bookmarkEnd w:id="59"/>
      <w:bookmarkEnd w:id="60"/>
    </w:p>
    <w:p w14:paraId="24AD82C4">
      <w:pPr>
        <w:spacing w:line="600" w:lineRule="exact"/>
        <w:ind w:firstLine="640"/>
        <w:jc w:val="both"/>
        <w:rPr>
          <w:rStyle w:val="16"/>
          <w:rFonts w:hint="eastAsia" w:ascii="仿宋" w:hAnsi="仿宋" w:eastAsia="仿宋" w:cstheme="minorBidi"/>
          <w:b w:val="0"/>
          <w:bCs/>
          <w:sz w:val="32"/>
          <w:szCs w:val="32"/>
          <w:lang w:val="zh-CN"/>
        </w:rPr>
      </w:pPr>
      <w:r>
        <w:rPr>
          <w:rFonts w:hint="eastAsia" w:ascii="仿宋_GB2312" w:hAnsi="仿宋_GB2312" w:eastAsia="仿宋_GB2312" w:cs="Times New Roman"/>
          <w:b/>
          <w:color w:val="000000"/>
          <w:kern w:val="2"/>
          <w:sz w:val="32"/>
          <w:szCs w:val="24"/>
          <w:lang w:val="zh-CN"/>
        </w:rPr>
        <w:t>1.医疗卫生与计划生育（类）行政事业单位医疗（款）行政单位医疗（项）:</w:t>
      </w:r>
      <w:r>
        <w:rPr>
          <w:rStyle w:val="16"/>
          <w:rFonts w:hint="eastAsia" w:ascii="仿宋" w:hAnsi="仿宋" w:eastAsia="仿宋" w:cstheme="minorBidi"/>
          <w:b w:val="0"/>
          <w:bCs/>
          <w:sz w:val="32"/>
          <w:szCs w:val="32"/>
          <w:lang w:val="zh-CN"/>
        </w:rPr>
        <w:t>支出决算为</w:t>
      </w:r>
      <w:r>
        <w:rPr>
          <w:rStyle w:val="16"/>
          <w:rFonts w:hint="eastAsia" w:ascii="仿宋" w:hAnsi="仿宋" w:eastAsia="仿宋" w:cstheme="minorBidi"/>
          <w:b w:val="0"/>
          <w:bCs/>
          <w:sz w:val="32"/>
          <w:szCs w:val="32"/>
          <w:lang w:val="en-US" w:eastAsia="zh-CN"/>
        </w:rPr>
        <w:t>34.88</w:t>
      </w:r>
      <w:r>
        <w:rPr>
          <w:rStyle w:val="16"/>
          <w:rFonts w:hint="eastAsia" w:ascii="仿宋" w:hAnsi="仿宋" w:eastAsia="仿宋" w:cstheme="minorBidi"/>
          <w:b w:val="0"/>
          <w:bCs/>
          <w:sz w:val="32"/>
          <w:szCs w:val="32"/>
          <w:lang w:val="zh-CN"/>
        </w:rPr>
        <w:t>万元，完成预算100%。</w:t>
      </w:r>
    </w:p>
    <w:p w14:paraId="65C1E1F7">
      <w:pPr>
        <w:spacing w:line="600" w:lineRule="exact"/>
        <w:ind w:firstLine="640"/>
        <w:jc w:val="both"/>
        <w:rPr>
          <w:rFonts w:hint="eastAsia" w:ascii="仿宋_GB2312" w:hAnsi="仿宋_GB2312" w:eastAsia="仿宋_GB2312" w:cs="Times New Roman"/>
          <w:b/>
          <w:color w:val="000000"/>
          <w:kern w:val="2"/>
          <w:sz w:val="32"/>
          <w:szCs w:val="24"/>
          <w:lang w:val="zh-CN"/>
        </w:rPr>
      </w:pPr>
      <w:r>
        <w:rPr>
          <w:rFonts w:hint="eastAsia" w:ascii="仿宋_GB2312" w:hAnsi="仿宋_GB2312" w:eastAsia="仿宋_GB2312" w:cs="Times New Roman"/>
          <w:b/>
          <w:color w:val="000000"/>
          <w:kern w:val="2"/>
          <w:sz w:val="32"/>
          <w:szCs w:val="24"/>
          <w:lang w:val="zh-CN"/>
        </w:rPr>
        <w:t>2.交通运输（类）公路水路运输（款）公路运输管理（项）:</w:t>
      </w:r>
      <w:r>
        <w:rPr>
          <w:rStyle w:val="16"/>
          <w:rFonts w:hint="eastAsia" w:ascii="仿宋" w:hAnsi="仿宋" w:eastAsia="仿宋" w:cstheme="minorBidi"/>
          <w:b w:val="0"/>
          <w:bCs/>
          <w:sz w:val="32"/>
          <w:szCs w:val="32"/>
          <w:lang w:val="zh-CN"/>
        </w:rPr>
        <w:t>支出决算为</w:t>
      </w:r>
      <w:r>
        <w:rPr>
          <w:rStyle w:val="16"/>
          <w:rFonts w:hint="eastAsia" w:ascii="仿宋" w:hAnsi="仿宋" w:eastAsia="仿宋" w:cstheme="minorBidi"/>
          <w:b w:val="0"/>
          <w:bCs/>
          <w:sz w:val="32"/>
          <w:szCs w:val="32"/>
          <w:lang w:val="en-US" w:eastAsia="zh-CN"/>
        </w:rPr>
        <w:t>1607.46</w:t>
      </w:r>
      <w:r>
        <w:rPr>
          <w:rStyle w:val="16"/>
          <w:rFonts w:hint="eastAsia" w:ascii="仿宋" w:hAnsi="仿宋" w:eastAsia="仿宋" w:cstheme="minorBidi"/>
          <w:b w:val="0"/>
          <w:bCs/>
          <w:sz w:val="32"/>
          <w:szCs w:val="32"/>
          <w:lang w:val="zh-CN"/>
        </w:rPr>
        <w:t>万元，完成预算100%。</w:t>
      </w:r>
    </w:p>
    <w:p w14:paraId="26BDA74E">
      <w:pPr>
        <w:spacing w:line="600" w:lineRule="exact"/>
        <w:ind w:firstLine="640"/>
        <w:jc w:val="both"/>
        <w:rPr>
          <w:rStyle w:val="16"/>
          <w:rFonts w:hint="eastAsia" w:ascii="仿宋" w:hAnsi="仿宋" w:eastAsia="仿宋" w:cstheme="minorBidi"/>
          <w:b w:val="0"/>
          <w:bCs/>
          <w:sz w:val="32"/>
          <w:szCs w:val="32"/>
          <w:lang w:val="zh-CN"/>
        </w:rPr>
      </w:pPr>
      <w:r>
        <w:rPr>
          <w:rFonts w:hint="eastAsia" w:ascii="仿宋_GB2312" w:hAnsi="仿宋_GB2312" w:eastAsia="仿宋_GB2312" w:cs="Times New Roman"/>
          <w:b/>
          <w:color w:val="000000"/>
          <w:kern w:val="2"/>
          <w:sz w:val="32"/>
          <w:szCs w:val="24"/>
          <w:lang w:val="zh-CN"/>
        </w:rPr>
        <w:t>3.住房保障（类）住房改革（款）住房公积金（项）:</w:t>
      </w:r>
      <w:r>
        <w:rPr>
          <w:rStyle w:val="16"/>
          <w:rFonts w:hint="eastAsia" w:ascii="仿宋" w:hAnsi="仿宋" w:eastAsia="仿宋" w:cstheme="minorBidi"/>
          <w:b w:val="0"/>
          <w:bCs/>
          <w:sz w:val="32"/>
          <w:szCs w:val="32"/>
          <w:lang w:val="zh-CN"/>
        </w:rPr>
        <w:t>支出决算为</w:t>
      </w:r>
      <w:r>
        <w:rPr>
          <w:rStyle w:val="16"/>
          <w:rFonts w:hint="eastAsia" w:ascii="仿宋" w:hAnsi="仿宋" w:eastAsia="仿宋" w:cstheme="minorBidi"/>
          <w:b w:val="0"/>
          <w:bCs/>
          <w:sz w:val="32"/>
          <w:szCs w:val="32"/>
          <w:lang w:val="en-US" w:eastAsia="zh-CN"/>
        </w:rPr>
        <w:t>61.35</w:t>
      </w:r>
      <w:r>
        <w:rPr>
          <w:rStyle w:val="16"/>
          <w:rFonts w:hint="eastAsia" w:ascii="仿宋" w:hAnsi="仿宋" w:eastAsia="仿宋" w:cstheme="minorBidi"/>
          <w:b w:val="0"/>
          <w:bCs/>
          <w:sz w:val="32"/>
          <w:szCs w:val="32"/>
          <w:lang w:val="zh-CN"/>
        </w:rPr>
        <w:t>万元，完成预算100%。</w:t>
      </w:r>
    </w:p>
    <w:p w14:paraId="49022A32">
      <w:pPr>
        <w:spacing w:line="600" w:lineRule="exact"/>
        <w:ind w:firstLine="640"/>
        <w:jc w:val="both"/>
        <w:rPr>
          <w:rStyle w:val="16"/>
          <w:rFonts w:hint="eastAsia" w:ascii="仿宋" w:hAnsi="仿宋" w:eastAsia="仿宋" w:cstheme="minorBidi"/>
          <w:b w:val="0"/>
          <w:bCs/>
          <w:sz w:val="32"/>
          <w:szCs w:val="32"/>
          <w:lang w:val="zh-CN"/>
        </w:rPr>
      </w:pPr>
      <w:r>
        <w:rPr>
          <w:rFonts w:hint="eastAsia" w:ascii="仿宋_GB2312" w:hAnsi="仿宋_GB2312" w:eastAsia="仿宋_GB2312" w:cs="Times New Roman"/>
          <w:b/>
          <w:color w:val="000000"/>
          <w:kern w:val="2"/>
          <w:sz w:val="32"/>
          <w:szCs w:val="24"/>
          <w:lang w:val="zh-CN"/>
        </w:rPr>
        <w:t>4.社会保障和就业（类）行政事业单位养老支出（款）机关事业单位基本养老保险缴费支出（项）:</w:t>
      </w:r>
      <w:r>
        <w:rPr>
          <w:rStyle w:val="16"/>
          <w:rFonts w:hint="eastAsia" w:ascii="仿宋" w:hAnsi="仿宋" w:eastAsia="仿宋" w:cstheme="minorBidi"/>
          <w:b w:val="0"/>
          <w:bCs/>
          <w:sz w:val="32"/>
          <w:szCs w:val="32"/>
          <w:lang w:val="zh-CN"/>
        </w:rPr>
        <w:t>支出决算为</w:t>
      </w:r>
      <w:r>
        <w:rPr>
          <w:rStyle w:val="16"/>
          <w:rFonts w:hint="eastAsia" w:ascii="仿宋" w:hAnsi="仿宋" w:eastAsia="仿宋" w:cstheme="minorBidi"/>
          <w:b w:val="0"/>
          <w:bCs/>
          <w:sz w:val="32"/>
          <w:szCs w:val="32"/>
          <w:lang w:val="en-US" w:eastAsia="zh-CN"/>
        </w:rPr>
        <w:t>85.82</w:t>
      </w:r>
      <w:r>
        <w:rPr>
          <w:rStyle w:val="16"/>
          <w:rFonts w:hint="eastAsia" w:ascii="仿宋" w:hAnsi="仿宋" w:eastAsia="仿宋" w:cstheme="minorBidi"/>
          <w:b w:val="0"/>
          <w:bCs/>
          <w:sz w:val="32"/>
          <w:szCs w:val="32"/>
          <w:lang w:val="zh-CN"/>
        </w:rPr>
        <w:t>万元，完成预算100%。</w:t>
      </w:r>
    </w:p>
    <w:p w14:paraId="0206D965">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5BF2884B">
      <w:pPr>
        <w:spacing w:line="600" w:lineRule="exact"/>
        <w:ind w:firstLine="640"/>
        <w:rPr>
          <w:rFonts w:ascii="仿宋" w:hAnsi="仿宋" w:eastAsia="仿宋"/>
          <w:b/>
          <w:sz w:val="32"/>
          <w:szCs w:val="32"/>
        </w:rPr>
      </w:pPr>
    </w:p>
    <w:p w14:paraId="78F5BC98">
      <w:pPr>
        <w:tabs>
          <w:tab w:val="right" w:pos="8306"/>
        </w:tabs>
        <w:spacing w:line="600" w:lineRule="exact"/>
        <w:ind w:firstLine="640"/>
        <w:outlineLvl w:val="1"/>
        <w:rPr>
          <w:rStyle w:val="28"/>
        </w:rPr>
      </w:pPr>
      <w:bookmarkStart w:id="61" w:name="_Toc15396608"/>
      <w:bookmarkStart w:id="62" w:name="_Toc15377214"/>
      <w:bookmarkStart w:id="63" w:name="_Toc2664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61"/>
      <w:bookmarkEnd w:id="62"/>
      <w:bookmarkEnd w:id="63"/>
      <w:r>
        <w:rPr>
          <w:rStyle w:val="28"/>
          <w:rFonts w:ascii="黑体" w:hAnsi="黑体" w:eastAsia="黑体"/>
          <w:b w:val="0"/>
        </w:rPr>
        <w:tab/>
      </w:r>
    </w:p>
    <w:p w14:paraId="653E4BCC">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1769.51</w:t>
      </w:r>
      <w:r>
        <w:rPr>
          <w:rFonts w:hint="eastAsia" w:ascii="仿宋" w:hAnsi="仿宋" w:eastAsia="仿宋"/>
          <w:sz w:val="32"/>
          <w:szCs w:val="32"/>
        </w:rPr>
        <w:t>万元，其中：</w:t>
      </w:r>
    </w:p>
    <w:p w14:paraId="00383225">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1544.39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225.12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8D99023">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14:paraId="64661531">
      <w:pPr>
        <w:spacing w:line="600" w:lineRule="exact"/>
        <w:ind w:firstLine="640"/>
        <w:rPr>
          <w:rFonts w:ascii="仿宋" w:hAnsi="仿宋" w:eastAsia="仿宋"/>
          <w:b/>
          <w:sz w:val="32"/>
          <w:szCs w:val="32"/>
        </w:rPr>
      </w:pPr>
    </w:p>
    <w:p w14:paraId="6CB5E99D">
      <w:pPr>
        <w:spacing w:line="600" w:lineRule="exact"/>
        <w:ind w:firstLine="640"/>
        <w:outlineLvl w:val="1"/>
        <w:rPr>
          <w:rStyle w:val="28"/>
          <w:rFonts w:ascii="黑体" w:hAnsi="黑体" w:eastAsia="黑体"/>
          <w:b w:val="0"/>
        </w:rPr>
      </w:pPr>
      <w:bookmarkStart w:id="64" w:name="_Toc15377215"/>
      <w:bookmarkStart w:id="65" w:name="_Toc15396609"/>
      <w:bookmarkStart w:id="66" w:name="_Toc11013"/>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64"/>
      <w:bookmarkEnd w:id="65"/>
      <w:bookmarkEnd w:id="66"/>
    </w:p>
    <w:p w14:paraId="693B0CAB">
      <w:pPr>
        <w:spacing w:line="600" w:lineRule="exact"/>
        <w:ind w:firstLine="640"/>
        <w:outlineLvl w:val="2"/>
        <w:rPr>
          <w:rFonts w:ascii="仿宋" w:hAnsi="仿宋" w:eastAsia="仿宋"/>
          <w:b/>
          <w:sz w:val="32"/>
          <w:szCs w:val="32"/>
        </w:rPr>
      </w:pPr>
      <w:bookmarkStart w:id="67" w:name="_Toc15377216"/>
      <w:r>
        <w:rPr>
          <w:rFonts w:hint="eastAsia" w:ascii="仿宋" w:hAnsi="仿宋" w:eastAsia="仿宋"/>
          <w:b/>
          <w:sz w:val="32"/>
          <w:szCs w:val="32"/>
        </w:rPr>
        <w:t>（一）“三公”经费财政拨款支出决算总体情况说明</w:t>
      </w:r>
      <w:bookmarkEnd w:id="67"/>
    </w:p>
    <w:p w14:paraId="1687B250">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1.98</w:t>
      </w:r>
      <w:r>
        <w:rPr>
          <w:rFonts w:hint="eastAsia" w:ascii="仿宋" w:hAnsi="仿宋" w:eastAsia="仿宋"/>
          <w:sz w:val="32"/>
          <w:szCs w:val="32"/>
        </w:rPr>
        <w:t>万元，完成预算</w:t>
      </w:r>
      <w:r>
        <w:rPr>
          <w:sz w:val="32"/>
          <w:szCs w:val="32"/>
        </w:rPr>
        <w:t>30.37</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%。决算数小于预算数的主要原因是</w:t>
      </w:r>
      <w:r>
        <w:rPr>
          <w:rFonts w:hint="eastAsia" w:ascii="方正仿宋简体" w:hAnsi="仿宋" w:eastAsia="方正仿宋简体"/>
          <w:color w:val="000000"/>
          <w:sz w:val="32"/>
          <w:szCs w:val="24"/>
        </w:rPr>
        <w:t>厉行节约，尽量减少不必要的开支</w:t>
      </w:r>
      <w:r>
        <w:rPr>
          <w:rFonts w:hint="eastAsia" w:ascii="仿宋_GB2312" w:hAnsi="仿宋_GB2312" w:eastAsia="仿宋_GB2312"/>
          <w:color w:val="000000"/>
          <w:kern w:val="2"/>
          <w:sz w:val="32"/>
          <w:szCs w:val="24"/>
          <w:lang w:val="zh-CN"/>
        </w:rPr>
        <w:t>。</w:t>
      </w:r>
      <w:r>
        <w:rPr>
          <w:rFonts w:hint="eastAsia" w:ascii="仿宋" w:hAnsi="仿宋" w:eastAsia="仿宋"/>
          <w:sz w:val="32"/>
          <w:szCs w:val="32"/>
        </w:rPr>
        <w:t>。</w:t>
      </w:r>
    </w:p>
    <w:p w14:paraId="1137C4BB">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4813ECF0">
      <w:pPr>
        <w:spacing w:line="600" w:lineRule="exact"/>
        <w:ind w:firstLine="640"/>
        <w:outlineLvl w:val="2"/>
        <w:rPr>
          <w:rFonts w:ascii="仿宋" w:hAnsi="仿宋" w:eastAsia="仿宋"/>
          <w:b/>
          <w:sz w:val="32"/>
          <w:szCs w:val="32"/>
        </w:rPr>
      </w:pPr>
      <w:bookmarkStart w:id="68" w:name="_Toc15377217"/>
      <w:r>
        <w:rPr>
          <w:rFonts w:hint="eastAsia" w:ascii="仿宋" w:hAnsi="仿宋" w:eastAsia="仿宋"/>
          <w:b/>
          <w:sz w:val="32"/>
          <w:szCs w:val="32"/>
        </w:rPr>
        <w:t>（二）“三公”经费财政拨款支出决算具体情况说明</w:t>
      </w:r>
      <w:bookmarkEnd w:id="68"/>
    </w:p>
    <w:p w14:paraId="7B437C54">
      <w:pPr>
        <w:spacing w:line="600" w:lineRule="exact"/>
        <w:ind w:firstLine="640"/>
        <w:rPr>
          <w:rFonts w:hint="eastAsia" w:ascii="仿宋" w:hAnsi="仿宋" w:eastAsia="仿宋"/>
          <w:sz w:val="32"/>
          <w:szCs w:val="32"/>
        </w:rPr>
      </w:pPr>
      <w:r>
        <w:rPr>
          <w:rFonts w:hint="default"/>
          <w:sz w:val="24"/>
          <w:szCs w:val="24"/>
        </w:rPr>
        <w:drawing>
          <wp:anchor distT="0" distB="0" distL="114300" distR="114300" simplePos="0" relativeHeight="251661312" behindDoc="0" locked="0" layoutInCell="1" allowOverlap="1">
            <wp:simplePos x="0" y="0"/>
            <wp:positionH relativeFrom="column">
              <wp:posOffset>330200</wp:posOffset>
            </wp:positionH>
            <wp:positionV relativeFrom="paragraph">
              <wp:posOffset>1656715</wp:posOffset>
            </wp:positionV>
            <wp:extent cx="4591050" cy="2762250"/>
            <wp:effectExtent l="0" t="0" r="0" b="0"/>
            <wp:wrapTopAndBottom/>
            <wp:docPr id="3" name="图表 1"/>
            <wp:cNvGraphicFramePr/>
            <a:graphic xmlns:a="http://schemas.openxmlformats.org/drawingml/2006/main">
              <a:graphicData uri="http://schemas.openxmlformats.org/drawingml/2006/picture">
                <pic:pic xmlns:pic="http://schemas.openxmlformats.org/drawingml/2006/picture">
                  <pic:nvPicPr>
                    <pic:cNvPr id="3" name="图表 1"/>
                    <pic:cNvPicPr/>
                  </pic:nvPicPr>
                  <pic:blipFill>
                    <a:blip r:embed="rId21"/>
                    <a:stretch>
                      <a:fillRect/>
                    </a:stretch>
                  </pic:blipFill>
                  <pic:spPr>
                    <a:xfrm>
                      <a:off x="0" y="0"/>
                      <a:ext cx="4591050" cy="2762250"/>
                    </a:xfrm>
                    <a:prstGeom prst="rect">
                      <a:avLst/>
                    </a:prstGeom>
                    <a:noFill/>
                    <a:ln>
                      <a:noFill/>
                    </a:ln>
                  </pic:spPr>
                </pic:pic>
              </a:graphicData>
            </a:graphic>
          </wp:anchor>
        </w:drawing>
      </w: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1.5</w:t>
      </w:r>
      <w:r>
        <w:rPr>
          <w:rFonts w:hint="eastAsia" w:ascii="仿宋" w:hAnsi="仿宋" w:eastAsia="仿宋"/>
          <w:sz w:val="32"/>
          <w:szCs w:val="32"/>
        </w:rPr>
        <w:t>万元，占</w:t>
      </w:r>
      <w:r>
        <w:rPr>
          <w:sz w:val="32"/>
          <w:szCs w:val="32"/>
        </w:rPr>
        <w:t>75.75</w:t>
      </w:r>
      <w:r>
        <w:rPr>
          <w:rFonts w:ascii="仿宋" w:hAnsi="仿宋" w:eastAsia="仿宋"/>
          <w:sz w:val="32"/>
          <w:szCs w:val="32"/>
        </w:rPr>
        <w:t>%</w:t>
      </w:r>
      <w:r>
        <w:rPr>
          <w:rFonts w:hint="eastAsia" w:ascii="仿宋" w:hAnsi="仿宋" w:eastAsia="仿宋"/>
          <w:sz w:val="32"/>
          <w:szCs w:val="32"/>
        </w:rPr>
        <w:t>；公务接待费支出决算</w:t>
      </w:r>
      <w:r>
        <w:rPr>
          <w:sz w:val="32"/>
          <w:szCs w:val="32"/>
        </w:rPr>
        <w:t>0.48</w:t>
      </w:r>
      <w:r>
        <w:rPr>
          <w:rFonts w:hint="eastAsia" w:ascii="仿宋" w:hAnsi="仿宋" w:eastAsia="仿宋"/>
          <w:sz w:val="32"/>
          <w:szCs w:val="32"/>
        </w:rPr>
        <w:t>万元，占</w:t>
      </w:r>
      <w:r>
        <w:rPr>
          <w:sz w:val="32"/>
          <w:szCs w:val="32"/>
        </w:rPr>
        <w:t>24.24</w:t>
      </w:r>
      <w:r>
        <w:rPr>
          <w:rFonts w:ascii="仿宋" w:hAnsi="仿宋" w:eastAsia="仿宋"/>
          <w:sz w:val="32"/>
          <w:szCs w:val="32"/>
        </w:rPr>
        <w:t>%</w:t>
      </w:r>
      <w:r>
        <w:rPr>
          <w:rFonts w:hint="eastAsia" w:ascii="仿宋" w:hAnsi="仿宋" w:eastAsia="仿宋"/>
          <w:sz w:val="32"/>
          <w:szCs w:val="32"/>
        </w:rPr>
        <w:t>。具体情况如下：</w:t>
      </w:r>
    </w:p>
    <w:p w14:paraId="76BD69C4">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7C34B65B">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w:t>
      </w:r>
    </w:p>
    <w:p w14:paraId="2B3F782D">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1.5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25</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sz w:val="32"/>
          <w:szCs w:val="32"/>
          <w:lang w:val="en-US" w:eastAsia="zh-CN"/>
        </w:rPr>
        <w:t>增加0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厉行节约</w:t>
      </w:r>
      <w:r>
        <w:rPr>
          <w:rFonts w:hint="eastAsia" w:ascii="仿宋_GB2312" w:eastAsia="仿宋_GB2312"/>
          <w:sz w:val="32"/>
          <w:szCs w:val="32"/>
        </w:rPr>
        <w:t>。</w:t>
      </w:r>
    </w:p>
    <w:p w14:paraId="7FAEBF0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w:t>
      </w:r>
      <w:r>
        <w:rPr>
          <w:rFonts w:hint="eastAsia" w:ascii="仿宋_GB2312" w:hAnsi="Times New Roman" w:eastAsia="仿宋_GB2312"/>
          <w:sz w:val="32"/>
          <w:szCs w:val="24"/>
        </w:rPr>
        <w:t>截至202</w:t>
      </w:r>
      <w:r>
        <w:rPr>
          <w:rFonts w:hint="eastAsia" w:ascii="仿宋_GB2312" w:eastAsia="仿宋_GB2312"/>
          <w:sz w:val="32"/>
          <w:szCs w:val="24"/>
          <w:lang w:val="en-US" w:eastAsia="zh-CN"/>
        </w:rPr>
        <w:t>3</w:t>
      </w:r>
      <w:r>
        <w:rPr>
          <w:rFonts w:hint="eastAsia" w:ascii="仿宋_GB2312" w:hAnsi="Times New Roman" w:eastAsia="仿宋_GB2312"/>
          <w:sz w:val="32"/>
          <w:szCs w:val="24"/>
        </w:rPr>
        <w:t>年12月底，单位共有执法用车2辆，其中：越野车1辆、载客汽车1辆。</w:t>
      </w:r>
    </w:p>
    <w:p w14:paraId="534F6CEB">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1.5</w:t>
      </w:r>
      <w:r>
        <w:rPr>
          <w:rFonts w:hint="eastAsia" w:ascii="仿宋_GB2312" w:eastAsia="仿宋_GB2312"/>
          <w:sz w:val="32"/>
          <w:szCs w:val="32"/>
        </w:rPr>
        <w:t>万元。主要用于</w:t>
      </w:r>
      <w:r>
        <w:rPr>
          <w:rFonts w:hint="eastAsia" w:ascii="仿宋_GB2312" w:eastAsia="仿宋_GB2312"/>
          <w:sz w:val="32"/>
          <w:szCs w:val="32"/>
          <w:lang w:val="en-US" w:eastAsia="zh-CN"/>
        </w:rPr>
        <w:t>交通运输执法检查</w:t>
      </w:r>
      <w:r>
        <w:rPr>
          <w:rFonts w:hint="eastAsia" w:ascii="仿宋_GB2312" w:eastAsia="仿宋_GB2312"/>
          <w:sz w:val="32"/>
          <w:szCs w:val="32"/>
        </w:rPr>
        <w:t>等所需的公务用车燃料费、维修费、过路过桥费、保险费等支出。</w:t>
      </w:r>
    </w:p>
    <w:p w14:paraId="5503F2FA">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0.48</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92.53%</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厉行节约</w:t>
      </w:r>
      <w:r>
        <w:rPr>
          <w:rFonts w:hint="eastAsia" w:ascii="仿宋_GB2312" w:eastAsia="仿宋_GB2312"/>
          <w:sz w:val="32"/>
          <w:szCs w:val="32"/>
        </w:rPr>
        <w:t>。其中：</w:t>
      </w:r>
    </w:p>
    <w:p w14:paraId="2C2D81D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0.48</w:t>
      </w:r>
      <w:r>
        <w:rPr>
          <w:rFonts w:hint="eastAsia" w:ascii="仿宋_GB2312" w:eastAsia="仿宋_GB2312"/>
          <w:sz w:val="32"/>
          <w:szCs w:val="32"/>
        </w:rPr>
        <w:t>万元，</w:t>
      </w:r>
      <w:r>
        <w:rPr>
          <w:rFonts w:hint="eastAsia" w:ascii="仿宋_GB2312" w:hAnsi="Times New Roman" w:eastAsia="仿宋_GB2312"/>
          <w:sz w:val="32"/>
          <w:szCs w:val="24"/>
        </w:rPr>
        <w:t>主要用于上级单位检查和相关部门工作协调配合(执行公务、开展业务活动开支的交通费、住宿费、用餐费等)</w:t>
      </w:r>
      <w:r>
        <w:rPr>
          <w:rFonts w:hint="eastAsia" w:ascii="仿宋_GB2312" w:hAnsi="仿宋_GB2312" w:eastAsia="仿宋_GB2312"/>
          <w:color w:val="000000"/>
          <w:kern w:val="2"/>
          <w:sz w:val="32"/>
          <w:szCs w:val="24"/>
          <w:highlight w:val="white"/>
          <w:lang w:val="en-US"/>
        </w:rPr>
        <w:t>。</w:t>
      </w:r>
      <w:r>
        <w:rPr>
          <w:rFonts w:hint="eastAsia" w:ascii="仿宋_GB2312" w:hAnsi="仿宋_GB2312" w:eastAsia="仿宋_GB2312"/>
          <w:color w:val="000000"/>
          <w:kern w:val="2"/>
          <w:sz w:val="32"/>
          <w:szCs w:val="24"/>
          <w:lang w:val="zh-CN"/>
        </w:rPr>
        <w:t>国内公务接待</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批次，9</w:t>
      </w:r>
      <w:r>
        <w:rPr>
          <w:rFonts w:hint="eastAsia" w:ascii="仿宋_GB2312" w:hAnsi="仿宋_GB2312" w:eastAsia="仿宋_GB2312"/>
          <w:color w:val="000000"/>
          <w:kern w:val="2"/>
          <w:sz w:val="32"/>
          <w:szCs w:val="24"/>
          <w:lang w:val="en-US" w:eastAsia="zh-CN"/>
        </w:rPr>
        <w:t>6</w:t>
      </w:r>
      <w:r>
        <w:rPr>
          <w:rFonts w:hint="eastAsia" w:ascii="仿宋_GB2312" w:hAnsi="仿宋_GB2312" w:eastAsia="仿宋_GB2312"/>
          <w:color w:val="000000"/>
          <w:kern w:val="2"/>
          <w:sz w:val="32"/>
          <w:szCs w:val="24"/>
          <w:lang w:val="zh-CN"/>
        </w:rPr>
        <w:t>人次，共计支出0.48万元，具体内容包括</w:t>
      </w:r>
      <w:r>
        <w:rPr>
          <w:rFonts w:hint="eastAsia" w:ascii="仿宋_GB2312" w:hAnsi="仿宋_GB2312" w:eastAsia="仿宋_GB2312"/>
          <w:color w:val="000000"/>
          <w:kern w:val="2"/>
          <w:sz w:val="32"/>
          <w:szCs w:val="24"/>
          <w:lang w:val="en-US" w:eastAsia="zh-CN"/>
        </w:rPr>
        <w:t>各区县执法大队检查学习接待</w:t>
      </w:r>
      <w:r>
        <w:rPr>
          <w:rFonts w:hint="eastAsia" w:ascii="仿宋_GB2312" w:eastAsia="仿宋_GB2312"/>
          <w:sz w:val="32"/>
          <w:szCs w:val="32"/>
        </w:rPr>
        <w:t>。</w:t>
      </w:r>
    </w:p>
    <w:p w14:paraId="31F241B7">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w:t>
      </w:r>
    </w:p>
    <w:p w14:paraId="2E441D80">
      <w:pPr>
        <w:spacing w:line="600" w:lineRule="exact"/>
        <w:ind w:firstLine="640"/>
        <w:outlineLvl w:val="9"/>
        <w:rPr>
          <w:rFonts w:ascii="黑体" w:eastAsia="黑体"/>
          <w:sz w:val="32"/>
          <w:szCs w:val="32"/>
        </w:rPr>
      </w:pPr>
      <w:bookmarkStart w:id="69" w:name="_Toc15396610"/>
      <w:bookmarkStart w:id="70" w:name="_Toc15377218"/>
    </w:p>
    <w:p w14:paraId="164E5FCD">
      <w:pPr>
        <w:spacing w:line="600" w:lineRule="exact"/>
        <w:ind w:firstLine="640"/>
        <w:outlineLvl w:val="1"/>
        <w:rPr>
          <w:rStyle w:val="28"/>
          <w:rFonts w:ascii="黑体" w:hAnsi="黑体" w:eastAsia="黑体"/>
        </w:rPr>
      </w:pPr>
      <w:bookmarkStart w:id="71" w:name="_Toc28780"/>
      <w:r>
        <w:rPr>
          <w:rFonts w:hint="eastAsia" w:ascii="黑体" w:eastAsia="黑体"/>
          <w:sz w:val="32"/>
          <w:szCs w:val="32"/>
        </w:rPr>
        <w:t>八、</w:t>
      </w:r>
      <w:r>
        <w:rPr>
          <w:rStyle w:val="28"/>
          <w:rFonts w:hint="eastAsia" w:ascii="黑体" w:hAnsi="黑体" w:eastAsia="黑体"/>
          <w:b w:val="0"/>
        </w:rPr>
        <w:t>政府性基金预算支出决算情况说明</w:t>
      </w:r>
      <w:bookmarkEnd w:id="69"/>
      <w:bookmarkEnd w:id="70"/>
      <w:bookmarkEnd w:id="71"/>
    </w:p>
    <w:p w14:paraId="0D8ECED2">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14:paraId="22B03FC9">
      <w:pPr>
        <w:spacing w:line="600" w:lineRule="exact"/>
        <w:ind w:firstLine="640"/>
        <w:rPr>
          <w:rFonts w:ascii="仿宋_GB2312" w:eastAsia="仿宋_GB2312"/>
          <w:sz w:val="32"/>
          <w:szCs w:val="32"/>
        </w:rPr>
      </w:pPr>
    </w:p>
    <w:p w14:paraId="2D82BF8B">
      <w:pPr>
        <w:numPr>
          <w:ilvl w:val="0"/>
          <w:numId w:val="3"/>
        </w:numPr>
        <w:spacing w:line="600" w:lineRule="exact"/>
        <w:ind w:firstLine="640"/>
        <w:outlineLvl w:val="1"/>
        <w:rPr>
          <w:rStyle w:val="28"/>
          <w:rFonts w:ascii="黑体" w:hAnsi="黑体" w:eastAsia="黑体"/>
          <w:b w:val="0"/>
        </w:rPr>
      </w:pPr>
      <w:bookmarkStart w:id="72" w:name="_Toc15377219"/>
      <w:bookmarkStart w:id="73" w:name="_Toc15396611"/>
      <w:bookmarkStart w:id="74" w:name="_Toc12118"/>
      <w:r>
        <w:rPr>
          <w:rStyle w:val="28"/>
          <w:rFonts w:hint="eastAsia" w:ascii="黑体" w:hAnsi="黑体" w:eastAsia="黑体"/>
          <w:b w:val="0"/>
        </w:rPr>
        <w:t>国有资本经营预算支出决算情况说明</w:t>
      </w:r>
      <w:bookmarkEnd w:id="72"/>
      <w:bookmarkEnd w:id="73"/>
      <w:bookmarkEnd w:id="74"/>
    </w:p>
    <w:p w14:paraId="63D9D677">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14:paraId="2E10F4A9">
      <w:pPr>
        <w:spacing w:line="580" w:lineRule="exact"/>
        <w:jc w:val="center"/>
        <w:rPr>
          <w:rFonts w:ascii="方正小标宋简体" w:hAnsi="方正小标宋简体" w:eastAsia="方正小标宋简体" w:cs="方正小标宋简体"/>
          <w:sz w:val="44"/>
          <w:szCs w:val="44"/>
        </w:rPr>
      </w:pPr>
    </w:p>
    <w:p w14:paraId="085349C4">
      <w:pPr>
        <w:numPr>
          <w:ilvl w:val="0"/>
          <w:numId w:val="3"/>
        </w:numPr>
        <w:spacing w:line="600" w:lineRule="exact"/>
        <w:ind w:firstLine="640"/>
        <w:outlineLvl w:val="1"/>
        <w:rPr>
          <w:rStyle w:val="28"/>
          <w:rFonts w:ascii="黑体" w:hAnsi="黑体" w:eastAsia="黑体"/>
          <w:b w:val="0"/>
        </w:rPr>
      </w:pPr>
      <w:bookmarkStart w:id="75" w:name="_Toc15396612"/>
      <w:bookmarkStart w:id="76" w:name="_Toc15377221"/>
      <w:bookmarkStart w:id="77" w:name="_Toc22378"/>
      <w:r>
        <w:rPr>
          <w:rStyle w:val="28"/>
          <w:rFonts w:hint="eastAsia" w:ascii="黑体" w:hAnsi="黑体" w:eastAsia="黑体"/>
          <w:b w:val="0"/>
        </w:rPr>
        <w:t>其他重要事项的情况说明</w:t>
      </w:r>
      <w:bookmarkEnd w:id="75"/>
      <w:bookmarkEnd w:id="76"/>
      <w:bookmarkEnd w:id="77"/>
    </w:p>
    <w:p w14:paraId="32BFB216">
      <w:pPr>
        <w:spacing w:line="600" w:lineRule="exact"/>
        <w:ind w:firstLine="643" w:firstLineChars="200"/>
        <w:outlineLvl w:val="2"/>
        <w:rPr>
          <w:rFonts w:ascii="仿宋" w:hAnsi="仿宋" w:eastAsia="仿宋"/>
          <w:sz w:val="32"/>
          <w:szCs w:val="32"/>
        </w:rPr>
      </w:pPr>
      <w:bookmarkStart w:id="78" w:name="_Toc15377222"/>
      <w:r>
        <w:rPr>
          <w:rFonts w:hint="eastAsia" w:ascii="仿宋" w:hAnsi="仿宋" w:eastAsia="仿宋"/>
          <w:b/>
          <w:sz w:val="32"/>
          <w:szCs w:val="32"/>
        </w:rPr>
        <w:t>（一）机关运行经费支出情况</w:t>
      </w:r>
      <w:bookmarkEnd w:id="78"/>
    </w:p>
    <w:p w14:paraId="0FE3608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万源市交通运输综合行政执法大队</w:t>
      </w:r>
      <w:r>
        <w:rPr>
          <w:rFonts w:hint="eastAsia" w:ascii="仿宋_GB2312" w:eastAsia="仿宋_GB2312"/>
          <w:sz w:val="32"/>
          <w:szCs w:val="32"/>
        </w:rPr>
        <w:t>机关运行经费支出</w:t>
      </w:r>
      <w:r>
        <w:rPr>
          <w:sz w:val="32"/>
          <w:szCs w:val="32"/>
        </w:rPr>
        <w:t>225.12</w:t>
      </w:r>
      <w:r>
        <w:rPr>
          <w:rFonts w:hint="eastAsia" w:ascii="仿宋_GB2312" w:eastAsia="仿宋_GB2312"/>
          <w:sz w:val="32"/>
          <w:szCs w:val="32"/>
        </w:rPr>
        <w:t>万元，比2022年度增加</w:t>
      </w:r>
      <w:r>
        <w:rPr>
          <w:rFonts w:hint="eastAsia" w:ascii="仿宋_GB2312" w:eastAsia="仿宋_GB2312"/>
          <w:sz w:val="32"/>
          <w:szCs w:val="32"/>
          <w:lang w:val="en-US" w:eastAsia="zh-CN"/>
        </w:rPr>
        <w:t>210.28</w:t>
      </w:r>
      <w:r>
        <w:rPr>
          <w:rFonts w:hint="eastAsia" w:ascii="仿宋_GB2312" w:eastAsia="仿宋_GB2312"/>
          <w:sz w:val="32"/>
          <w:szCs w:val="32"/>
        </w:rPr>
        <w:t>万元，增长</w:t>
      </w:r>
      <w:r>
        <w:rPr>
          <w:rFonts w:hint="eastAsia" w:ascii="仿宋_GB2312" w:eastAsia="仿宋_GB2312"/>
          <w:sz w:val="32"/>
          <w:szCs w:val="32"/>
          <w:lang w:val="en-US" w:eastAsia="zh-CN"/>
        </w:rPr>
        <w:t>233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支付了以前欠付的款项</w:t>
      </w:r>
      <w:r>
        <w:rPr>
          <w:rFonts w:hint="eastAsia" w:ascii="仿宋_GB2312" w:eastAsia="仿宋_GB2312"/>
          <w:sz w:val="32"/>
          <w:szCs w:val="32"/>
        </w:rPr>
        <w:t>。</w:t>
      </w:r>
    </w:p>
    <w:p w14:paraId="59FF0A7B">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3188CD57">
      <w:pPr>
        <w:autoSpaceDE w:val="0"/>
        <w:autoSpaceDN w:val="0"/>
        <w:adjustRightInd w:val="0"/>
        <w:spacing w:line="600" w:lineRule="exact"/>
        <w:ind w:firstLine="643" w:firstLineChars="200"/>
        <w:jc w:val="left"/>
        <w:outlineLvl w:val="2"/>
        <w:rPr>
          <w:rFonts w:ascii="仿宋" w:hAnsi="仿宋" w:eastAsia="仿宋"/>
          <w:b/>
          <w:sz w:val="32"/>
          <w:szCs w:val="32"/>
        </w:rPr>
      </w:pPr>
      <w:bookmarkStart w:id="79" w:name="_Toc15377223"/>
      <w:r>
        <w:rPr>
          <w:rFonts w:hint="eastAsia" w:ascii="仿宋" w:hAnsi="仿宋" w:eastAsia="仿宋"/>
          <w:b/>
          <w:sz w:val="32"/>
          <w:szCs w:val="32"/>
        </w:rPr>
        <w:t>（二）政府采购支出情况</w:t>
      </w:r>
      <w:bookmarkEnd w:id="79"/>
    </w:p>
    <w:p w14:paraId="26BD13B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万源市交通运输综合行政执法大队</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w:t>
      </w:r>
    </w:p>
    <w:p w14:paraId="472362D6">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5E43EA2">
      <w:pPr>
        <w:autoSpaceDE w:val="0"/>
        <w:autoSpaceDN w:val="0"/>
        <w:adjustRightInd w:val="0"/>
        <w:spacing w:line="600" w:lineRule="exact"/>
        <w:ind w:firstLine="643" w:firstLineChars="200"/>
        <w:jc w:val="left"/>
        <w:outlineLvl w:val="2"/>
        <w:rPr>
          <w:rFonts w:ascii="仿宋" w:hAnsi="仿宋" w:eastAsia="仿宋"/>
          <w:b/>
          <w:sz w:val="32"/>
          <w:szCs w:val="32"/>
        </w:rPr>
      </w:pPr>
      <w:bookmarkStart w:id="80" w:name="_Toc15377224"/>
      <w:r>
        <w:rPr>
          <w:rFonts w:hint="eastAsia" w:ascii="仿宋" w:hAnsi="仿宋" w:eastAsia="仿宋"/>
          <w:b/>
          <w:sz w:val="32"/>
          <w:szCs w:val="32"/>
        </w:rPr>
        <w:t>（三）国有资产占有使用情况</w:t>
      </w:r>
      <w:bookmarkEnd w:id="80"/>
    </w:p>
    <w:p w14:paraId="63EBF197">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万源市交通运输综合行政执法大队</w:t>
      </w:r>
      <w:r>
        <w:rPr>
          <w:rFonts w:hint="eastAsia" w:ascii="仿宋_GB2312" w:eastAsia="仿宋_GB2312"/>
          <w:sz w:val="32"/>
          <w:szCs w:val="32"/>
        </w:rPr>
        <w:t>共有车辆</w:t>
      </w:r>
      <w:r>
        <w:rPr>
          <w:rFonts w:ascii="仿宋_GB2312" w:eastAsia="仿宋_GB2312"/>
          <w:sz w:val="32"/>
          <w:szCs w:val="32"/>
        </w:rPr>
        <w:t>6</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hAnsi="Times New Roman" w:eastAsia="仿宋_GB2312"/>
          <w:sz w:val="32"/>
          <w:szCs w:val="24"/>
        </w:rPr>
        <w:t>一般执法执勤类车辆2辆</w:t>
      </w:r>
      <w:r>
        <w:rPr>
          <w:rFonts w:hint="eastAsia" w:ascii="仿宋_GB2312" w:eastAsia="仿宋_GB2312"/>
          <w:sz w:val="32"/>
          <w:szCs w:val="24"/>
          <w:lang w:eastAsia="zh-CN"/>
        </w:rPr>
        <w:t>、</w:t>
      </w:r>
      <w:r>
        <w:rPr>
          <w:rFonts w:hint="eastAsia" w:ascii="仿宋_GB2312" w:eastAsia="仿宋_GB2312"/>
          <w:sz w:val="32"/>
          <w:szCs w:val="32"/>
        </w:rPr>
        <w:t>其他用车</w:t>
      </w:r>
      <w:r>
        <w:rPr>
          <w:rFonts w:hint="eastAsia" w:ascii="仿宋_GB2312" w:eastAsia="仿宋_GB2312"/>
          <w:sz w:val="32"/>
          <w:szCs w:val="32"/>
          <w:lang w:val="en-US" w:eastAsia="zh-CN"/>
        </w:rPr>
        <w:t>4</w:t>
      </w:r>
      <w:r>
        <w:rPr>
          <w:rFonts w:hint="eastAsia" w:ascii="仿宋_GB2312" w:eastAsia="仿宋_GB2312"/>
          <w:sz w:val="32"/>
          <w:szCs w:val="32"/>
        </w:rPr>
        <w:t>辆，其他用车主要是用于</w:t>
      </w:r>
      <w:r>
        <w:rPr>
          <w:rFonts w:hint="eastAsia" w:ascii="仿宋_GB2312" w:eastAsia="仿宋_GB2312"/>
          <w:sz w:val="32"/>
          <w:szCs w:val="32"/>
          <w:lang w:val="en-US" w:eastAsia="zh-CN"/>
        </w:rPr>
        <w:t>交通运输执法检查</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1</w:t>
      </w:r>
      <w:r>
        <w:rPr>
          <w:rFonts w:hint="eastAsia" w:ascii="仿宋_GB2312" w:eastAsia="仿宋_GB2312"/>
          <w:sz w:val="32"/>
          <w:szCs w:val="32"/>
        </w:rPr>
        <w:t>台（套）。</w:t>
      </w:r>
    </w:p>
    <w:p w14:paraId="2AF79D8E">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14:paraId="182B1C2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20E04F51">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FE2A4D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r>
        <w:rPr>
          <w:rFonts w:hint="eastAsia" w:ascii="仿宋_GB2312" w:hAnsi="仿宋_GB2312" w:eastAsia="仿宋_GB2312" w:cs="仿宋_GB2312"/>
          <w:sz w:val="32"/>
          <w:szCs w:val="32"/>
          <w:lang w:val="en-US" w:eastAsia="zh-CN"/>
        </w:rPr>
        <w:t>超限站点运行经费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w:t>
      </w:r>
    </w:p>
    <w:p w14:paraId="567ABB6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组织对2023年度一般公共预算、政府性基金预算、国有资本经营预算、社会保险基金预算以及资本资产、债券资金等全面开展绩效自评，形成部门整体（含部门预算项目）绩效自评报告、</w:t>
      </w:r>
      <w:r>
        <w:rPr>
          <w:rFonts w:hint="eastAsia" w:ascii="仿宋_GB2312" w:hAnsi="仿宋_GB2312" w:eastAsia="仿宋_GB2312" w:cs="仿宋_GB2312"/>
          <w:sz w:val="32"/>
          <w:szCs w:val="32"/>
          <w:lang w:val="en-US" w:eastAsia="zh-CN"/>
        </w:rPr>
        <w:t>超限站点运行费</w:t>
      </w:r>
      <w:r>
        <w:rPr>
          <w:rFonts w:hint="eastAsia" w:ascii="仿宋_GB2312" w:hAnsi="仿宋_GB2312" w:eastAsia="仿宋_GB2312" w:cs="仿宋_GB2312"/>
          <w:sz w:val="32"/>
          <w:szCs w:val="32"/>
        </w:rPr>
        <w:t>等专项预算项目绩效自评报告，其中，部门整体（含部门预算项目）绩效自评得分为</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color w:val="auto"/>
          <w:sz w:val="32"/>
          <w:szCs w:val="32"/>
          <w:shd w:val="clear" w:color="auto" w:fill="FFFFFF"/>
          <w:lang w:val="zh-CN" w:eastAsia="zh-CN"/>
        </w:rPr>
        <w:t>单位整体绩效目标制定、目标完成、预算编制情况等均准确合理，支出控制、预算动态调整、执行进度、预算完成情况良好，无任何违规违纪等情况</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color w:val="auto"/>
          <w:sz w:val="32"/>
          <w:szCs w:val="32"/>
          <w:shd w:val="clear" w:color="auto" w:fill="FFFFFF"/>
          <w:lang w:val="zh-CN" w:eastAsia="zh-CN"/>
        </w:rPr>
        <w:t>单位整体绩效目标制定、目标完成、预算编制情况等均准确合理，支出控制、预算动态调整、执行进度、预算完成情况良好，无任何违规违纪等情况</w:t>
      </w:r>
      <w:r>
        <w:rPr>
          <w:rFonts w:hint="eastAsia" w:ascii="仿宋_GB2312" w:hAnsi="仿宋_GB2312" w:eastAsia="仿宋_GB2312" w:cs="仿宋_GB2312"/>
          <w:sz w:val="32"/>
          <w:szCs w:val="32"/>
        </w:rPr>
        <w:t>。绩效自评报告详见附件。</w:t>
      </w:r>
    </w:p>
    <w:p w14:paraId="646968C5">
      <w:pPr>
        <w:pStyle w:val="3"/>
        <w:jc w:val="center"/>
        <w:rPr>
          <w:rFonts w:hint="eastAsia"/>
        </w:rPr>
      </w:pPr>
    </w:p>
    <w:p w14:paraId="3560DAEC">
      <w:pPr>
        <w:rPr>
          <w:rFonts w:hint="eastAsia"/>
        </w:rPr>
      </w:pPr>
    </w:p>
    <w:p w14:paraId="23FF1449">
      <w:pPr>
        <w:pStyle w:val="2"/>
        <w:rPr>
          <w:rFonts w:hint="eastAsia"/>
        </w:rPr>
      </w:pPr>
    </w:p>
    <w:p w14:paraId="4FBF2B29">
      <w:pPr>
        <w:rPr>
          <w:rFonts w:hint="eastAsia"/>
        </w:rPr>
      </w:pPr>
    </w:p>
    <w:p w14:paraId="1A087B7F">
      <w:pPr>
        <w:pStyle w:val="2"/>
        <w:rPr>
          <w:rFonts w:hint="eastAsia"/>
        </w:rPr>
      </w:pPr>
    </w:p>
    <w:p w14:paraId="5BA58440">
      <w:pPr>
        <w:rPr>
          <w:rFonts w:hint="eastAsia"/>
        </w:rPr>
      </w:pPr>
    </w:p>
    <w:p w14:paraId="2B0C1BF0">
      <w:pPr>
        <w:pStyle w:val="2"/>
        <w:rPr>
          <w:rFonts w:hint="eastAsia"/>
        </w:rPr>
      </w:pPr>
    </w:p>
    <w:p w14:paraId="38C1939A">
      <w:pPr>
        <w:rPr>
          <w:rFonts w:hint="eastAsia"/>
        </w:rPr>
      </w:pPr>
    </w:p>
    <w:p w14:paraId="5D3864BF">
      <w:pPr>
        <w:pStyle w:val="3"/>
        <w:jc w:val="center"/>
      </w:pPr>
      <w:bookmarkStart w:id="81" w:name="_Toc14883"/>
      <w:r>
        <w:rPr>
          <w:rFonts w:hint="eastAsia"/>
        </w:rPr>
        <w:t>第三部分 名词解释</w:t>
      </w:r>
      <w:bookmarkEnd w:id="81"/>
    </w:p>
    <w:p w14:paraId="058C6875"/>
    <w:p w14:paraId="0F2665E9">
      <w:pPr>
        <w:spacing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1.财政拨款收入：指单位从同级财政部门取得的财政预算资金。</w:t>
      </w:r>
    </w:p>
    <w:p w14:paraId="20F6C671">
      <w:pPr>
        <w:spacing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2.其他收入：指单位取得的除上述收入以外的各项收入。</w:t>
      </w:r>
    </w:p>
    <w:p w14:paraId="4AA5ABBB">
      <w:pPr>
        <w:spacing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3、年末结转和结余：指单位按有关规定结转到下年或以后年度继续使用的资金。</w:t>
      </w:r>
    </w:p>
    <w:p w14:paraId="05E9272C">
      <w:pPr>
        <w:spacing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4、医疗卫生与计划生育（类）行政事业单位医疗（款）行政单位医疗（项）:指反映财政部门集中安排的行政单位基本医疗保险缴费经费，未参加医疗保险的行政单位的公费医疗经费，按国家规定享受离休人员、老红军战士待遇的医疗经费。</w:t>
      </w:r>
    </w:p>
    <w:p w14:paraId="38E1DFEF">
      <w:pPr>
        <w:spacing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5、交通运输支出（类）公路水路运输（款）公路运输管理（项）：指反映公路运输管理支出和公路路政管理支出。</w:t>
      </w:r>
    </w:p>
    <w:p w14:paraId="468048A6">
      <w:pPr>
        <w:spacing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6、住房保障支出（类）住房改革支出（款）住房公积金（项）：指反映行政事业单位按人力资源和社会保障部、财政部规定的基本工资和津贴补贴以及规定比例为职工缴纳的住房公积金。</w:t>
      </w:r>
    </w:p>
    <w:p w14:paraId="669F577C">
      <w:pPr>
        <w:spacing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7、基本支出：指为保障机构正常运转、完成日常工作任务而发生的人员支出和公用支出。</w:t>
      </w:r>
    </w:p>
    <w:p w14:paraId="382A050B">
      <w:pPr>
        <w:spacing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8、项目支出：指在基本支出之外为完成特定行政任务和事业发展目标所发生的支出。</w:t>
      </w:r>
    </w:p>
    <w:p w14:paraId="5B79E14F">
      <w:pPr>
        <w:spacing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CB53CE7">
      <w:pPr>
        <w:spacing w:line="576" w:lineRule="exact"/>
        <w:ind w:firstLine="640"/>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cs="Times New Roman"/>
          <w:color w:val="000000"/>
          <w:kern w:val="2"/>
          <w:sz w:val="32"/>
          <w:szCs w:val="24"/>
          <w:lang w:val="en-US"/>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A82201">
      <w:pPr>
        <w:pStyle w:val="25"/>
        <w:spacing w:beforeLines="0" w:afterLines="0" w:line="560" w:lineRule="exact"/>
        <w:ind w:firstLine="640" w:firstLineChars="200"/>
        <w:rPr>
          <w:rFonts w:hint="eastAsia" w:ascii="黑体" w:hAnsi="黑体" w:eastAsia="黑体" w:cs="黑体"/>
          <w:color w:val="auto"/>
          <w:sz w:val="32"/>
          <w:szCs w:val="32"/>
        </w:rPr>
      </w:pPr>
    </w:p>
    <w:p w14:paraId="5DE93EA7">
      <w:pPr>
        <w:ind w:firstLine="420" w:firstLineChars="200"/>
      </w:pPr>
    </w:p>
    <w:p w14:paraId="429CA2E2">
      <w:pPr>
        <w:ind w:firstLine="643" w:firstLineChars="200"/>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r>
        <w:rPr>
          <w:rFonts w:ascii="仿宋" w:hAnsi="仿宋" w:eastAsia="仿宋"/>
          <w:b/>
          <w:sz w:val="32"/>
          <w:szCs w:val="32"/>
        </w:rPr>
        <w:br w:type="page"/>
      </w:r>
    </w:p>
    <w:p w14:paraId="7228AC08">
      <w:pPr>
        <w:pStyle w:val="3"/>
        <w:jc w:val="center"/>
        <w:rPr>
          <w:rFonts w:ascii="黑体" w:hAnsi="黑体" w:eastAsia="黑体"/>
          <w:b w:val="0"/>
        </w:rPr>
      </w:pPr>
      <w:bookmarkStart w:id="82" w:name="_Toc9416"/>
      <w:r>
        <w:rPr>
          <w:rFonts w:hint="eastAsia" w:ascii="黑体" w:hAnsi="黑体" w:eastAsia="黑体"/>
          <w:b w:val="0"/>
        </w:rPr>
        <w:t>第四部分 附件</w:t>
      </w:r>
      <w:bookmarkEnd w:id="82"/>
    </w:p>
    <w:p w14:paraId="0B1626F1">
      <w:pPr>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万源市交通运输综合行政执法大队</w:t>
      </w:r>
    </w:p>
    <w:p w14:paraId="460CA122">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2023年</w:t>
      </w:r>
      <w:r>
        <w:rPr>
          <w:rFonts w:hint="eastAsia" w:ascii="方正小标宋简体" w:hAnsi="方正小标宋简体" w:eastAsia="方正小标宋简体"/>
          <w:sz w:val="44"/>
          <w:szCs w:val="44"/>
        </w:rPr>
        <w:t>部门预算绩效评价报告</w:t>
      </w:r>
    </w:p>
    <w:p w14:paraId="2280AADB">
      <w:pPr>
        <w:jc w:val="center"/>
        <w:rPr>
          <w:rFonts w:ascii="仿宋_GB2312" w:eastAsia="仿宋_GB2312"/>
          <w:sz w:val="32"/>
          <w:szCs w:val="32"/>
        </w:rPr>
      </w:pPr>
      <w:r>
        <w:rPr>
          <w:rFonts w:hint="eastAsia" w:ascii="仿宋_GB2312" w:eastAsia="仿宋_GB2312"/>
          <w:sz w:val="32"/>
          <w:szCs w:val="32"/>
        </w:rPr>
        <w:t>（报告范围包括机关和下属单位）</w:t>
      </w:r>
    </w:p>
    <w:p w14:paraId="7FCBC980"/>
    <w:p w14:paraId="3EEAE5C7">
      <w:pPr>
        <w:rPr>
          <w:rFonts w:ascii="黑体" w:hAnsi="黑体" w:eastAsia="黑体"/>
          <w:sz w:val="32"/>
          <w:szCs w:val="32"/>
        </w:rPr>
      </w:pPr>
      <w:r>
        <w:rPr>
          <w:rFonts w:hint="eastAsia" w:ascii="黑体" w:hAnsi="黑体" w:eastAsia="黑体"/>
          <w:sz w:val="32"/>
          <w:szCs w:val="32"/>
        </w:rPr>
        <w:t>一、部门（单位）基本情况</w:t>
      </w:r>
    </w:p>
    <w:p w14:paraId="72BEE2CF">
      <w:pPr>
        <w:ind w:firstLine="643"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楷体_GB2312" w:eastAsia="楷体_GB2312"/>
          <w:b/>
          <w:sz w:val="32"/>
          <w:szCs w:val="32"/>
        </w:rPr>
        <w:t>（一）机构组成。</w:t>
      </w:r>
      <w:r>
        <w:rPr>
          <w:rFonts w:hint="eastAsia" w:ascii="仿宋_GB2312" w:hAnsi="仿宋_GB2312" w:eastAsia="仿宋_GB2312" w:cs="仿宋_GB2312"/>
          <w:color w:val="auto"/>
          <w:sz w:val="32"/>
          <w:szCs w:val="32"/>
          <w:shd w:val="clear" w:color="auto" w:fill="FFFFFF"/>
          <w:lang w:val="en-US" w:eastAsia="zh-CN"/>
        </w:rPr>
        <w:t>本单位属一级预算，参照公务员法管理的事业单位，下设办公室、财务股、政策法规股、执法监督股、五个中队等股室。</w:t>
      </w:r>
    </w:p>
    <w:p w14:paraId="7AB5A706">
      <w:pPr>
        <w:ind w:firstLine="643" w:firstLineChars="200"/>
        <w:rPr>
          <w:rFonts w:ascii="楷体_GB2312" w:eastAsia="楷体_GB2312"/>
          <w:b/>
          <w:sz w:val="32"/>
          <w:szCs w:val="32"/>
        </w:rPr>
      </w:pPr>
      <w:r>
        <w:rPr>
          <w:rFonts w:hint="eastAsia" w:ascii="楷体_GB2312" w:eastAsia="楷体_GB2312"/>
          <w:b/>
          <w:sz w:val="32"/>
          <w:szCs w:val="32"/>
        </w:rPr>
        <w:t>（二）机构职能。</w:t>
      </w:r>
      <w:r>
        <w:rPr>
          <w:rFonts w:hint="eastAsia" w:ascii="仿宋_GB2312" w:hAnsi="仿宋_GB2312" w:eastAsia="仿宋_GB2312" w:cs="仿宋_GB2312"/>
          <w:color w:val="auto"/>
          <w:sz w:val="32"/>
          <w:szCs w:val="32"/>
          <w:shd w:val="clear" w:color="auto" w:fill="FFFFFF"/>
          <w:lang w:val="en-US" w:eastAsia="zh-CN"/>
        </w:rPr>
        <w:t>本单位依法集中行使公路路政、道路运政、水路运政、航道行政、港口行政、地方海事行政、工程质量监督管理等领域执法。</w:t>
      </w:r>
    </w:p>
    <w:p w14:paraId="5CA162F1">
      <w:pPr>
        <w:widowControl/>
        <w:snapToGrid w:val="0"/>
        <w:spacing w:line="580" w:lineRule="exact"/>
        <w:ind w:firstLine="643"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楷体_GB2312" w:eastAsia="楷体_GB2312"/>
          <w:b/>
          <w:sz w:val="32"/>
          <w:szCs w:val="32"/>
        </w:rPr>
        <w:t>（三）人员概况。</w:t>
      </w:r>
      <w:r>
        <w:rPr>
          <w:rFonts w:hint="eastAsia" w:ascii="仿宋_GB2312" w:eastAsia="仿宋_GB2312"/>
          <w:sz w:val="32"/>
          <w:szCs w:val="32"/>
        </w:rPr>
        <w:t>截至2023年末，</w:t>
      </w:r>
      <w:r>
        <w:rPr>
          <w:rFonts w:hint="eastAsia" w:ascii="仿宋_GB2312" w:hAnsi="仿宋_GB2312" w:eastAsia="仿宋_GB2312" w:cs="仿宋_GB2312"/>
          <w:color w:val="auto"/>
          <w:sz w:val="32"/>
          <w:szCs w:val="32"/>
          <w:shd w:val="clear" w:color="auto" w:fill="FFFFFF"/>
          <w:lang w:val="en-US" w:eastAsia="zh-CN"/>
        </w:rPr>
        <w:t>实有在编职工65人，协助执法人员116人。</w:t>
      </w:r>
    </w:p>
    <w:p w14:paraId="3F1122E3">
      <w:pPr>
        <w:rPr>
          <w:rFonts w:ascii="黑体" w:hAnsi="黑体" w:eastAsia="黑体"/>
          <w:sz w:val="32"/>
          <w:szCs w:val="32"/>
        </w:rPr>
      </w:pPr>
      <w:r>
        <w:rPr>
          <w:rFonts w:hint="eastAsia" w:ascii="黑体" w:hAnsi="黑体" w:eastAsia="黑体"/>
          <w:sz w:val="32"/>
          <w:szCs w:val="32"/>
        </w:rPr>
        <w:t>二、部门资金收支情况</w:t>
      </w:r>
    </w:p>
    <w:p w14:paraId="0471F2D1">
      <w:pPr>
        <w:spacing w:line="600" w:lineRule="exact"/>
        <w:ind w:firstLine="645"/>
      </w:pPr>
      <w:r>
        <w:rPr>
          <w:rFonts w:hint="eastAsia" w:ascii="楷体_GB2312" w:eastAsia="楷体_GB2312"/>
          <w:b/>
          <w:sz w:val="32"/>
          <w:szCs w:val="32"/>
        </w:rPr>
        <w:t>（一）收入情况。</w:t>
      </w:r>
      <w:r>
        <w:rPr>
          <w:rFonts w:hint="eastAsia" w:ascii="仿宋" w:hAnsi="仿宋" w:eastAsia="仿宋"/>
          <w:sz w:val="32"/>
          <w:szCs w:val="32"/>
        </w:rPr>
        <w:t>2023年度一般公共预算财政拨款</w:t>
      </w:r>
      <w:r>
        <w:rPr>
          <w:rFonts w:hint="eastAsia" w:ascii="仿宋" w:hAnsi="仿宋" w:eastAsia="仿宋"/>
          <w:sz w:val="32"/>
          <w:szCs w:val="32"/>
          <w:lang w:val="en-US" w:eastAsia="zh-CN"/>
        </w:rPr>
        <w:t>收入</w:t>
      </w:r>
      <w:r>
        <w:rPr>
          <w:sz w:val="32"/>
          <w:szCs w:val="32"/>
        </w:rPr>
        <w:t>17</w:t>
      </w:r>
      <w:r>
        <w:rPr>
          <w:rFonts w:hint="eastAsia"/>
          <w:sz w:val="32"/>
          <w:szCs w:val="32"/>
          <w:lang w:val="en-US" w:eastAsia="zh-CN"/>
        </w:rPr>
        <w:t>8</w:t>
      </w:r>
      <w:r>
        <w:rPr>
          <w:sz w:val="32"/>
          <w:szCs w:val="32"/>
        </w:rPr>
        <w:t>9.51</w:t>
      </w:r>
      <w:r>
        <w:rPr>
          <w:rFonts w:hint="eastAsia" w:ascii="仿宋" w:hAnsi="仿宋" w:eastAsia="仿宋"/>
          <w:sz w:val="32"/>
          <w:szCs w:val="32"/>
        </w:rPr>
        <w:t>万元，其中：人员经费</w:t>
      </w:r>
      <w:r>
        <w:rPr>
          <w:sz w:val="32"/>
          <w:szCs w:val="32"/>
        </w:rPr>
        <w:t>1544.39</w:t>
      </w:r>
      <w:r>
        <w:rPr>
          <w:rFonts w:hint="eastAsia" w:ascii="仿宋" w:hAnsi="仿宋" w:eastAsia="仿宋"/>
          <w:sz w:val="32"/>
          <w:szCs w:val="32"/>
        </w:rPr>
        <w:t>万元，公用经费</w:t>
      </w:r>
      <w:r>
        <w:rPr>
          <w:sz w:val="32"/>
          <w:szCs w:val="32"/>
        </w:rPr>
        <w:t>2</w:t>
      </w:r>
      <w:r>
        <w:rPr>
          <w:rFonts w:hint="eastAsia"/>
          <w:sz w:val="32"/>
          <w:szCs w:val="32"/>
          <w:lang w:val="en-US" w:eastAsia="zh-CN"/>
        </w:rPr>
        <w:t>0</w:t>
      </w:r>
      <w:r>
        <w:rPr>
          <w:sz w:val="32"/>
          <w:szCs w:val="32"/>
        </w:rPr>
        <w:t>5.12</w:t>
      </w:r>
      <w:r>
        <w:rPr>
          <w:rFonts w:hint="eastAsia" w:ascii="仿宋" w:hAnsi="仿宋" w:eastAsia="仿宋"/>
          <w:sz w:val="32"/>
          <w:szCs w:val="32"/>
        </w:rPr>
        <w:t>万元，</w:t>
      </w:r>
      <w:r>
        <w:rPr>
          <w:rFonts w:hint="eastAsia" w:ascii="仿宋_GB2312" w:hAnsi="仿宋_GB2312" w:eastAsia="仿宋_GB2312" w:cs="仿宋_GB2312"/>
          <w:color w:val="auto"/>
          <w:sz w:val="32"/>
          <w:szCs w:val="32"/>
          <w:shd w:val="clear" w:color="auto" w:fill="FFFFFF"/>
          <w:lang w:val="zh-CN" w:eastAsia="zh-CN"/>
        </w:rPr>
        <w:t>公路巡查安全保障费支出</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lang w:val="zh-CN" w:eastAsia="zh-CN"/>
        </w:rPr>
        <w:t>万元，超限站点运行费支出</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lang w:val="zh-CN" w:eastAsia="zh-CN"/>
        </w:rPr>
        <w:t>万元，打黑打非专项经费支出</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val="zh-CN" w:eastAsia="zh-CN"/>
        </w:rPr>
        <w:t>万元。</w:t>
      </w:r>
    </w:p>
    <w:p w14:paraId="7ADC91A5">
      <w:pPr>
        <w:ind w:firstLine="643" w:firstLineChars="200"/>
        <w:rPr>
          <w:rFonts w:hint="default" w:ascii="仿宋_GB2312" w:eastAsia="仿宋_GB2312"/>
          <w:sz w:val="32"/>
          <w:szCs w:val="32"/>
          <w:lang w:val="en-US"/>
        </w:rPr>
      </w:pPr>
      <w:r>
        <w:rPr>
          <w:rFonts w:hint="eastAsia" w:ascii="楷体_GB2312" w:eastAsia="楷体_GB2312"/>
          <w:b/>
          <w:sz w:val="32"/>
          <w:szCs w:val="32"/>
        </w:rPr>
        <w:t>（二）支出情况。</w:t>
      </w:r>
      <w:r>
        <w:rPr>
          <w:rFonts w:hint="eastAsia" w:ascii="仿宋" w:hAnsi="仿宋" w:eastAsia="仿宋"/>
          <w:sz w:val="32"/>
          <w:szCs w:val="32"/>
        </w:rPr>
        <w:t>2023年度一般公共预算财政拨款</w:t>
      </w:r>
      <w:r>
        <w:rPr>
          <w:rFonts w:hint="eastAsia" w:ascii="仿宋" w:hAnsi="仿宋" w:eastAsia="仿宋"/>
          <w:sz w:val="32"/>
          <w:szCs w:val="32"/>
          <w:lang w:val="en-US" w:eastAsia="zh-CN"/>
        </w:rPr>
        <w:t>支出</w:t>
      </w:r>
      <w:r>
        <w:rPr>
          <w:sz w:val="32"/>
          <w:szCs w:val="32"/>
        </w:rPr>
        <w:t>17</w:t>
      </w:r>
      <w:r>
        <w:rPr>
          <w:rFonts w:hint="eastAsia"/>
          <w:sz w:val="32"/>
          <w:szCs w:val="32"/>
          <w:lang w:val="en-US" w:eastAsia="zh-CN"/>
        </w:rPr>
        <w:t>8</w:t>
      </w:r>
      <w:r>
        <w:rPr>
          <w:sz w:val="32"/>
          <w:szCs w:val="32"/>
        </w:rPr>
        <w:t>9.51</w:t>
      </w:r>
      <w:r>
        <w:rPr>
          <w:rFonts w:hint="eastAsia" w:ascii="仿宋" w:hAnsi="仿宋" w:eastAsia="仿宋"/>
          <w:sz w:val="32"/>
          <w:szCs w:val="32"/>
        </w:rPr>
        <w:t>万元，其中：人员经费</w:t>
      </w:r>
      <w:r>
        <w:rPr>
          <w:sz w:val="32"/>
          <w:szCs w:val="32"/>
        </w:rPr>
        <w:t>1544.39</w:t>
      </w:r>
      <w:r>
        <w:rPr>
          <w:rFonts w:hint="eastAsia" w:ascii="仿宋" w:hAnsi="仿宋" w:eastAsia="仿宋"/>
          <w:sz w:val="32"/>
          <w:szCs w:val="32"/>
        </w:rPr>
        <w:t>万元，公用经费</w:t>
      </w:r>
      <w:r>
        <w:rPr>
          <w:sz w:val="32"/>
          <w:szCs w:val="32"/>
        </w:rPr>
        <w:t>2</w:t>
      </w:r>
      <w:r>
        <w:rPr>
          <w:rFonts w:hint="eastAsia"/>
          <w:sz w:val="32"/>
          <w:szCs w:val="32"/>
          <w:lang w:val="en-US" w:eastAsia="zh-CN"/>
        </w:rPr>
        <w:t>0</w:t>
      </w:r>
      <w:r>
        <w:rPr>
          <w:sz w:val="32"/>
          <w:szCs w:val="32"/>
        </w:rPr>
        <w:t>5.12</w:t>
      </w:r>
      <w:r>
        <w:rPr>
          <w:rFonts w:hint="eastAsia" w:ascii="仿宋" w:hAnsi="仿宋" w:eastAsia="仿宋"/>
          <w:sz w:val="32"/>
          <w:szCs w:val="32"/>
        </w:rPr>
        <w:t>万元，</w:t>
      </w:r>
      <w:r>
        <w:rPr>
          <w:rFonts w:hint="eastAsia" w:ascii="仿宋_GB2312" w:hAnsi="仿宋_GB2312" w:eastAsia="仿宋_GB2312" w:cs="仿宋_GB2312"/>
          <w:color w:val="auto"/>
          <w:sz w:val="32"/>
          <w:szCs w:val="32"/>
          <w:shd w:val="clear" w:color="auto" w:fill="FFFFFF"/>
          <w:lang w:val="zh-CN" w:eastAsia="zh-CN"/>
        </w:rPr>
        <w:t>公路巡查安全保障费支出</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lang w:val="zh-CN" w:eastAsia="zh-CN"/>
        </w:rPr>
        <w:t>万元，超限站点运行费支出</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lang w:val="zh-CN" w:eastAsia="zh-CN"/>
        </w:rPr>
        <w:t>万元，打黑打非专项经费支出</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val="zh-CN" w:eastAsia="zh-CN"/>
        </w:rPr>
        <w:t>万元，</w:t>
      </w:r>
      <w:r>
        <w:rPr>
          <w:rFonts w:hint="eastAsia" w:ascii="仿宋_GB2312" w:hAnsi="仿宋_GB2312" w:eastAsia="仿宋_GB2312" w:cs="仿宋_GB2312"/>
          <w:color w:val="auto"/>
          <w:sz w:val="32"/>
          <w:szCs w:val="32"/>
          <w:shd w:val="clear" w:color="auto" w:fill="FFFFFF"/>
          <w:lang w:val="en-US" w:eastAsia="zh-CN"/>
        </w:rPr>
        <w:t>完成100%。</w:t>
      </w:r>
    </w:p>
    <w:p w14:paraId="2CFBBD13">
      <w:pPr>
        <w:ind w:firstLine="643" w:firstLineChars="200"/>
        <w:rPr>
          <w:rFonts w:ascii="仿宋_GB2312" w:eastAsia="仿宋_GB2312"/>
          <w:sz w:val="32"/>
          <w:szCs w:val="32"/>
        </w:rPr>
      </w:pPr>
      <w:r>
        <w:rPr>
          <w:rFonts w:hint="eastAsia" w:ascii="楷体_GB2312" w:eastAsia="楷体_GB2312"/>
          <w:b/>
          <w:sz w:val="32"/>
          <w:szCs w:val="32"/>
        </w:rPr>
        <w:t>（三）结余分配和结转结余情况。</w:t>
      </w:r>
      <w:r>
        <w:rPr>
          <w:rFonts w:hint="eastAsia" w:ascii="仿宋_GB2312" w:hAnsi="仿宋_GB2312" w:eastAsia="仿宋_GB2312" w:cs="仿宋_GB2312"/>
          <w:color w:val="auto"/>
          <w:sz w:val="32"/>
          <w:szCs w:val="32"/>
          <w:shd w:val="clear" w:color="auto" w:fill="FFFFFF"/>
          <w:lang w:val="en-US" w:eastAsia="zh-CN"/>
        </w:rPr>
        <w:t>2023年度本单位无结转结余资金。</w:t>
      </w:r>
    </w:p>
    <w:p w14:paraId="5EA43A66">
      <w:pPr>
        <w:rPr>
          <w:rFonts w:ascii="黑体" w:hAnsi="黑体" w:eastAsia="黑体"/>
          <w:sz w:val="32"/>
          <w:szCs w:val="32"/>
        </w:rPr>
      </w:pPr>
      <w:r>
        <w:rPr>
          <w:rFonts w:hint="eastAsia" w:ascii="黑体" w:hAnsi="黑体" w:eastAsia="黑体"/>
          <w:sz w:val="32"/>
          <w:szCs w:val="32"/>
        </w:rPr>
        <w:t>三、部门预算绩效分析</w:t>
      </w:r>
    </w:p>
    <w:p w14:paraId="597D7271">
      <w:pPr>
        <w:rPr>
          <w:rFonts w:hint="eastAsia" w:ascii="楷体_GB2312" w:eastAsia="楷体_GB2312"/>
          <w:b/>
          <w:sz w:val="32"/>
          <w:szCs w:val="32"/>
        </w:rPr>
      </w:pPr>
      <w:r>
        <w:rPr>
          <w:rFonts w:hint="eastAsia" w:ascii="楷体_GB2312" w:eastAsia="楷体_GB2312"/>
          <w:b/>
          <w:sz w:val="32"/>
          <w:szCs w:val="32"/>
        </w:rPr>
        <w:t>（一）部门预算总体绩效分析。</w:t>
      </w:r>
    </w:p>
    <w:p w14:paraId="4C2285C6">
      <w:pPr>
        <w:keepNext w:val="0"/>
        <w:keepLines w:val="0"/>
        <w:pageBreakBefore w:val="0"/>
        <w:kinsoku/>
        <w:wordWrap/>
        <w:overflowPunct/>
        <w:topLinePunct w:val="0"/>
        <w:autoSpaceDE/>
        <w:autoSpaceDN/>
        <w:bidi w:val="0"/>
        <w:ind w:firstLine="640" w:firstLineChars="200"/>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1.</w:t>
      </w:r>
      <w:r>
        <w:rPr>
          <w:rFonts w:hint="eastAsia" w:ascii="楷体_GB2312" w:hAnsi="楷体_GB2312" w:eastAsia="楷体_GB2312" w:cs="楷体_GB2312"/>
          <w:color w:val="000000"/>
          <w:kern w:val="0"/>
          <w:sz w:val="32"/>
          <w:szCs w:val="32"/>
          <w:shd w:val="clear" w:color="auto" w:fill="FFFFFF"/>
          <w:lang w:val="zh-CN"/>
        </w:rPr>
        <w:t>履职</w:t>
      </w:r>
      <w:r>
        <w:rPr>
          <w:rFonts w:hint="eastAsia" w:ascii="楷体_GB2312" w:hAnsi="楷体_GB2312" w:eastAsia="楷体_GB2312" w:cs="楷体_GB2312"/>
          <w:color w:val="000000"/>
          <w:kern w:val="0"/>
          <w:sz w:val="32"/>
          <w:szCs w:val="32"/>
          <w:shd w:val="clear" w:color="auto" w:fill="FFFFFF"/>
        </w:rPr>
        <w:t>效能</w:t>
      </w:r>
      <w:r>
        <w:rPr>
          <w:rFonts w:hint="eastAsia" w:ascii="楷体_GB2312" w:hAnsi="楷体_GB2312" w:eastAsia="楷体_GB2312" w:cs="楷体_GB2312"/>
          <w:color w:val="000000"/>
          <w:kern w:val="0"/>
          <w:sz w:val="32"/>
          <w:szCs w:val="32"/>
          <w:shd w:val="clear" w:color="auto" w:fill="FFFFFF"/>
          <w:lang w:val="zh-CN"/>
        </w:rPr>
        <w:t>。</w:t>
      </w:r>
    </w:p>
    <w:p w14:paraId="774F06B5">
      <w:pPr>
        <w:keepNext w:val="0"/>
        <w:keepLines w:val="0"/>
        <w:pageBreakBefore w:val="0"/>
        <w:kinsoku/>
        <w:wordWrap/>
        <w:overflowPunct/>
        <w:topLinePunct w:val="0"/>
        <w:autoSpaceDE/>
        <w:autoSpaceDN/>
        <w:bidi w:val="0"/>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en-US" w:eastAsia="zh-CN"/>
        </w:rPr>
        <w:t>目标1：</w:t>
      </w:r>
      <w:r>
        <w:rPr>
          <w:rFonts w:hint="eastAsia" w:ascii="仿宋_GB2312" w:eastAsia="仿宋_GB2312"/>
          <w:sz w:val="32"/>
          <w:szCs w:val="32"/>
          <w:lang w:val="zh-CN"/>
        </w:rPr>
        <w:t>保障本单位人员基本工资、津贴补贴、社会保障费。</w:t>
      </w:r>
    </w:p>
    <w:p w14:paraId="6CBDF75E">
      <w:pPr>
        <w:keepNext w:val="0"/>
        <w:keepLines w:val="0"/>
        <w:pageBreakBefore w:val="0"/>
        <w:kinsoku/>
        <w:wordWrap/>
        <w:overflowPunct/>
        <w:topLinePunct w:val="0"/>
        <w:autoSpaceDE/>
        <w:autoSpaceDN/>
        <w:bidi w:val="0"/>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目标2：保障本单位正常办公和基本运转。</w:t>
      </w:r>
    </w:p>
    <w:p w14:paraId="0527C50E">
      <w:pPr>
        <w:keepNext w:val="0"/>
        <w:keepLines w:val="0"/>
        <w:pageBreakBefore w:val="0"/>
        <w:kinsoku/>
        <w:wordWrap/>
        <w:overflowPunct/>
        <w:topLinePunct w:val="0"/>
        <w:autoSpaceDE/>
        <w:autoSpaceDN/>
        <w:bidi w:val="0"/>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人员经费、公用经费按时足额保障、按时发放。保障单位正常运行。</w:t>
      </w:r>
    </w:p>
    <w:p w14:paraId="67DBD7B4">
      <w:pPr>
        <w:keepNext w:val="0"/>
        <w:keepLines w:val="0"/>
        <w:pageBreakBefore w:val="0"/>
        <w:kinsoku/>
        <w:wordWrap/>
        <w:overflowPunct/>
        <w:topLinePunct w:val="0"/>
        <w:autoSpaceDE/>
        <w:autoSpaceDN/>
        <w:bidi w:val="0"/>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zh-CN"/>
        </w:rPr>
        <w:t>目标3：加强对全市非法营运超限车辆的打击力度，保障全市人民安全出行。</w:t>
      </w:r>
      <w:r>
        <w:rPr>
          <w:rFonts w:hint="eastAsia" w:ascii="仿宋_GB2312" w:eastAsia="仿宋_GB2312"/>
          <w:sz w:val="32"/>
          <w:szCs w:val="32"/>
          <w:lang w:val="en-US" w:eastAsia="zh-CN"/>
        </w:rPr>
        <w:t>对全市客货运车辆检查次数大于1.5万次，降低非法营运率2%以上。</w:t>
      </w:r>
    </w:p>
    <w:p w14:paraId="486C0917">
      <w:pPr>
        <w:keepNext w:val="0"/>
        <w:keepLines w:val="0"/>
        <w:pageBreakBefore w:val="0"/>
        <w:kinsoku/>
        <w:wordWrap/>
        <w:overflowPunct/>
        <w:topLinePunct w:val="0"/>
        <w:autoSpaceDE/>
        <w:autoSpaceDN/>
        <w:bidi w:val="0"/>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zh-CN"/>
        </w:rPr>
        <w:t>目标4：加强全市道路交通安全管理，保障全市交通的安全建设。</w:t>
      </w:r>
      <w:r>
        <w:rPr>
          <w:rFonts w:hint="eastAsia" w:ascii="仿宋_GB2312" w:eastAsia="仿宋_GB2312"/>
          <w:sz w:val="32"/>
          <w:szCs w:val="32"/>
          <w:lang w:val="en-US" w:eastAsia="zh-CN"/>
        </w:rPr>
        <w:t>严厉打击超限超载，非法营运，为群众营造安全的交通出行环境。</w:t>
      </w:r>
    </w:p>
    <w:p w14:paraId="74030FB3">
      <w:pPr>
        <w:keepNext w:val="0"/>
        <w:keepLines w:val="0"/>
        <w:pageBreakBefore w:val="0"/>
        <w:kinsoku/>
        <w:wordWrap/>
        <w:overflowPunct/>
        <w:topLinePunct w:val="0"/>
        <w:autoSpaceDE/>
        <w:autoSpaceDN/>
        <w:bidi w:val="0"/>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zh-CN"/>
        </w:rPr>
        <w:t>目标5：保障全市路产路权安全。</w:t>
      </w:r>
      <w:r>
        <w:rPr>
          <w:rFonts w:hint="eastAsia" w:ascii="仿宋_GB2312" w:eastAsia="仿宋_GB2312"/>
          <w:sz w:val="32"/>
          <w:szCs w:val="32"/>
          <w:lang w:val="en-US" w:eastAsia="zh-CN"/>
        </w:rPr>
        <w:t>全年常态化进行路政巡查，覆盖全市道路，保障路产路权。</w:t>
      </w:r>
    </w:p>
    <w:p w14:paraId="0E3AB481">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val="zh-CN" w:eastAsia="zh-CN"/>
        </w:rPr>
        <w:t>资金按时拨付，</w:t>
      </w:r>
      <w:r>
        <w:rPr>
          <w:rFonts w:hint="eastAsia" w:ascii="仿宋_GB2312" w:hAnsi="仿宋_GB2312" w:eastAsia="仿宋_GB2312" w:cs="仿宋_GB2312"/>
          <w:color w:val="auto"/>
          <w:sz w:val="32"/>
          <w:szCs w:val="32"/>
          <w:shd w:val="clear" w:color="auto" w:fill="FFFFFF"/>
          <w:lang w:val="en-US" w:eastAsia="zh-CN"/>
        </w:rPr>
        <w:t>保障</w:t>
      </w:r>
      <w:r>
        <w:rPr>
          <w:rFonts w:hint="eastAsia" w:ascii="仿宋_GB2312" w:hAnsi="仿宋_GB2312" w:eastAsia="仿宋_GB2312" w:cs="仿宋_GB2312"/>
          <w:color w:val="auto"/>
          <w:sz w:val="32"/>
          <w:szCs w:val="32"/>
          <w:shd w:val="clear" w:color="auto" w:fill="FFFFFF"/>
          <w:lang w:val="zh-CN" w:eastAsia="zh-CN"/>
        </w:rPr>
        <w:t>各项工作正常运行，</w:t>
      </w:r>
      <w:r>
        <w:rPr>
          <w:rFonts w:hint="eastAsia" w:ascii="仿宋_GB2312" w:hAnsi="仿宋_GB2312" w:eastAsia="仿宋_GB2312" w:cs="仿宋_GB2312"/>
          <w:color w:val="auto"/>
          <w:sz w:val="32"/>
          <w:szCs w:val="32"/>
          <w:shd w:val="clear" w:color="auto" w:fill="FFFFFF"/>
          <w:lang w:val="en-US" w:eastAsia="zh-CN"/>
        </w:rPr>
        <w:t>绩效目标已全部实现。</w:t>
      </w:r>
    </w:p>
    <w:p w14:paraId="6C0C0431">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color w:val="000000"/>
          <w:kern w:val="0"/>
          <w:sz w:val="32"/>
          <w:szCs w:val="32"/>
          <w:shd w:val="clear" w:color="auto" w:fill="FFFFFF"/>
          <w:lang w:val="zh-CN"/>
        </w:rPr>
      </w:pPr>
    </w:p>
    <w:p w14:paraId="4751CDB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eastAsia="仿宋_GB2312"/>
          <w:sz w:val="32"/>
          <w:szCs w:val="32"/>
          <w:lang w:val="zh-CN" w:eastAsia="zh-CN"/>
        </w:rPr>
      </w:pPr>
      <w:r>
        <w:rPr>
          <w:rFonts w:hint="eastAsia" w:eastAsia="仿宋_GB2312"/>
          <w:sz w:val="32"/>
          <w:szCs w:val="32"/>
          <w:lang w:val="en-US" w:eastAsia="zh-CN"/>
        </w:rPr>
        <w:t>2.</w:t>
      </w:r>
      <w:r>
        <w:rPr>
          <w:rFonts w:hint="eastAsia" w:ascii="楷体_GB2312" w:hAnsi="楷体_GB2312" w:eastAsia="楷体_GB2312" w:cs="楷体_GB2312"/>
          <w:color w:val="000000"/>
          <w:kern w:val="0"/>
          <w:sz w:val="32"/>
          <w:szCs w:val="32"/>
          <w:shd w:val="clear" w:color="auto" w:fill="FFFFFF"/>
          <w:lang w:val="zh-CN" w:eastAsia="zh-CN"/>
        </w:rPr>
        <w:t>预算管理。</w:t>
      </w:r>
    </w:p>
    <w:p w14:paraId="5C14B38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eastAsia="仿宋_GB2312"/>
          <w:sz w:val="32"/>
          <w:szCs w:val="32"/>
          <w:lang w:val="zh-CN"/>
        </w:rPr>
      </w:pPr>
      <w:r>
        <w:rPr>
          <w:rFonts w:hint="eastAsia" w:eastAsia="仿宋_GB2312"/>
          <w:sz w:val="32"/>
          <w:szCs w:val="32"/>
          <w:lang w:val="en-US" w:eastAsia="zh-CN"/>
        </w:rPr>
        <w:t>本单位</w:t>
      </w:r>
      <w:r>
        <w:rPr>
          <w:rFonts w:hint="eastAsia" w:eastAsia="仿宋_GB2312"/>
          <w:sz w:val="32"/>
          <w:szCs w:val="32"/>
          <w:lang w:val="zh-CN"/>
        </w:rPr>
        <w:t>严格按要求编制年初部门预算，年初预算编制科学</w:t>
      </w:r>
      <w:r>
        <w:rPr>
          <w:rFonts w:hint="eastAsia" w:eastAsia="仿宋_GB2312"/>
          <w:sz w:val="32"/>
          <w:szCs w:val="32"/>
          <w:lang w:val="en-US" w:eastAsia="zh-CN"/>
        </w:rPr>
        <w:t>合理，我单位2023年6、9、11月均已达到序时进度的80%、90%、90%。，无</w:t>
      </w:r>
      <w:r>
        <w:rPr>
          <w:rFonts w:hint="eastAsia" w:eastAsia="仿宋_GB2312"/>
          <w:sz w:val="32"/>
          <w:szCs w:val="32"/>
          <w:lang w:val="zh-CN"/>
        </w:rPr>
        <w:t>年终结余，</w:t>
      </w:r>
      <w:r>
        <w:rPr>
          <w:rFonts w:hint="eastAsia" w:eastAsia="仿宋_GB2312"/>
          <w:sz w:val="32"/>
          <w:szCs w:val="32"/>
          <w:lang w:val="en-US" w:eastAsia="zh-CN"/>
        </w:rPr>
        <w:t>一般性支出财政拨款年初预算及一般性支出财政拨款预算执行较上年实现压减。</w:t>
      </w:r>
    </w:p>
    <w:p w14:paraId="6B17E76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eastAsia="仿宋_GB2312"/>
          <w:sz w:val="32"/>
          <w:szCs w:val="32"/>
          <w:lang w:val="zh-CN" w:eastAsia="zh-CN"/>
        </w:rPr>
      </w:pPr>
      <w:r>
        <w:rPr>
          <w:rFonts w:hint="eastAsia" w:eastAsia="仿宋_GB2312"/>
          <w:sz w:val="32"/>
          <w:szCs w:val="32"/>
          <w:lang w:val="en-US" w:eastAsia="zh-CN"/>
        </w:rPr>
        <w:t>3</w:t>
      </w:r>
      <w:r>
        <w:rPr>
          <w:rFonts w:hint="eastAsia" w:ascii="楷体_GB2312" w:hAnsi="楷体_GB2312" w:eastAsia="楷体_GB2312" w:cs="楷体_GB2312"/>
          <w:color w:val="000000"/>
          <w:kern w:val="0"/>
          <w:sz w:val="32"/>
          <w:szCs w:val="32"/>
          <w:shd w:val="clear" w:color="auto" w:fill="FFFFFF"/>
          <w:lang w:val="en-US" w:eastAsia="zh-CN"/>
        </w:rPr>
        <w:t>.</w:t>
      </w:r>
      <w:r>
        <w:rPr>
          <w:rFonts w:hint="eastAsia" w:ascii="楷体_GB2312" w:hAnsi="楷体_GB2312" w:eastAsia="楷体_GB2312" w:cs="楷体_GB2312"/>
          <w:color w:val="000000"/>
          <w:kern w:val="0"/>
          <w:sz w:val="32"/>
          <w:szCs w:val="32"/>
          <w:shd w:val="clear" w:color="auto" w:fill="FFFFFF"/>
          <w:lang w:val="zh-CN" w:eastAsia="zh-CN"/>
        </w:rPr>
        <w:t>财务管理。</w:t>
      </w:r>
    </w:p>
    <w:p w14:paraId="78F1A8B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eastAsia="仿宋_GB2312"/>
          <w:sz w:val="32"/>
          <w:szCs w:val="32"/>
          <w:lang w:val="en-US" w:eastAsia="zh-CN"/>
        </w:rPr>
      </w:pPr>
      <w:r>
        <w:rPr>
          <w:rFonts w:hint="eastAsia" w:eastAsia="仿宋_GB2312"/>
          <w:sz w:val="32"/>
          <w:szCs w:val="32"/>
          <w:lang w:val="zh-CN" w:eastAsia="zh-CN"/>
        </w:rPr>
        <w:t>已制定绩效管理制度，内部财务管理制度，部门财务工作岗位设置合理，职责权限明确，并严格实行不相容岗位分离的</w:t>
      </w:r>
      <w:r>
        <w:rPr>
          <w:rFonts w:hint="eastAsia" w:eastAsia="仿宋_GB2312"/>
          <w:sz w:val="32"/>
          <w:szCs w:val="32"/>
          <w:lang w:val="en-US" w:eastAsia="zh-CN"/>
        </w:rPr>
        <w:t>制度，资金使用符合相关财务管理制度规定。</w:t>
      </w:r>
    </w:p>
    <w:p w14:paraId="5AAFC23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val="zh-CN" w:eastAsia="zh-CN"/>
        </w:rPr>
      </w:pPr>
      <w:r>
        <w:rPr>
          <w:rFonts w:hint="eastAsia" w:ascii="楷体_GB2312" w:hAnsi="楷体_GB2312" w:eastAsia="楷体_GB2312" w:cs="楷体_GB2312"/>
          <w:color w:val="000000"/>
          <w:kern w:val="0"/>
          <w:sz w:val="32"/>
          <w:szCs w:val="32"/>
          <w:shd w:val="clear" w:color="auto" w:fill="FFFFFF"/>
          <w:lang w:val="en-US" w:eastAsia="zh-CN"/>
        </w:rPr>
        <w:t>4.</w:t>
      </w:r>
      <w:r>
        <w:rPr>
          <w:rFonts w:hint="eastAsia" w:ascii="楷体_GB2312" w:hAnsi="楷体_GB2312" w:eastAsia="楷体_GB2312" w:cs="楷体_GB2312"/>
          <w:color w:val="000000"/>
          <w:kern w:val="0"/>
          <w:sz w:val="32"/>
          <w:szCs w:val="32"/>
          <w:shd w:val="clear" w:color="auto" w:fill="FFFFFF"/>
          <w:lang w:val="zh-CN" w:eastAsia="zh-CN"/>
        </w:rPr>
        <w:t>资产管理。</w:t>
      </w:r>
    </w:p>
    <w:p w14:paraId="5031C07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eastAsia="仿宋_GB2312"/>
          <w:sz w:val="32"/>
          <w:szCs w:val="32"/>
          <w:lang w:val="zh-CN" w:eastAsia="zh-CN"/>
        </w:rPr>
      </w:pPr>
      <w:r>
        <w:rPr>
          <w:rFonts w:hint="eastAsia" w:eastAsia="仿宋_GB2312"/>
          <w:sz w:val="32"/>
          <w:szCs w:val="32"/>
          <w:lang w:val="en-US" w:eastAsia="zh-CN"/>
        </w:rPr>
        <w:t>2023年</w:t>
      </w:r>
      <w:r>
        <w:rPr>
          <w:rFonts w:hint="eastAsia" w:eastAsia="仿宋_GB2312"/>
          <w:sz w:val="32"/>
          <w:szCs w:val="32"/>
          <w:lang w:val="zh-CN" w:eastAsia="zh-CN"/>
        </w:rPr>
        <w:t>人均资产变化率</w:t>
      </w:r>
      <w:r>
        <w:rPr>
          <w:rFonts w:hint="eastAsia" w:eastAsia="仿宋_GB2312"/>
          <w:sz w:val="32"/>
          <w:szCs w:val="32"/>
          <w:lang w:val="en-US" w:eastAsia="zh-CN"/>
        </w:rPr>
        <w:t>小于28%，办公家具超最低使用年限资产利用率小于49%，本年度及上年度均无闲置资产。</w:t>
      </w:r>
    </w:p>
    <w:p w14:paraId="2CB2AE4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val="zh-CN" w:eastAsia="zh-CN"/>
        </w:rPr>
      </w:pPr>
      <w:r>
        <w:rPr>
          <w:rFonts w:hint="eastAsia" w:ascii="楷体_GB2312" w:hAnsi="楷体_GB2312" w:eastAsia="楷体_GB2312" w:cs="楷体_GB2312"/>
          <w:color w:val="000000"/>
          <w:kern w:val="0"/>
          <w:sz w:val="32"/>
          <w:szCs w:val="32"/>
          <w:shd w:val="clear" w:color="auto" w:fill="FFFFFF"/>
          <w:lang w:val="en-US" w:eastAsia="zh-CN"/>
        </w:rPr>
        <w:t>5.</w:t>
      </w:r>
      <w:r>
        <w:rPr>
          <w:rFonts w:hint="eastAsia" w:ascii="楷体_GB2312" w:hAnsi="楷体_GB2312" w:eastAsia="楷体_GB2312" w:cs="楷体_GB2312"/>
          <w:color w:val="000000"/>
          <w:kern w:val="0"/>
          <w:sz w:val="32"/>
          <w:szCs w:val="32"/>
          <w:shd w:val="clear" w:color="auto" w:fill="FFFFFF"/>
          <w:lang w:val="zh-CN" w:eastAsia="zh-CN"/>
        </w:rPr>
        <w:t>采购管理。</w:t>
      </w:r>
    </w:p>
    <w:p w14:paraId="54A8567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jc w:val="left"/>
        <w:textAlignment w:val="auto"/>
        <w:rPr>
          <w:rFonts w:hint="eastAsia" w:eastAsia="仿宋_GB2312"/>
          <w:sz w:val="32"/>
          <w:szCs w:val="32"/>
          <w:lang w:val="zh-CN" w:eastAsia="zh-CN"/>
        </w:rPr>
      </w:pPr>
      <w:r>
        <w:rPr>
          <w:rFonts w:hint="eastAsia" w:eastAsia="仿宋_GB2312"/>
          <w:sz w:val="32"/>
          <w:szCs w:val="32"/>
          <w:lang w:val="en-US" w:eastAsia="zh-CN"/>
        </w:rPr>
        <w:t>采购执行中</w:t>
      </w:r>
      <w:r>
        <w:rPr>
          <w:rFonts w:hint="eastAsia" w:eastAsia="仿宋_GB2312"/>
          <w:sz w:val="32"/>
          <w:szCs w:val="32"/>
          <w:lang w:val="zh-CN" w:eastAsia="zh-CN"/>
        </w:rPr>
        <w:t>严格执行政府采购促进中小企业发展相关管理办法。</w:t>
      </w:r>
    </w:p>
    <w:p w14:paraId="5AD44619">
      <w:pPr>
        <w:ind w:firstLine="643" w:firstLineChars="200"/>
        <w:rPr>
          <w:rFonts w:eastAsia="仿宋_GB2312"/>
          <w:sz w:val="32"/>
          <w:szCs w:val="32"/>
          <w:lang w:val="zh-CN"/>
        </w:rPr>
      </w:pPr>
      <w:r>
        <w:rPr>
          <w:rFonts w:hint="eastAsia" w:ascii="楷体_GB2312" w:eastAsia="楷体_GB2312"/>
          <w:b/>
          <w:sz w:val="32"/>
          <w:szCs w:val="32"/>
        </w:rPr>
        <w:t>（二）部门预算项目绩效分析。</w:t>
      </w:r>
      <w:r>
        <w:rPr>
          <w:rFonts w:hint="eastAsia" w:eastAsia="仿宋_GB2312"/>
          <w:sz w:val="32"/>
          <w:szCs w:val="32"/>
          <w:lang w:val="zh-CN"/>
        </w:rPr>
        <w:t>填报以下数据，并根据部门预算绩效评价指标体系“项目绩效”涉及二、三级指标进行逐项绩效分析并评分，依次包括项目决策、项目执行、目标实现等情况。</w:t>
      </w:r>
    </w:p>
    <w:p w14:paraId="41E445CB">
      <w:pPr>
        <w:ind w:firstLine="640" w:firstLineChars="200"/>
        <w:rPr>
          <w:rFonts w:eastAsia="仿宋_GB2312"/>
          <w:sz w:val="32"/>
          <w:szCs w:val="32"/>
          <w:lang w:val="zh-CN"/>
        </w:rPr>
      </w:pPr>
      <w:r>
        <w:rPr>
          <w:rFonts w:hint="eastAsia" w:eastAsia="仿宋_GB2312"/>
          <w:sz w:val="32"/>
          <w:szCs w:val="32"/>
          <w:lang w:val="zh-CN"/>
        </w:rPr>
        <w:t>常年项目绩效分析。该类项目总数</w:t>
      </w:r>
      <w:r>
        <w:rPr>
          <w:rFonts w:hint="eastAsia" w:eastAsia="仿宋_GB2312"/>
          <w:sz w:val="32"/>
          <w:szCs w:val="32"/>
          <w:lang w:val="en-US" w:eastAsia="zh-CN"/>
        </w:rPr>
        <w:t>3</w:t>
      </w:r>
      <w:r>
        <w:rPr>
          <w:rFonts w:hint="eastAsia" w:eastAsia="仿宋_GB2312"/>
          <w:sz w:val="32"/>
          <w:szCs w:val="32"/>
          <w:lang w:val="zh-CN"/>
        </w:rPr>
        <w:t>个，涉及预算总金额</w:t>
      </w:r>
      <w:r>
        <w:rPr>
          <w:rFonts w:hint="eastAsia" w:eastAsia="仿宋_GB2312"/>
          <w:sz w:val="32"/>
          <w:szCs w:val="32"/>
          <w:lang w:val="en-US" w:eastAsia="zh-CN"/>
        </w:rPr>
        <w:t>20</w:t>
      </w:r>
      <w:r>
        <w:rPr>
          <w:rFonts w:hint="eastAsia" w:eastAsia="仿宋_GB2312"/>
          <w:sz w:val="32"/>
          <w:szCs w:val="32"/>
          <w:lang w:val="zh-CN"/>
        </w:rPr>
        <w:t>万元，1—12月预算执行总体进度为</w:t>
      </w:r>
      <w:r>
        <w:rPr>
          <w:rFonts w:hint="eastAsia" w:eastAsia="仿宋_GB2312"/>
          <w:sz w:val="32"/>
          <w:szCs w:val="32"/>
          <w:lang w:val="en-US" w:eastAsia="zh-CN"/>
        </w:rPr>
        <w:t>100</w:t>
      </w:r>
      <w:r>
        <w:rPr>
          <w:rFonts w:hint="eastAsia" w:eastAsia="仿宋_GB2312"/>
          <w:sz w:val="32"/>
          <w:szCs w:val="32"/>
          <w:lang w:val="zh-CN"/>
        </w:rPr>
        <w:t>%，其中：预算结余率大于10%的项目共计</w:t>
      </w:r>
      <w:r>
        <w:rPr>
          <w:rFonts w:hint="eastAsia" w:eastAsia="仿宋_GB2312"/>
          <w:sz w:val="32"/>
          <w:szCs w:val="32"/>
          <w:lang w:val="en-US" w:eastAsia="zh-CN"/>
        </w:rPr>
        <w:t>0</w:t>
      </w:r>
      <w:r>
        <w:rPr>
          <w:rFonts w:hint="eastAsia" w:eastAsia="仿宋_GB2312"/>
          <w:sz w:val="32"/>
          <w:szCs w:val="32"/>
          <w:lang w:val="zh-CN"/>
        </w:rPr>
        <w:t>个。</w:t>
      </w:r>
    </w:p>
    <w:p w14:paraId="6634B12D">
      <w:pPr>
        <w:ind w:firstLine="640" w:firstLineChars="200"/>
        <w:rPr>
          <w:rFonts w:eastAsia="仿宋_GB2312"/>
          <w:sz w:val="32"/>
          <w:szCs w:val="32"/>
          <w:lang w:val="zh-CN"/>
        </w:rPr>
      </w:pPr>
      <w:r>
        <w:rPr>
          <w:rFonts w:hint="eastAsia" w:eastAsia="仿宋_GB2312"/>
          <w:sz w:val="32"/>
          <w:szCs w:val="32"/>
          <w:lang w:val="zh-CN"/>
        </w:rPr>
        <w:t xml:space="preserve">阶段（一次性）项目绩效分析。该类项目总数 </w:t>
      </w:r>
      <w:r>
        <w:rPr>
          <w:rFonts w:hint="eastAsia" w:eastAsia="仿宋_GB2312"/>
          <w:sz w:val="32"/>
          <w:szCs w:val="32"/>
          <w:lang w:val="en-US" w:eastAsia="zh-CN"/>
        </w:rPr>
        <w:t>0</w:t>
      </w:r>
      <w:r>
        <w:rPr>
          <w:rFonts w:hint="eastAsia" w:eastAsia="仿宋_GB2312"/>
          <w:sz w:val="32"/>
          <w:szCs w:val="32"/>
          <w:lang w:val="zh-CN"/>
        </w:rPr>
        <w:t xml:space="preserve">个，涉及预算总金额  </w:t>
      </w:r>
      <w:r>
        <w:rPr>
          <w:rFonts w:hint="eastAsia" w:eastAsia="仿宋_GB2312"/>
          <w:sz w:val="32"/>
          <w:szCs w:val="32"/>
          <w:lang w:val="en-US" w:eastAsia="zh-CN"/>
        </w:rPr>
        <w:t>0</w:t>
      </w:r>
      <w:r>
        <w:rPr>
          <w:rFonts w:hint="eastAsia" w:eastAsia="仿宋_GB2312"/>
          <w:sz w:val="32"/>
          <w:szCs w:val="32"/>
          <w:lang w:val="zh-CN"/>
        </w:rPr>
        <w:t xml:space="preserve">万元，1—12月预算执行总体进度为  </w:t>
      </w:r>
      <w:r>
        <w:rPr>
          <w:rFonts w:hint="eastAsia" w:eastAsia="仿宋_GB2312"/>
          <w:sz w:val="32"/>
          <w:szCs w:val="32"/>
          <w:lang w:val="en-US" w:eastAsia="zh-CN"/>
        </w:rPr>
        <w:t>0</w:t>
      </w:r>
      <w:r>
        <w:rPr>
          <w:rFonts w:hint="eastAsia" w:eastAsia="仿宋_GB2312"/>
          <w:sz w:val="32"/>
          <w:szCs w:val="32"/>
          <w:lang w:val="zh-CN"/>
        </w:rPr>
        <w:t xml:space="preserve"> %，其中：预算结余率大于10%的项目共计  </w:t>
      </w:r>
      <w:r>
        <w:rPr>
          <w:rFonts w:hint="eastAsia" w:eastAsia="仿宋_GB2312"/>
          <w:sz w:val="32"/>
          <w:szCs w:val="32"/>
          <w:lang w:val="en-US" w:eastAsia="zh-CN"/>
        </w:rPr>
        <w:t>0</w:t>
      </w:r>
      <w:r>
        <w:rPr>
          <w:rFonts w:hint="eastAsia" w:eastAsia="仿宋_GB2312"/>
          <w:sz w:val="32"/>
          <w:szCs w:val="32"/>
          <w:lang w:val="zh-CN"/>
        </w:rPr>
        <w:t xml:space="preserve"> 个。</w:t>
      </w:r>
    </w:p>
    <w:p w14:paraId="54ED24C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val="zh-CN" w:eastAsia="zh-CN"/>
        </w:rPr>
      </w:pPr>
      <w:r>
        <w:rPr>
          <w:rFonts w:hint="eastAsia" w:ascii="楷体_GB2312" w:hAnsi="楷体_GB2312" w:eastAsia="楷体_GB2312" w:cs="楷体_GB2312"/>
          <w:color w:val="000000"/>
          <w:kern w:val="0"/>
          <w:sz w:val="32"/>
          <w:szCs w:val="32"/>
          <w:shd w:val="clear" w:color="auto" w:fill="FFFFFF"/>
          <w:lang w:val="en-US" w:eastAsia="zh-CN"/>
        </w:rPr>
        <w:t>1.</w:t>
      </w:r>
      <w:r>
        <w:rPr>
          <w:rFonts w:hint="eastAsia" w:ascii="楷体_GB2312" w:hAnsi="楷体_GB2312" w:eastAsia="楷体_GB2312" w:cs="楷体_GB2312"/>
          <w:color w:val="000000"/>
          <w:kern w:val="0"/>
          <w:sz w:val="32"/>
          <w:szCs w:val="32"/>
          <w:shd w:val="clear" w:color="auto" w:fill="FFFFFF"/>
          <w:lang w:val="zh-CN" w:eastAsia="zh-CN"/>
        </w:rPr>
        <w:t>项目决策。</w:t>
      </w:r>
    </w:p>
    <w:p w14:paraId="3B77FCCF">
      <w:pPr>
        <w:ind w:firstLine="640" w:firstLineChars="200"/>
        <w:rPr>
          <w:rFonts w:hint="eastAsia" w:eastAsia="仿宋_GB2312"/>
          <w:sz w:val="32"/>
          <w:szCs w:val="32"/>
          <w:lang w:val="zh-CN" w:eastAsia="zh-CN"/>
        </w:rPr>
      </w:pPr>
      <w:r>
        <w:rPr>
          <w:rFonts w:hint="eastAsia" w:eastAsia="仿宋_GB2312"/>
          <w:sz w:val="32"/>
          <w:szCs w:val="32"/>
          <w:lang w:val="en-US" w:eastAsia="zh-CN"/>
        </w:rPr>
        <w:t>本单位</w:t>
      </w:r>
      <w:r>
        <w:rPr>
          <w:rFonts w:hint="eastAsia" w:eastAsia="仿宋_GB2312"/>
          <w:sz w:val="32"/>
          <w:szCs w:val="32"/>
          <w:lang w:val="zh-CN" w:eastAsia="zh-CN"/>
        </w:rPr>
        <w:t>预算项目设立与部门职能职责相符、充分履行项目申报论证程序，项目绩效目标制定符合科学合理、规范完整、量化细化、预算匹配的要求。</w:t>
      </w:r>
    </w:p>
    <w:p w14:paraId="0F68B3D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val="zh-CN" w:eastAsia="zh-CN"/>
        </w:rPr>
      </w:pPr>
      <w:r>
        <w:rPr>
          <w:rFonts w:hint="eastAsia" w:ascii="楷体_GB2312" w:hAnsi="楷体_GB2312" w:eastAsia="楷体_GB2312" w:cs="楷体_GB2312"/>
          <w:color w:val="000000"/>
          <w:kern w:val="0"/>
          <w:sz w:val="32"/>
          <w:szCs w:val="32"/>
          <w:shd w:val="clear" w:color="auto" w:fill="FFFFFF"/>
          <w:lang w:val="en-US" w:eastAsia="zh-CN"/>
        </w:rPr>
        <w:t>2.</w:t>
      </w:r>
      <w:r>
        <w:rPr>
          <w:rFonts w:hint="eastAsia" w:ascii="楷体_GB2312" w:hAnsi="楷体_GB2312" w:eastAsia="楷体_GB2312" w:cs="楷体_GB2312"/>
          <w:color w:val="000000"/>
          <w:kern w:val="0"/>
          <w:sz w:val="32"/>
          <w:szCs w:val="32"/>
          <w:shd w:val="clear" w:color="auto" w:fill="FFFFFF"/>
          <w:lang w:val="zh-CN" w:eastAsia="zh-CN"/>
        </w:rPr>
        <w:t>项目执行。</w:t>
      </w:r>
    </w:p>
    <w:p w14:paraId="267C6CA0">
      <w:pPr>
        <w:ind w:firstLine="640" w:firstLineChars="200"/>
        <w:rPr>
          <w:rFonts w:hint="eastAsia" w:eastAsia="仿宋_GB2312"/>
          <w:sz w:val="32"/>
          <w:szCs w:val="32"/>
          <w:lang w:val="zh-CN"/>
        </w:rPr>
      </w:pPr>
      <w:r>
        <w:rPr>
          <w:rFonts w:hint="eastAsia" w:eastAsia="仿宋_GB2312"/>
          <w:sz w:val="32"/>
          <w:szCs w:val="32"/>
          <w:lang w:val="en-US" w:eastAsia="zh-CN"/>
        </w:rPr>
        <w:t>本单位</w:t>
      </w:r>
      <w:r>
        <w:rPr>
          <w:rFonts w:hint="eastAsia" w:eastAsia="仿宋_GB2312"/>
          <w:sz w:val="32"/>
          <w:szCs w:val="32"/>
          <w:lang w:val="zh-CN"/>
        </w:rPr>
        <w:t>项目实际列支内容与项目绩效目标设置方向相符。</w:t>
      </w:r>
      <w:r>
        <w:rPr>
          <w:rFonts w:hint="eastAsia" w:eastAsia="仿宋_GB2312"/>
          <w:sz w:val="32"/>
          <w:szCs w:val="32"/>
          <w:lang w:val="en-US" w:eastAsia="zh-CN"/>
        </w:rPr>
        <w:t>无</w:t>
      </w:r>
      <w:r>
        <w:rPr>
          <w:rFonts w:hint="eastAsia" w:eastAsia="仿宋_GB2312"/>
          <w:sz w:val="32"/>
          <w:szCs w:val="32"/>
          <w:lang w:val="zh-CN"/>
        </w:rPr>
        <w:t>项目预算调整，预算项目预算执行进度在6、9、11月达到序时进度的80%、90%、90%，</w:t>
      </w:r>
      <w:r>
        <w:rPr>
          <w:rFonts w:hint="eastAsia" w:eastAsia="仿宋_GB2312"/>
          <w:sz w:val="32"/>
          <w:szCs w:val="32"/>
          <w:lang w:val="en-US" w:eastAsia="zh-CN"/>
        </w:rPr>
        <w:t>无年终预算结余。</w:t>
      </w:r>
    </w:p>
    <w:p w14:paraId="19091C9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val="zh-CN" w:eastAsia="zh-CN"/>
        </w:rPr>
      </w:pPr>
      <w:r>
        <w:rPr>
          <w:rFonts w:hint="eastAsia" w:ascii="楷体_GB2312" w:hAnsi="楷体_GB2312" w:eastAsia="楷体_GB2312" w:cs="楷体_GB2312"/>
          <w:color w:val="000000"/>
          <w:kern w:val="0"/>
          <w:sz w:val="32"/>
          <w:szCs w:val="32"/>
          <w:shd w:val="clear" w:color="auto" w:fill="FFFFFF"/>
          <w:lang w:val="en-US" w:eastAsia="zh-CN"/>
        </w:rPr>
        <w:t>3.</w:t>
      </w:r>
      <w:r>
        <w:rPr>
          <w:rFonts w:hint="eastAsia" w:ascii="楷体_GB2312" w:hAnsi="楷体_GB2312" w:eastAsia="楷体_GB2312" w:cs="楷体_GB2312"/>
          <w:color w:val="000000"/>
          <w:kern w:val="0"/>
          <w:sz w:val="32"/>
          <w:szCs w:val="32"/>
          <w:shd w:val="clear" w:color="auto" w:fill="FFFFFF"/>
          <w:lang w:val="zh-CN" w:eastAsia="zh-CN"/>
        </w:rPr>
        <w:t>目标实现。</w:t>
      </w:r>
    </w:p>
    <w:p w14:paraId="1D94EE9E">
      <w:pPr>
        <w:ind w:firstLine="640" w:firstLineChars="200"/>
        <w:rPr>
          <w:rFonts w:hint="eastAsia" w:eastAsia="仿宋_GB2312"/>
          <w:sz w:val="32"/>
          <w:szCs w:val="32"/>
          <w:lang w:val="zh-CN"/>
        </w:rPr>
      </w:pPr>
      <w:r>
        <w:rPr>
          <w:rFonts w:hint="eastAsia" w:eastAsia="仿宋_GB2312"/>
          <w:sz w:val="32"/>
          <w:szCs w:val="32"/>
          <w:lang w:val="zh-CN"/>
        </w:rPr>
        <w:t>部门预算项目绩效目标中</w:t>
      </w:r>
      <w:r>
        <w:rPr>
          <w:rFonts w:hint="eastAsia" w:eastAsia="仿宋_GB2312"/>
          <w:sz w:val="32"/>
          <w:szCs w:val="32"/>
          <w:lang w:val="en-US" w:eastAsia="zh-CN"/>
        </w:rPr>
        <w:t>全部</w:t>
      </w:r>
      <w:r>
        <w:rPr>
          <w:rFonts w:hint="eastAsia" w:eastAsia="仿宋_GB2312"/>
          <w:sz w:val="32"/>
          <w:szCs w:val="32"/>
          <w:lang w:val="zh-CN"/>
        </w:rPr>
        <w:t>指标</w:t>
      </w:r>
      <w:r>
        <w:rPr>
          <w:rFonts w:hint="eastAsia" w:eastAsia="仿宋_GB2312"/>
          <w:sz w:val="32"/>
          <w:szCs w:val="32"/>
          <w:lang w:val="en-US" w:eastAsia="zh-CN"/>
        </w:rPr>
        <w:t>均已</w:t>
      </w:r>
      <w:r>
        <w:rPr>
          <w:rFonts w:hint="eastAsia" w:eastAsia="仿宋_GB2312"/>
          <w:sz w:val="32"/>
          <w:szCs w:val="32"/>
          <w:lang w:val="zh-CN"/>
        </w:rPr>
        <w:t>完成，项目绩效目标实现程度与预期目标</w:t>
      </w:r>
      <w:r>
        <w:rPr>
          <w:rFonts w:hint="eastAsia" w:eastAsia="仿宋_GB2312"/>
          <w:sz w:val="32"/>
          <w:szCs w:val="32"/>
          <w:lang w:val="en-US" w:eastAsia="zh-CN"/>
        </w:rPr>
        <w:t>无</w:t>
      </w:r>
      <w:r>
        <w:rPr>
          <w:rFonts w:hint="eastAsia" w:eastAsia="仿宋_GB2312"/>
          <w:sz w:val="32"/>
          <w:szCs w:val="32"/>
          <w:lang w:val="zh-CN"/>
        </w:rPr>
        <w:t>偏离。</w:t>
      </w:r>
    </w:p>
    <w:p w14:paraId="20EBEACF">
      <w:pPr>
        <w:numPr>
          <w:ilvl w:val="0"/>
          <w:numId w:val="4"/>
        </w:numPr>
        <w:ind w:firstLine="643" w:firstLineChars="200"/>
        <w:rPr>
          <w:rFonts w:hint="eastAsia" w:ascii="楷体_GB2312" w:eastAsia="楷体_GB2312"/>
          <w:b/>
          <w:sz w:val="32"/>
          <w:szCs w:val="32"/>
        </w:rPr>
      </w:pPr>
      <w:r>
        <w:rPr>
          <w:rFonts w:hint="eastAsia" w:ascii="楷体_GB2312" w:eastAsia="楷体_GB2312"/>
          <w:b/>
          <w:sz w:val="32"/>
          <w:szCs w:val="32"/>
        </w:rPr>
        <w:t>重点领域绩效分析。</w:t>
      </w:r>
    </w:p>
    <w:p w14:paraId="1469DDF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eastAsia="仿宋_GB2312"/>
          <w:sz w:val="32"/>
          <w:szCs w:val="32"/>
          <w:lang w:val="zh-CN"/>
        </w:rPr>
      </w:pPr>
      <w:r>
        <w:rPr>
          <w:rFonts w:hint="eastAsia" w:eastAsia="仿宋_GB2312"/>
          <w:sz w:val="32"/>
          <w:szCs w:val="32"/>
          <w:lang w:val="en-US" w:eastAsia="zh-CN"/>
        </w:rPr>
        <w:t>我单位</w:t>
      </w:r>
      <w:r>
        <w:rPr>
          <w:rFonts w:hint="eastAsia" w:eastAsia="仿宋_GB2312"/>
          <w:sz w:val="32"/>
          <w:szCs w:val="32"/>
          <w:lang w:val="zh-CN"/>
        </w:rPr>
        <w:t>2023年度</w:t>
      </w:r>
      <w:r>
        <w:rPr>
          <w:rFonts w:hint="eastAsia" w:eastAsia="仿宋_GB2312"/>
          <w:sz w:val="32"/>
          <w:szCs w:val="32"/>
          <w:lang w:val="en-US" w:eastAsia="zh-CN"/>
        </w:rPr>
        <w:t>不</w:t>
      </w:r>
      <w:r>
        <w:rPr>
          <w:rFonts w:hint="eastAsia" w:eastAsia="仿宋_GB2312"/>
          <w:sz w:val="32"/>
          <w:szCs w:val="32"/>
          <w:lang w:val="zh-CN"/>
        </w:rPr>
        <w:t>涉及国有资本、行政事业性国有资产、债券资金、政府采购和政府购买服务等重点领域。</w:t>
      </w:r>
    </w:p>
    <w:p w14:paraId="3C1363D4">
      <w:pPr>
        <w:numPr>
          <w:ilvl w:val="0"/>
          <w:numId w:val="4"/>
        </w:numPr>
        <w:ind w:left="0" w:leftChars="0" w:firstLine="643" w:firstLineChars="200"/>
        <w:rPr>
          <w:rFonts w:hint="eastAsia" w:ascii="楷体_GB2312" w:eastAsia="楷体_GB2312"/>
          <w:b/>
          <w:sz w:val="32"/>
          <w:szCs w:val="32"/>
        </w:rPr>
      </w:pPr>
      <w:r>
        <w:rPr>
          <w:rFonts w:hint="eastAsia" w:ascii="楷体_GB2312" w:eastAsia="楷体_GB2312"/>
          <w:b/>
          <w:sz w:val="32"/>
          <w:szCs w:val="32"/>
        </w:rPr>
        <w:t>绩效结果应用情况。</w:t>
      </w:r>
    </w:p>
    <w:p w14:paraId="0AD195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640" w:firstLineChars="200"/>
        <w:textAlignment w:val="auto"/>
        <w:rPr>
          <w:rFonts w:eastAsia="仿宋_GB2312"/>
          <w:sz w:val="32"/>
          <w:szCs w:val="32"/>
          <w:lang w:val="zh-CN"/>
        </w:rPr>
      </w:pPr>
      <w:r>
        <w:rPr>
          <w:rFonts w:hint="eastAsia" w:ascii="仿宋_GB2312" w:hAnsi="仿宋_GB2312" w:eastAsia="仿宋_GB2312" w:cs="仿宋_GB2312"/>
          <w:color w:val="auto"/>
          <w:sz w:val="32"/>
          <w:szCs w:val="32"/>
          <w:shd w:val="clear" w:color="auto" w:fill="FFFFFF"/>
          <w:lang w:val="en-US" w:eastAsia="zh-CN"/>
        </w:rPr>
        <w:t>我单位</w:t>
      </w:r>
      <w:r>
        <w:rPr>
          <w:rFonts w:hint="eastAsia" w:ascii="仿宋_GB2312" w:hAnsi="仿宋_GB2312" w:eastAsia="仿宋_GB2312" w:cs="仿宋_GB2312"/>
          <w:color w:val="auto"/>
          <w:sz w:val="32"/>
          <w:szCs w:val="32"/>
          <w:shd w:val="clear" w:color="auto" w:fill="FFFFFF"/>
          <w:lang w:val="zh-CN" w:eastAsia="zh-CN"/>
        </w:rPr>
        <w:t>按绩效自评公开要求将相关绩效信息随同决算公开，针对绩效管理过程中提出的问题进行全面整改，在规定时间内向财政部门反馈问题整改及绩效结果应用报告，问题整改到位、结果应用充分。</w:t>
      </w:r>
    </w:p>
    <w:p w14:paraId="2FE49882">
      <w:pPr>
        <w:ind w:firstLine="640" w:firstLineChars="200"/>
        <w:rPr>
          <w:rFonts w:ascii="黑体" w:hAnsi="黑体" w:eastAsia="黑体"/>
          <w:sz w:val="32"/>
          <w:szCs w:val="32"/>
        </w:rPr>
      </w:pPr>
      <w:r>
        <w:rPr>
          <w:rFonts w:hint="eastAsia" w:ascii="黑体" w:hAnsi="黑体" w:eastAsia="黑体"/>
          <w:sz w:val="32"/>
          <w:szCs w:val="32"/>
        </w:rPr>
        <w:t>四、评价结论及建议</w:t>
      </w:r>
    </w:p>
    <w:p w14:paraId="3FA09E31">
      <w:pPr>
        <w:ind w:firstLine="643" w:firstLineChars="200"/>
        <w:rPr>
          <w:rFonts w:hint="eastAsia" w:ascii="楷体_GB2312" w:eastAsia="楷体_GB2312"/>
          <w:b/>
          <w:sz w:val="32"/>
          <w:szCs w:val="32"/>
        </w:rPr>
      </w:pPr>
      <w:r>
        <w:rPr>
          <w:rFonts w:hint="eastAsia" w:ascii="楷体_GB2312" w:eastAsia="楷体_GB2312"/>
          <w:b/>
          <w:sz w:val="32"/>
          <w:szCs w:val="32"/>
        </w:rPr>
        <w:t>（一）评价结论。</w:t>
      </w:r>
    </w:p>
    <w:p w14:paraId="283A7C78">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截止202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eastAsia="zh-CN"/>
        </w:rPr>
        <w:t>年12月底，我单位整体绩效目标制定、目标完成、预算编制情况等均准确合理，支出控制、预算动态调整、执行进度、预算完成情况良好，无任何违规违纪等情况，</w:t>
      </w:r>
      <w:r>
        <w:rPr>
          <w:rFonts w:hint="eastAsia" w:ascii="仿宋_GB2312" w:hAnsi="仿宋_GB2312" w:eastAsia="仿宋_GB2312" w:cs="仿宋_GB2312"/>
          <w:color w:val="auto"/>
          <w:sz w:val="32"/>
          <w:szCs w:val="32"/>
          <w:shd w:val="clear" w:color="auto" w:fill="FFFFFF"/>
          <w:lang w:val="en-US" w:eastAsia="zh-CN"/>
        </w:rPr>
        <w:t>部门整体绩效自评得分93分，部门预算项目自评得分100分</w:t>
      </w:r>
      <w:r>
        <w:rPr>
          <w:rFonts w:hint="eastAsia" w:ascii="仿宋_GB2312" w:hAnsi="仿宋_GB2312" w:eastAsia="仿宋_GB2312" w:cs="仿宋_GB2312"/>
          <w:color w:val="auto"/>
          <w:sz w:val="32"/>
          <w:szCs w:val="32"/>
          <w:shd w:val="clear" w:color="auto" w:fill="FFFFFF"/>
          <w:lang w:val="zh-CN" w:eastAsia="zh-CN"/>
        </w:rPr>
        <w:t>。</w:t>
      </w:r>
    </w:p>
    <w:p w14:paraId="22595144">
      <w:pPr>
        <w:widowControl/>
        <w:adjustRightInd w:val="0"/>
        <w:snapToGrid w:val="0"/>
        <w:spacing w:line="578" w:lineRule="exact"/>
        <w:ind w:firstLine="643" w:firstLineChars="200"/>
        <w:contextualSpacing/>
        <w:jc w:val="left"/>
        <w:rPr>
          <w:rFonts w:hint="eastAsia" w:ascii="楷体_GB2312" w:eastAsia="楷体_GB2312"/>
          <w:b/>
          <w:sz w:val="32"/>
          <w:szCs w:val="32"/>
        </w:rPr>
      </w:pPr>
      <w:r>
        <w:rPr>
          <w:rFonts w:hint="eastAsia" w:ascii="楷体_GB2312" w:eastAsia="楷体_GB2312"/>
          <w:b/>
          <w:sz w:val="32"/>
          <w:szCs w:val="32"/>
        </w:rPr>
        <w:t>（二）存在问题。</w:t>
      </w:r>
    </w:p>
    <w:p w14:paraId="1F3BBCBF">
      <w:pPr>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在预算绩效项目设置、目标设置中，应当与时俱进，根据实际情况积极作出改变。在预算目标设置及预算执行方面还需继续努力，继续提升。</w:t>
      </w:r>
    </w:p>
    <w:p w14:paraId="52C5B984">
      <w:pPr>
        <w:widowControl/>
        <w:numPr>
          <w:ilvl w:val="0"/>
          <w:numId w:val="5"/>
        </w:numPr>
        <w:adjustRightInd w:val="0"/>
        <w:snapToGrid w:val="0"/>
        <w:spacing w:line="580" w:lineRule="exact"/>
        <w:ind w:firstLine="643" w:firstLineChars="200"/>
        <w:contextualSpacing/>
        <w:jc w:val="left"/>
        <w:rPr>
          <w:rFonts w:hint="eastAsia" w:ascii="楷体_GB2312" w:eastAsia="楷体_GB2312"/>
          <w:b/>
          <w:sz w:val="32"/>
          <w:szCs w:val="32"/>
        </w:rPr>
      </w:pPr>
      <w:r>
        <w:rPr>
          <w:rFonts w:hint="eastAsia" w:ascii="楷体_GB2312" w:eastAsia="楷体_GB2312"/>
          <w:b/>
          <w:sz w:val="32"/>
          <w:szCs w:val="32"/>
        </w:rPr>
        <w:t>改进建议。</w:t>
      </w:r>
    </w:p>
    <w:p w14:paraId="2674068A">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改进管理措施，提高管理水平，降低运行成本，提高资源使用的效率和效益；加强各股室、站点对绩效评价的认识，在实施阶段，做好监督，跟踪管理；实施后及时总结自评。</w:t>
      </w:r>
    </w:p>
    <w:p w14:paraId="1CBDB6D7">
      <w:pPr>
        <w:ind w:firstLine="640" w:firstLineChars="200"/>
        <w:rPr>
          <w:rFonts w:hint="eastAsia" w:ascii="仿宋_GB2312" w:hAnsi="仿宋_GB2312" w:eastAsia="仿宋_GB2312" w:cs="仿宋_GB2312"/>
          <w:color w:val="auto"/>
          <w:sz w:val="32"/>
          <w:szCs w:val="32"/>
          <w:shd w:val="clear" w:color="auto" w:fill="FFFFFF"/>
          <w:lang w:val="en-US" w:eastAsia="zh-CN"/>
        </w:rPr>
      </w:pPr>
    </w:p>
    <w:p w14:paraId="43358F56">
      <w:pPr>
        <w:ind w:firstLine="640" w:firstLineChars="200"/>
        <w:rPr>
          <w:rFonts w:eastAsia="仿宋_GB2312"/>
          <w:sz w:val="32"/>
          <w:szCs w:val="32"/>
          <w:lang w:val="zh-CN"/>
        </w:rPr>
      </w:pPr>
    </w:p>
    <w:p w14:paraId="486F3145">
      <w:pPr>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p w14:paraId="3FCE9810"/>
    <w:p w14:paraId="4F52CB5A"/>
    <w:p w14:paraId="1C9D60A3">
      <w:pPr>
        <w:pStyle w:val="2"/>
      </w:pPr>
    </w:p>
    <w:p w14:paraId="6CBC6602"/>
    <w:p w14:paraId="516C1A44">
      <w:pPr>
        <w:pStyle w:val="2"/>
      </w:pPr>
    </w:p>
    <w:p w14:paraId="0DD23872"/>
    <w:p w14:paraId="7A88D3A1"/>
    <w:p w14:paraId="60CCB617">
      <w:pPr>
        <w:pStyle w:val="33"/>
        <w:autoSpaceDE/>
        <w:autoSpaceDN/>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万源市交通运输综合行政执法大队</w:t>
      </w:r>
    </w:p>
    <w:p w14:paraId="55A3E3CD">
      <w:pPr>
        <w:pStyle w:val="33"/>
        <w:autoSpaceDE/>
        <w:autoSpaceDN/>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eastAsia="zh-CN"/>
        </w:rPr>
        <w:t>超限站点运行费</w:t>
      </w:r>
      <w:r>
        <w:rPr>
          <w:rFonts w:hint="eastAsia" w:ascii="方正小标宋简体" w:hAnsi="方正小标宋简体" w:eastAsia="方正小标宋简体" w:cs="方正小标宋简体"/>
          <w:color w:val="auto"/>
          <w:kern w:val="2"/>
          <w:sz w:val="44"/>
          <w:szCs w:val="44"/>
          <w:lang w:val="en-US"/>
        </w:rPr>
        <w:t>项目202</w:t>
      </w:r>
      <w:r>
        <w:rPr>
          <w:rFonts w:hint="eastAsia" w:ascii="方正小标宋简体" w:hAnsi="方正小标宋简体" w:eastAsia="方正小标宋简体" w:cs="方正小标宋简体"/>
          <w:color w:val="auto"/>
          <w:kern w:val="2"/>
          <w:sz w:val="44"/>
          <w:szCs w:val="44"/>
          <w:lang w:val="en-US" w:eastAsia="zh-CN"/>
        </w:rPr>
        <w:t>3</w:t>
      </w:r>
      <w:r>
        <w:rPr>
          <w:rFonts w:hint="eastAsia" w:ascii="方正小标宋简体" w:hAnsi="方正小标宋简体" w:eastAsia="方正小标宋简体" w:cs="方正小标宋简体"/>
          <w:color w:val="auto"/>
          <w:kern w:val="2"/>
          <w:sz w:val="44"/>
          <w:szCs w:val="44"/>
          <w:lang w:val="en-US"/>
        </w:rPr>
        <w:t>年绩效评价报告</w:t>
      </w:r>
    </w:p>
    <w:p w14:paraId="06E49698">
      <w:pPr>
        <w:rPr>
          <w:rFonts w:eastAsia="仿宋_GB2312"/>
          <w:sz w:val="32"/>
          <w:szCs w:val="32"/>
          <w:lang w:val="zh-CN"/>
        </w:rPr>
      </w:pPr>
    </w:p>
    <w:p w14:paraId="7A68F3E0">
      <w:pPr>
        <w:pStyle w:val="2"/>
        <w:rPr>
          <w:lang w:val="zh-CN"/>
        </w:rPr>
      </w:pPr>
    </w:p>
    <w:p w14:paraId="68F86198">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14:paraId="311970FC">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（一）设立背景及基本情况。</w:t>
      </w:r>
    </w:p>
    <w:p w14:paraId="5752A3CE">
      <w:pPr>
        <w:widowControl/>
        <w:numPr>
          <w:ilvl w:val="0"/>
          <w:numId w:val="0"/>
        </w:numPr>
        <w:autoSpaceDE/>
        <w:autoSpaceDN/>
        <w:snapToGrid w:val="0"/>
        <w:spacing w:line="578" w:lineRule="exact"/>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超限站点运行经费是依托于四川省人民政府为保障在我市国、省道设立的超限站点保持基本工作运转需求而设立的专项经费</w:t>
      </w:r>
      <w:r>
        <w:rPr>
          <w:rFonts w:hint="eastAsia" w:ascii="仿宋_GB2312" w:hAnsi="仿宋_GB2312" w:eastAsia="仿宋_GB2312" w:cs="仿宋_GB2312"/>
          <w:color w:val="auto"/>
          <w:sz w:val="32"/>
          <w:szCs w:val="32"/>
          <w:shd w:val="clear" w:color="auto" w:fill="FFFFFF"/>
          <w:lang w:val="zh-CN"/>
        </w:rPr>
        <w:t>。</w:t>
      </w:r>
      <w:r>
        <w:rPr>
          <w:rFonts w:hint="eastAsia" w:ascii="仿宋_GB2312" w:hAnsi="仿宋_GB2312" w:eastAsia="仿宋_GB2312" w:cs="仿宋_GB2312"/>
          <w:color w:val="auto"/>
          <w:sz w:val="32"/>
          <w:szCs w:val="32"/>
          <w:shd w:val="clear" w:color="auto" w:fill="FFFFFF"/>
          <w:lang w:val="en-US" w:eastAsia="zh-CN"/>
        </w:rPr>
        <w:t>目前我单位以该项目补充保障我市三个超限站点正常运行经费。</w:t>
      </w:r>
    </w:p>
    <w:p w14:paraId="281183C5">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（二）实施目的及支持方向。</w:t>
      </w:r>
    </w:p>
    <w:p w14:paraId="6CDFEB92">
      <w:pPr>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超限站点运行经费由执法大队统筹安排，专款专用；保障超限运输治理正常开展，降低货车超限率；保障超限站点运行所必须的水电费、差旅费、办公费等</w:t>
      </w:r>
      <w:r>
        <w:rPr>
          <w:rFonts w:hint="eastAsia" w:ascii="仿宋_GB2312" w:hAnsi="仿宋_GB2312" w:eastAsia="仿宋_GB2312" w:cs="仿宋_GB2312"/>
          <w:color w:val="auto"/>
          <w:sz w:val="32"/>
          <w:szCs w:val="32"/>
          <w:shd w:val="clear" w:color="auto" w:fill="FFFFFF"/>
          <w:lang w:val="zh-CN"/>
        </w:rPr>
        <w:t>资金</w:t>
      </w:r>
      <w:r>
        <w:rPr>
          <w:rFonts w:hint="eastAsia" w:ascii="仿宋_GB2312" w:hAnsi="仿宋_GB2312" w:eastAsia="仿宋_GB2312" w:cs="仿宋_GB2312"/>
          <w:color w:val="auto"/>
          <w:sz w:val="32"/>
          <w:szCs w:val="32"/>
          <w:shd w:val="clear" w:color="auto" w:fill="FFFFFF"/>
          <w:lang w:val="en-US" w:eastAsia="zh-CN"/>
        </w:rPr>
        <w:t>项目，保证超限站点的正常运转。</w:t>
      </w:r>
    </w:p>
    <w:p w14:paraId="7A84FEF2">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（三）预算安排及分配管理。</w:t>
      </w:r>
    </w:p>
    <w:p w14:paraId="0B013232">
      <w:pPr>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超限站点运行费年初预算8万元。项目资金按超限站点实际运行情况综合考虑，合理分配。</w:t>
      </w:r>
    </w:p>
    <w:p w14:paraId="67F44420">
      <w:pPr>
        <w:numPr>
          <w:ilvl w:val="0"/>
          <w:numId w:val="5"/>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项目绩效目标设置。</w:t>
      </w:r>
    </w:p>
    <w:p w14:paraId="363FA44D">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项目整体、区域和具体绩效目标设置</w:t>
      </w:r>
      <w:r>
        <w:rPr>
          <w:rFonts w:hint="eastAsia" w:ascii="仿宋_GB2312" w:hAnsi="仿宋_GB2312" w:eastAsia="仿宋_GB2312" w:cs="仿宋_GB2312"/>
          <w:color w:val="auto"/>
          <w:sz w:val="32"/>
          <w:szCs w:val="32"/>
          <w:shd w:val="clear" w:color="auto" w:fill="FFFFFF"/>
          <w:lang w:val="en-US" w:eastAsia="zh-CN"/>
        </w:rPr>
        <w:t>合理完善</w:t>
      </w:r>
      <w:r>
        <w:rPr>
          <w:rFonts w:hint="eastAsia" w:ascii="仿宋_GB2312" w:hAnsi="仿宋_GB2312" w:eastAsia="仿宋_GB2312" w:cs="仿宋_GB2312"/>
          <w:color w:val="auto"/>
          <w:sz w:val="32"/>
          <w:szCs w:val="32"/>
          <w:shd w:val="clear" w:color="auto" w:fill="FFFFFF"/>
          <w:lang w:val="zh-CN" w:eastAsia="zh-CN"/>
        </w:rPr>
        <w:t>，项目自评工作</w:t>
      </w:r>
      <w:r>
        <w:rPr>
          <w:rFonts w:hint="eastAsia" w:ascii="仿宋_GB2312" w:hAnsi="仿宋_GB2312" w:eastAsia="仿宋_GB2312" w:cs="仿宋_GB2312"/>
          <w:color w:val="auto"/>
          <w:sz w:val="32"/>
          <w:szCs w:val="32"/>
          <w:shd w:val="clear" w:color="auto" w:fill="FFFFFF"/>
          <w:lang w:val="en-US" w:eastAsia="zh-CN"/>
        </w:rPr>
        <w:t>正常</w:t>
      </w:r>
      <w:r>
        <w:rPr>
          <w:rFonts w:hint="eastAsia" w:ascii="仿宋_GB2312" w:hAnsi="仿宋_GB2312" w:eastAsia="仿宋_GB2312" w:cs="仿宋_GB2312"/>
          <w:color w:val="auto"/>
          <w:sz w:val="32"/>
          <w:szCs w:val="32"/>
          <w:shd w:val="clear" w:color="auto" w:fill="FFFFFF"/>
          <w:lang w:val="zh-CN" w:eastAsia="zh-CN"/>
        </w:rPr>
        <w:t>开展。</w:t>
      </w:r>
    </w:p>
    <w:p w14:paraId="7936DB7E">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5E783B03">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（一）评价目的。</w:t>
      </w:r>
    </w:p>
    <w:p w14:paraId="2411AB87">
      <w:pPr>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根据实际情况开展自评，以保证</w:t>
      </w:r>
      <w:r>
        <w:rPr>
          <w:rFonts w:hint="eastAsia" w:ascii="仿宋_GB2312" w:hAnsi="仿宋_GB2312" w:eastAsia="仿宋_GB2312" w:cs="仿宋_GB2312"/>
          <w:color w:val="auto"/>
          <w:sz w:val="32"/>
          <w:szCs w:val="32"/>
          <w:shd w:val="clear" w:color="auto" w:fill="FFFFFF"/>
          <w:lang w:val="zh-CN"/>
        </w:rPr>
        <w:t>申报内容与实际相符，申报目标合理可行，</w:t>
      </w:r>
      <w:r>
        <w:rPr>
          <w:rFonts w:hint="eastAsia" w:ascii="仿宋_GB2312" w:hAnsi="仿宋_GB2312" w:eastAsia="仿宋_GB2312" w:cs="仿宋_GB2312"/>
          <w:color w:val="auto"/>
          <w:sz w:val="32"/>
          <w:szCs w:val="32"/>
          <w:shd w:val="clear" w:color="auto" w:fill="FFFFFF"/>
          <w:lang w:val="en-US" w:eastAsia="zh-CN"/>
        </w:rPr>
        <w:t>查缺补漏。</w:t>
      </w:r>
    </w:p>
    <w:p w14:paraId="427A0AAE">
      <w:pPr>
        <w:numPr>
          <w:ilvl w:val="0"/>
          <w:numId w:val="6"/>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预设问题及评价重点。</w:t>
      </w:r>
    </w:p>
    <w:p w14:paraId="3948573A">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按照绩效评价指标体系，</w:t>
      </w:r>
      <w:r>
        <w:rPr>
          <w:rFonts w:hint="eastAsia" w:ascii="仿宋_GB2312" w:hAnsi="仿宋_GB2312" w:eastAsia="仿宋_GB2312" w:cs="仿宋_GB2312"/>
          <w:color w:val="auto"/>
          <w:sz w:val="32"/>
          <w:szCs w:val="32"/>
          <w:shd w:val="clear" w:color="auto" w:fill="FFFFFF"/>
          <w:lang w:val="en-US" w:eastAsia="zh-CN"/>
        </w:rPr>
        <w:t>对</w:t>
      </w:r>
      <w:r>
        <w:rPr>
          <w:rFonts w:hint="eastAsia" w:ascii="仿宋_GB2312" w:hAnsi="仿宋_GB2312" w:eastAsia="仿宋_GB2312" w:cs="仿宋_GB2312"/>
          <w:color w:val="auto"/>
          <w:sz w:val="32"/>
          <w:szCs w:val="32"/>
          <w:shd w:val="clear" w:color="auto" w:fill="FFFFFF"/>
          <w:lang w:val="zh-CN" w:eastAsia="zh-CN"/>
        </w:rPr>
        <w:t>项目实际列支内容与项目绩效目标设置方向相符</w:t>
      </w:r>
      <w:r>
        <w:rPr>
          <w:rFonts w:hint="eastAsia" w:ascii="仿宋_GB2312" w:hAnsi="仿宋_GB2312" w:eastAsia="仿宋_GB2312" w:cs="仿宋_GB2312"/>
          <w:color w:val="auto"/>
          <w:sz w:val="32"/>
          <w:szCs w:val="32"/>
          <w:shd w:val="clear" w:color="auto" w:fill="FFFFFF"/>
          <w:lang w:val="en-US" w:eastAsia="zh-CN"/>
        </w:rPr>
        <w:t>程度</w:t>
      </w:r>
      <w:r>
        <w:rPr>
          <w:rFonts w:hint="eastAsia" w:ascii="仿宋_GB2312" w:hAnsi="仿宋_GB2312" w:eastAsia="仿宋_GB2312" w:cs="仿宋_GB2312"/>
          <w:color w:val="auto"/>
          <w:sz w:val="32"/>
          <w:szCs w:val="32"/>
          <w:shd w:val="clear" w:color="auto" w:fill="FFFFFF"/>
          <w:lang w:val="zh-CN" w:eastAsia="zh-CN"/>
        </w:rPr>
        <w:t>、</w:t>
      </w:r>
      <w:r>
        <w:rPr>
          <w:rFonts w:hint="eastAsia" w:ascii="仿宋_GB2312" w:hAnsi="仿宋_GB2312" w:eastAsia="仿宋_GB2312" w:cs="仿宋_GB2312"/>
          <w:color w:val="auto"/>
          <w:sz w:val="32"/>
          <w:szCs w:val="32"/>
          <w:shd w:val="clear" w:color="auto" w:fill="FFFFFF"/>
          <w:lang w:val="en-US" w:eastAsia="zh-CN"/>
        </w:rPr>
        <w:t>支出进度、绩效目标完成度，</w:t>
      </w:r>
      <w:r>
        <w:rPr>
          <w:rFonts w:hint="eastAsia" w:ascii="仿宋_GB2312" w:hAnsi="仿宋_GB2312" w:eastAsia="仿宋_GB2312" w:cs="仿宋_GB2312"/>
          <w:color w:val="auto"/>
          <w:sz w:val="32"/>
          <w:szCs w:val="32"/>
          <w:shd w:val="clear" w:color="auto" w:fill="FFFFFF"/>
          <w:lang w:val="zh-CN" w:eastAsia="zh-CN"/>
        </w:rPr>
        <w:t>对资金支出使用全过程及其实施效果进行</w:t>
      </w:r>
      <w:r>
        <w:rPr>
          <w:rFonts w:hint="eastAsia" w:ascii="仿宋_GB2312" w:hAnsi="仿宋_GB2312" w:eastAsia="仿宋_GB2312" w:cs="仿宋_GB2312"/>
          <w:color w:val="auto"/>
          <w:sz w:val="32"/>
          <w:szCs w:val="32"/>
          <w:shd w:val="clear" w:color="auto" w:fill="FFFFFF"/>
          <w:lang w:val="en-US" w:eastAsia="zh-CN"/>
        </w:rPr>
        <w:t>重点</w:t>
      </w:r>
      <w:r>
        <w:rPr>
          <w:rFonts w:hint="eastAsia" w:ascii="仿宋_GB2312" w:hAnsi="仿宋_GB2312" w:eastAsia="仿宋_GB2312" w:cs="仿宋_GB2312"/>
          <w:color w:val="auto"/>
          <w:sz w:val="32"/>
          <w:szCs w:val="32"/>
          <w:shd w:val="clear" w:color="auto" w:fill="FFFFFF"/>
          <w:lang w:val="zh-CN" w:eastAsia="zh-CN"/>
        </w:rPr>
        <w:t>综合评价。</w:t>
      </w:r>
    </w:p>
    <w:p w14:paraId="282B70E4">
      <w:pPr>
        <w:numPr>
          <w:ilvl w:val="0"/>
          <w:numId w:val="6"/>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评价选点。</w:t>
      </w:r>
    </w:p>
    <w:p w14:paraId="2CF15F09">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选取三个超限站点日常运行情况、开展检查超限车辆次数、群众满意度、超限率综合分析自评</w:t>
      </w:r>
      <w:r>
        <w:rPr>
          <w:rFonts w:hint="eastAsia" w:ascii="仿宋_GB2312" w:hAnsi="仿宋_GB2312" w:eastAsia="仿宋_GB2312" w:cs="仿宋_GB2312"/>
          <w:color w:val="auto"/>
          <w:sz w:val="32"/>
          <w:szCs w:val="32"/>
          <w:shd w:val="clear" w:color="auto" w:fill="FFFFFF"/>
          <w:lang w:val="zh-CN" w:eastAsia="zh-CN"/>
        </w:rPr>
        <w:t>。</w:t>
      </w:r>
    </w:p>
    <w:p w14:paraId="2C05427A">
      <w:pPr>
        <w:numPr>
          <w:ilvl w:val="0"/>
          <w:numId w:val="6"/>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评价方法。</w:t>
      </w:r>
    </w:p>
    <w:p w14:paraId="3685BEF1">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eastAsia="仿宋_GB2312"/>
          <w:sz w:val="32"/>
          <w:szCs w:val="32"/>
          <w:lang w:val="zh-CN"/>
        </w:rPr>
      </w:pPr>
      <w:r>
        <w:rPr>
          <w:rFonts w:hint="eastAsia" w:ascii="仿宋_GB2312" w:hAnsi="仿宋_GB2312" w:eastAsia="仿宋_GB2312" w:cs="仿宋_GB2312"/>
          <w:color w:val="auto"/>
          <w:sz w:val="32"/>
          <w:szCs w:val="32"/>
          <w:shd w:val="clear" w:color="auto" w:fill="FFFFFF"/>
          <w:lang w:val="zh-CN" w:eastAsia="zh-CN"/>
        </w:rPr>
        <w:t>成本效益分析法案卷研究法、单位自评法、实地勘察法、等多种方法</w:t>
      </w:r>
      <w:r>
        <w:rPr>
          <w:rFonts w:hint="eastAsia" w:eastAsia="仿宋_GB2312"/>
          <w:sz w:val="32"/>
          <w:szCs w:val="32"/>
          <w:lang w:val="zh-CN"/>
        </w:rPr>
        <w:t>。</w:t>
      </w:r>
    </w:p>
    <w:p w14:paraId="6C866D66">
      <w:pPr>
        <w:numPr>
          <w:ilvl w:val="0"/>
          <w:numId w:val="6"/>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评价组织。</w:t>
      </w:r>
    </w:p>
    <w:p w14:paraId="46B3A831">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单位以分管领导为组长，财务人员和有关人员组成评价工作小组，制定自评方法，根据实际情况分别对项目实施进度情况、资金使用情况、目标完成情况科学合理评价项目绩效。</w:t>
      </w:r>
    </w:p>
    <w:p w14:paraId="6CEF4195">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5DB8980C">
      <w:pPr>
        <w:ind w:firstLine="640" w:firstLineChars="200"/>
        <w:rPr>
          <w:rFonts w:eastAsia="仿宋_GB2312"/>
          <w:sz w:val="32"/>
          <w:szCs w:val="32"/>
          <w:lang w:val="zh-CN"/>
        </w:rPr>
      </w:pPr>
      <w:r>
        <w:rPr>
          <w:rFonts w:hint="eastAsia" w:eastAsia="仿宋_GB2312"/>
          <w:sz w:val="32"/>
          <w:szCs w:val="32"/>
          <w:lang w:val="zh-CN"/>
        </w:rPr>
        <w:t>根据项目预算绩效评价指标体系“通用指标”“专用指标”“个性指标”涉及二、三级指标进行逐项绩效分析并评分。</w:t>
      </w:r>
    </w:p>
    <w:p w14:paraId="35AD9284">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39FCF5DC">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zh-CN" w:eastAsia="zh-CN"/>
        </w:rPr>
        <w:t>1.项目决策。</w:t>
      </w:r>
    </w:p>
    <w:p w14:paraId="21D1673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本单位</w:t>
      </w:r>
      <w:r>
        <w:rPr>
          <w:rFonts w:hint="eastAsia" w:ascii="仿宋_GB2312" w:hAnsi="仿宋_GB2312" w:eastAsia="仿宋_GB2312" w:cs="仿宋_GB2312"/>
          <w:color w:val="auto"/>
          <w:sz w:val="32"/>
          <w:szCs w:val="32"/>
          <w:shd w:val="clear" w:color="auto" w:fill="FFFFFF"/>
          <w:lang w:val="zh-CN" w:eastAsia="zh-CN"/>
        </w:rPr>
        <w:t>预算项目设立与部门职能职责相符、充分履行项目申报论证程序，项目绩效目标制定符合科学合理、规范完整、量化细化、预算匹配的要求。</w:t>
      </w:r>
    </w:p>
    <w:p w14:paraId="64768A96">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zh-CN" w:eastAsia="zh-CN"/>
        </w:rPr>
        <w:t>2.项目管理。</w:t>
      </w:r>
    </w:p>
    <w:p w14:paraId="0015E5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我单位</w:t>
      </w:r>
      <w:r>
        <w:rPr>
          <w:rFonts w:hint="eastAsia" w:ascii="仿宋_GB2312" w:hAnsi="仿宋_GB2312" w:eastAsia="仿宋_GB2312" w:cs="仿宋_GB2312"/>
          <w:color w:val="auto"/>
          <w:sz w:val="32"/>
          <w:szCs w:val="32"/>
          <w:shd w:val="clear" w:color="auto" w:fill="FFFFFF"/>
          <w:lang w:val="zh-CN" w:eastAsia="zh-CN"/>
        </w:rPr>
        <w:t>已制定绩效管理制度，内部财务管理制度，部门财务工作岗位设置合理，职责权限明确，并严格实行不相容岗位分离的</w:t>
      </w:r>
      <w:r>
        <w:rPr>
          <w:rFonts w:hint="eastAsia" w:ascii="仿宋_GB2312" w:hAnsi="仿宋_GB2312" w:eastAsia="仿宋_GB2312" w:cs="仿宋_GB2312"/>
          <w:color w:val="auto"/>
          <w:sz w:val="32"/>
          <w:szCs w:val="32"/>
          <w:shd w:val="clear" w:color="auto" w:fill="FFFFFF"/>
          <w:lang w:val="en-US" w:eastAsia="zh-CN"/>
        </w:rPr>
        <w:t>制度，项目资金使用符合相关财务管理制度规定。</w:t>
      </w:r>
    </w:p>
    <w:p w14:paraId="1C386B11">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en-US" w:eastAsia="zh-CN"/>
        </w:rPr>
        <w:t>3.</w:t>
      </w:r>
      <w:r>
        <w:rPr>
          <w:rFonts w:hint="eastAsia" w:ascii="楷体_GB2312" w:eastAsia="楷体_GB2312"/>
          <w:sz w:val="32"/>
          <w:szCs w:val="32"/>
          <w:lang w:val="zh-CN" w:eastAsia="zh-CN"/>
        </w:rPr>
        <w:t>项目实施。</w:t>
      </w:r>
    </w:p>
    <w:p w14:paraId="68B6A0F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Times New Roman" w:hAnsi="Times New Roman" w:cs="Times New Roman"/>
          <w:szCs w:val="32"/>
          <w:lang w:val="zh-CN" w:bidi="ar"/>
        </w:rPr>
      </w:pPr>
      <w:r>
        <w:rPr>
          <w:rFonts w:hint="eastAsia" w:ascii="仿宋_GB2312" w:hAnsi="仿宋_GB2312" w:eastAsia="仿宋_GB2312" w:cs="仿宋_GB2312"/>
          <w:color w:val="auto"/>
          <w:sz w:val="32"/>
          <w:szCs w:val="32"/>
          <w:shd w:val="clear" w:color="auto" w:fill="FFFFFF"/>
          <w:lang w:val="en-US" w:eastAsia="zh-CN"/>
        </w:rPr>
        <w:t>本单位</w:t>
      </w:r>
      <w:r>
        <w:rPr>
          <w:rFonts w:hint="eastAsia" w:ascii="仿宋_GB2312" w:hAnsi="仿宋_GB2312" w:eastAsia="仿宋_GB2312" w:cs="仿宋_GB2312"/>
          <w:color w:val="auto"/>
          <w:sz w:val="32"/>
          <w:szCs w:val="32"/>
          <w:shd w:val="clear" w:color="auto" w:fill="FFFFFF"/>
          <w:lang w:val="zh-CN" w:eastAsia="zh-CN"/>
        </w:rPr>
        <w:t>项目实际列支内容与项目绩效目标设置方向相符。</w:t>
      </w:r>
      <w:r>
        <w:rPr>
          <w:rFonts w:hint="eastAsia" w:ascii="仿宋_GB2312" w:hAnsi="仿宋_GB2312" w:eastAsia="仿宋_GB2312" w:cs="仿宋_GB2312"/>
          <w:color w:val="auto"/>
          <w:sz w:val="32"/>
          <w:szCs w:val="32"/>
          <w:shd w:val="clear" w:color="auto" w:fill="FFFFFF"/>
          <w:lang w:val="en-US" w:eastAsia="zh-CN"/>
        </w:rPr>
        <w:t>无</w:t>
      </w:r>
      <w:r>
        <w:rPr>
          <w:rFonts w:hint="eastAsia" w:ascii="仿宋_GB2312" w:hAnsi="仿宋_GB2312" w:eastAsia="仿宋_GB2312" w:cs="仿宋_GB2312"/>
          <w:color w:val="auto"/>
          <w:sz w:val="32"/>
          <w:szCs w:val="32"/>
          <w:shd w:val="clear" w:color="auto" w:fill="FFFFFF"/>
          <w:lang w:val="zh-CN" w:eastAsia="zh-CN"/>
        </w:rPr>
        <w:t>项目预算调整，预算项目预算执行进度在6、9、11月达到序时进度的80%、90%、90%，</w:t>
      </w:r>
      <w:r>
        <w:rPr>
          <w:rFonts w:hint="eastAsia" w:ascii="仿宋_GB2312" w:hAnsi="仿宋_GB2312" w:eastAsia="仿宋_GB2312" w:cs="仿宋_GB2312"/>
          <w:color w:val="auto"/>
          <w:sz w:val="32"/>
          <w:szCs w:val="32"/>
          <w:shd w:val="clear" w:color="auto" w:fill="FFFFFF"/>
          <w:lang w:val="en-US" w:eastAsia="zh-CN"/>
        </w:rPr>
        <w:t>无年终预算结余。</w:t>
      </w:r>
    </w:p>
    <w:p w14:paraId="0079CB07">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en-US" w:eastAsia="zh-CN"/>
        </w:rPr>
        <w:t>4.</w:t>
      </w:r>
      <w:r>
        <w:rPr>
          <w:rFonts w:hint="eastAsia" w:ascii="楷体_GB2312" w:eastAsia="楷体_GB2312"/>
          <w:sz w:val="32"/>
          <w:szCs w:val="32"/>
          <w:lang w:val="zh-CN" w:eastAsia="zh-CN"/>
        </w:rPr>
        <w:t>项目结果。</w:t>
      </w:r>
    </w:p>
    <w:p w14:paraId="2583AE9A">
      <w:pPr>
        <w:autoSpaceDE/>
        <w:autoSpaceDN/>
        <w:snapToGrid w:val="0"/>
        <w:spacing w:line="578" w:lineRule="exact"/>
        <w:ind w:firstLine="72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zh-CN"/>
        </w:rPr>
        <w:t>数量指标：</w:t>
      </w:r>
      <w:r>
        <w:rPr>
          <w:rFonts w:hint="eastAsia" w:ascii="仿宋_GB2312" w:hAnsi="仿宋_GB2312" w:eastAsia="仿宋_GB2312" w:cs="仿宋_GB2312"/>
          <w:color w:val="auto"/>
          <w:sz w:val="32"/>
          <w:szCs w:val="32"/>
          <w:shd w:val="clear" w:color="auto" w:fill="FFFFFF"/>
          <w:lang w:val="en-US" w:eastAsia="zh-CN"/>
        </w:rPr>
        <w:t>截止</w:t>
      </w:r>
      <w:r>
        <w:rPr>
          <w:rFonts w:hint="eastAsia" w:ascii="仿宋_GB2312" w:hAnsi="仿宋_GB2312" w:eastAsia="仿宋_GB2312" w:cs="仿宋_GB2312"/>
          <w:color w:val="auto"/>
          <w:sz w:val="32"/>
          <w:szCs w:val="32"/>
          <w:shd w:val="clear" w:color="auto" w:fill="FFFFFF"/>
          <w:lang w:val="zh-CN"/>
        </w:rPr>
        <w:t>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rPr>
        <w:t>年12月31日，</w:t>
      </w:r>
      <w:r>
        <w:rPr>
          <w:rFonts w:hint="eastAsia" w:ascii="仿宋_GB2312" w:hAnsi="仿宋_GB2312" w:eastAsia="仿宋_GB2312" w:cs="仿宋_GB2312"/>
          <w:color w:val="auto"/>
          <w:sz w:val="32"/>
          <w:szCs w:val="32"/>
          <w:shd w:val="clear" w:color="auto" w:fill="FFFFFF"/>
          <w:lang w:val="en-US" w:eastAsia="zh-CN"/>
        </w:rPr>
        <w:t>检查货车次数大于1万次。</w:t>
      </w:r>
    </w:p>
    <w:p w14:paraId="3848865D">
      <w:pPr>
        <w:autoSpaceDE/>
        <w:autoSpaceDN/>
        <w:snapToGrid w:val="0"/>
        <w:spacing w:line="578" w:lineRule="exact"/>
        <w:ind w:firstLine="720"/>
        <w:rPr>
          <w:rFonts w:hint="eastAsia" w:ascii="仿宋_GB2312" w:hAnsi="仿宋_GB2312" w:eastAsia="仿宋_GB2312" w:cs="仿宋_GB2312"/>
          <w:color w:val="auto"/>
          <w:sz w:val="32"/>
          <w:szCs w:val="32"/>
          <w:shd w:val="clear" w:color="auto" w:fill="FFFFFF"/>
          <w:lang w:val="zh-CN"/>
        </w:rPr>
      </w:pPr>
      <w:r>
        <w:rPr>
          <w:rFonts w:hint="eastAsia" w:ascii="仿宋_GB2312" w:hAnsi="仿宋_GB2312" w:eastAsia="仿宋_GB2312" w:cs="仿宋_GB2312"/>
          <w:color w:val="auto"/>
          <w:sz w:val="32"/>
          <w:szCs w:val="32"/>
          <w:shd w:val="clear" w:color="auto" w:fill="FFFFFF"/>
          <w:lang w:val="zh-CN"/>
        </w:rPr>
        <w:t>质量指标：</w:t>
      </w:r>
      <w:r>
        <w:rPr>
          <w:rFonts w:hint="eastAsia" w:ascii="仿宋_GB2312" w:hAnsi="仿宋_GB2312" w:eastAsia="仿宋_GB2312" w:cs="仿宋_GB2312"/>
          <w:color w:val="auto"/>
          <w:sz w:val="32"/>
          <w:szCs w:val="32"/>
          <w:shd w:val="clear" w:color="auto" w:fill="FFFFFF"/>
          <w:lang w:val="en-US" w:eastAsia="zh-CN"/>
        </w:rPr>
        <w:t>检查合格率大于等于85%</w:t>
      </w:r>
      <w:r>
        <w:rPr>
          <w:rFonts w:hint="eastAsia" w:ascii="仿宋_GB2312" w:hAnsi="仿宋_GB2312" w:eastAsia="仿宋_GB2312" w:cs="仿宋_GB2312"/>
          <w:color w:val="auto"/>
          <w:sz w:val="32"/>
          <w:szCs w:val="32"/>
          <w:shd w:val="clear" w:color="auto" w:fill="FFFFFF"/>
          <w:lang w:val="zh-CN"/>
        </w:rPr>
        <w:t>。</w:t>
      </w:r>
    </w:p>
    <w:p w14:paraId="6375CF20">
      <w:pPr>
        <w:autoSpaceDE/>
        <w:autoSpaceDN/>
        <w:snapToGrid w:val="0"/>
        <w:spacing w:line="578" w:lineRule="exact"/>
        <w:ind w:firstLine="720"/>
        <w:rPr>
          <w:rFonts w:hint="eastAsia" w:ascii="仿宋_GB2312" w:hAnsi="仿宋_GB2312" w:eastAsia="仿宋_GB2312" w:cs="仿宋_GB2312"/>
          <w:color w:val="auto"/>
          <w:sz w:val="32"/>
          <w:szCs w:val="32"/>
          <w:shd w:val="clear" w:color="auto" w:fill="FFFFFF"/>
          <w:lang w:val="zh-CN"/>
        </w:rPr>
      </w:pPr>
      <w:r>
        <w:rPr>
          <w:rFonts w:hint="eastAsia" w:ascii="仿宋_GB2312" w:hAnsi="仿宋_GB2312" w:eastAsia="仿宋_GB2312" w:cs="仿宋_GB2312"/>
          <w:color w:val="auto"/>
          <w:sz w:val="32"/>
          <w:szCs w:val="32"/>
          <w:shd w:val="clear" w:color="auto" w:fill="FFFFFF"/>
          <w:lang w:val="zh-CN"/>
        </w:rPr>
        <w:t>时效指标：完成时间截止202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rPr>
        <w:t>年12月31日。</w:t>
      </w:r>
    </w:p>
    <w:p w14:paraId="1CDD7947">
      <w:pPr>
        <w:autoSpaceDE/>
        <w:autoSpaceDN/>
        <w:snapToGrid w:val="0"/>
        <w:spacing w:line="578" w:lineRule="exact"/>
        <w:ind w:firstLine="720"/>
        <w:rPr>
          <w:rFonts w:hint="eastAsia" w:ascii="仿宋_GB2312" w:hAnsi="仿宋_GB2312" w:eastAsia="仿宋_GB2312" w:cs="仿宋_GB2312"/>
          <w:color w:val="auto"/>
          <w:sz w:val="32"/>
          <w:szCs w:val="32"/>
          <w:shd w:val="clear" w:color="auto" w:fill="FFFFFF"/>
          <w:lang w:val="zh-CN"/>
        </w:rPr>
      </w:pPr>
      <w:r>
        <w:rPr>
          <w:rFonts w:hint="eastAsia" w:ascii="仿宋_GB2312" w:hAnsi="仿宋_GB2312" w:eastAsia="仿宋_GB2312" w:cs="仿宋_GB2312"/>
          <w:color w:val="auto"/>
          <w:sz w:val="32"/>
          <w:szCs w:val="32"/>
          <w:shd w:val="clear" w:color="auto" w:fill="FFFFFF"/>
          <w:lang w:val="en-US" w:eastAsia="zh-CN"/>
        </w:rPr>
        <w:t>社会效益</w:t>
      </w:r>
      <w:r>
        <w:rPr>
          <w:rFonts w:hint="eastAsia" w:ascii="仿宋_GB2312" w:hAnsi="仿宋_GB2312" w:eastAsia="仿宋_GB2312" w:cs="仿宋_GB2312"/>
          <w:color w:val="auto"/>
          <w:sz w:val="32"/>
          <w:szCs w:val="32"/>
          <w:shd w:val="clear" w:color="auto" w:fill="FFFFFF"/>
          <w:lang w:val="zh-CN"/>
        </w:rPr>
        <w:t>指标：</w:t>
      </w:r>
      <w:r>
        <w:rPr>
          <w:rFonts w:hint="eastAsia" w:ascii="仿宋_GB2312" w:hAnsi="仿宋_GB2312" w:eastAsia="仿宋_GB2312" w:cs="仿宋_GB2312"/>
          <w:color w:val="auto"/>
          <w:sz w:val="32"/>
          <w:szCs w:val="32"/>
          <w:shd w:val="clear" w:color="auto" w:fill="FFFFFF"/>
          <w:lang w:val="en-US" w:eastAsia="zh-CN"/>
        </w:rPr>
        <w:t>降低超限率大于等于2%</w:t>
      </w:r>
      <w:r>
        <w:rPr>
          <w:rFonts w:hint="eastAsia" w:ascii="仿宋_GB2312" w:hAnsi="仿宋_GB2312" w:eastAsia="仿宋_GB2312" w:cs="仿宋_GB2312"/>
          <w:color w:val="auto"/>
          <w:sz w:val="32"/>
          <w:szCs w:val="32"/>
          <w:shd w:val="clear" w:color="auto" w:fill="FFFFFF"/>
          <w:lang w:val="zh-CN"/>
        </w:rPr>
        <w:t>。</w:t>
      </w:r>
    </w:p>
    <w:p w14:paraId="053C761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满意度</w:t>
      </w:r>
      <w:r>
        <w:rPr>
          <w:rFonts w:hint="eastAsia" w:ascii="仿宋_GB2312" w:hAnsi="仿宋_GB2312" w:eastAsia="仿宋_GB2312" w:cs="仿宋_GB2312"/>
          <w:color w:val="auto"/>
          <w:sz w:val="32"/>
          <w:szCs w:val="32"/>
          <w:shd w:val="clear" w:color="auto" w:fill="FFFFFF"/>
          <w:lang w:val="zh-CN"/>
        </w:rPr>
        <w:t>指标：</w:t>
      </w:r>
      <w:r>
        <w:rPr>
          <w:rFonts w:hint="eastAsia" w:ascii="仿宋_GB2312" w:hAnsi="仿宋_GB2312" w:eastAsia="仿宋_GB2312" w:cs="仿宋_GB2312"/>
          <w:color w:val="auto"/>
          <w:sz w:val="32"/>
          <w:szCs w:val="32"/>
          <w:shd w:val="clear" w:color="auto" w:fill="FFFFFF"/>
          <w:lang w:val="en-US" w:eastAsia="zh-CN"/>
        </w:rPr>
        <w:t>服务对象满意度大于等于90%。</w:t>
      </w:r>
    </w:p>
    <w:p w14:paraId="133B492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部门预算项目绩效目标中</w:t>
      </w:r>
      <w:r>
        <w:rPr>
          <w:rFonts w:hint="eastAsia" w:ascii="仿宋_GB2312" w:hAnsi="仿宋_GB2312" w:eastAsia="仿宋_GB2312" w:cs="仿宋_GB2312"/>
          <w:color w:val="auto"/>
          <w:sz w:val="32"/>
          <w:szCs w:val="32"/>
          <w:shd w:val="clear" w:color="auto" w:fill="FFFFFF"/>
          <w:lang w:val="en-US" w:eastAsia="zh-CN"/>
        </w:rPr>
        <w:t>全部</w:t>
      </w:r>
      <w:r>
        <w:rPr>
          <w:rFonts w:hint="eastAsia" w:ascii="仿宋_GB2312" w:hAnsi="仿宋_GB2312" w:eastAsia="仿宋_GB2312" w:cs="仿宋_GB2312"/>
          <w:color w:val="auto"/>
          <w:sz w:val="32"/>
          <w:szCs w:val="32"/>
          <w:shd w:val="clear" w:color="auto" w:fill="FFFFFF"/>
          <w:lang w:val="zh-CN" w:eastAsia="zh-CN"/>
        </w:rPr>
        <w:t>指标</w:t>
      </w:r>
      <w:r>
        <w:rPr>
          <w:rFonts w:hint="eastAsia" w:ascii="仿宋_GB2312" w:hAnsi="仿宋_GB2312" w:eastAsia="仿宋_GB2312" w:cs="仿宋_GB2312"/>
          <w:color w:val="auto"/>
          <w:sz w:val="32"/>
          <w:szCs w:val="32"/>
          <w:shd w:val="clear" w:color="auto" w:fill="FFFFFF"/>
          <w:lang w:val="en-US" w:eastAsia="zh-CN"/>
        </w:rPr>
        <w:t>均已</w:t>
      </w:r>
      <w:r>
        <w:rPr>
          <w:rFonts w:hint="eastAsia" w:ascii="仿宋_GB2312" w:hAnsi="仿宋_GB2312" w:eastAsia="仿宋_GB2312" w:cs="仿宋_GB2312"/>
          <w:color w:val="auto"/>
          <w:sz w:val="32"/>
          <w:szCs w:val="32"/>
          <w:shd w:val="clear" w:color="auto" w:fill="FFFFFF"/>
          <w:lang w:val="zh-CN" w:eastAsia="zh-CN"/>
        </w:rPr>
        <w:t>完成，项目绩效目标实现程度与预期目标</w:t>
      </w:r>
      <w:r>
        <w:rPr>
          <w:rFonts w:hint="eastAsia" w:ascii="仿宋_GB2312" w:hAnsi="仿宋_GB2312" w:eastAsia="仿宋_GB2312" w:cs="仿宋_GB2312"/>
          <w:color w:val="auto"/>
          <w:sz w:val="32"/>
          <w:szCs w:val="32"/>
          <w:shd w:val="clear" w:color="auto" w:fill="FFFFFF"/>
          <w:lang w:val="en-US" w:eastAsia="zh-CN"/>
        </w:rPr>
        <w:t>无</w:t>
      </w:r>
      <w:r>
        <w:rPr>
          <w:rFonts w:hint="eastAsia" w:ascii="仿宋_GB2312" w:hAnsi="仿宋_GB2312" w:eastAsia="仿宋_GB2312" w:cs="仿宋_GB2312"/>
          <w:color w:val="auto"/>
          <w:sz w:val="32"/>
          <w:szCs w:val="32"/>
          <w:shd w:val="clear" w:color="auto" w:fill="FFFFFF"/>
          <w:lang w:val="zh-CN" w:eastAsia="zh-CN"/>
        </w:rPr>
        <w:t>偏离。</w:t>
      </w:r>
    </w:p>
    <w:p w14:paraId="53574245">
      <w:pPr>
        <w:numPr>
          <w:ilvl w:val="0"/>
          <w:numId w:val="7"/>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专用指标绩效分析。</w:t>
      </w:r>
    </w:p>
    <w:p w14:paraId="792C6E2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无。</w:t>
      </w:r>
    </w:p>
    <w:p w14:paraId="56611236">
      <w:pPr>
        <w:numPr>
          <w:ilvl w:val="0"/>
          <w:numId w:val="7"/>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个性指标绩效分析。</w:t>
      </w:r>
    </w:p>
    <w:p w14:paraId="42902CA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无。</w:t>
      </w:r>
    </w:p>
    <w:p w14:paraId="6DFCAB8C">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133CA34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截止202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eastAsia="zh-CN"/>
        </w:rPr>
        <w:t>年12月底，我单位整体绩效目标制定、目标完成、预算编制情况等均准确合理，支出控制、预算动态调整、执行进度、预算完成情况良好，无任何违规违纪等情况，</w:t>
      </w:r>
      <w:r>
        <w:rPr>
          <w:rFonts w:hint="eastAsia" w:ascii="仿宋_GB2312" w:hAnsi="仿宋_GB2312" w:eastAsia="仿宋_GB2312" w:cs="仿宋_GB2312"/>
          <w:color w:val="auto"/>
          <w:sz w:val="32"/>
          <w:szCs w:val="32"/>
          <w:shd w:val="clear" w:color="auto" w:fill="FFFFFF"/>
          <w:lang w:val="en-US" w:eastAsia="zh-CN"/>
        </w:rPr>
        <w:t>部门预算项目自评得分100分</w:t>
      </w:r>
      <w:r>
        <w:rPr>
          <w:rFonts w:hint="eastAsia" w:ascii="仿宋_GB2312" w:hAnsi="仿宋_GB2312" w:eastAsia="仿宋_GB2312" w:cs="仿宋_GB2312"/>
          <w:color w:val="auto"/>
          <w:sz w:val="32"/>
          <w:szCs w:val="32"/>
          <w:shd w:val="clear" w:color="auto" w:fill="FFFFFF"/>
          <w:lang w:val="zh-CN" w:eastAsia="zh-CN"/>
        </w:rPr>
        <w:t>。</w:t>
      </w:r>
    </w:p>
    <w:p w14:paraId="0967D2F6">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14:paraId="239AC0C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在</w:t>
      </w:r>
      <w:r>
        <w:rPr>
          <w:rFonts w:hint="eastAsia" w:ascii="仿宋_GB2312" w:hAnsi="仿宋_GB2312" w:eastAsia="仿宋_GB2312" w:cs="仿宋_GB2312"/>
          <w:color w:val="auto"/>
          <w:sz w:val="32"/>
          <w:szCs w:val="32"/>
          <w:shd w:val="clear" w:color="auto" w:fill="FFFFFF"/>
          <w:lang w:val="zh-CN" w:eastAsia="zh-CN"/>
        </w:rPr>
        <w:t>预算绩效</w:t>
      </w:r>
      <w:r>
        <w:rPr>
          <w:rFonts w:hint="eastAsia" w:ascii="仿宋_GB2312" w:hAnsi="仿宋_GB2312" w:eastAsia="仿宋_GB2312" w:cs="仿宋_GB2312"/>
          <w:color w:val="auto"/>
          <w:sz w:val="32"/>
          <w:szCs w:val="32"/>
          <w:shd w:val="clear" w:color="auto" w:fill="FFFFFF"/>
          <w:lang w:val="en-US" w:eastAsia="zh-CN"/>
        </w:rPr>
        <w:t>项目设置、目标设置中，应当与时俱进，根据实际情况积极作出改变。在预算目标设置及预算执行方面还需继续努力，继续提升。</w:t>
      </w:r>
    </w:p>
    <w:p w14:paraId="7609963B">
      <w:pPr>
        <w:numPr>
          <w:ilvl w:val="0"/>
          <w:numId w:val="8"/>
        </w:numPr>
        <w:ind w:firstLine="640" w:firstLineChars="200"/>
        <w:rPr>
          <w:rFonts w:hint="eastAsia" w:ascii="黑体" w:hAnsi="黑体" w:eastAsia="黑体"/>
          <w:sz w:val="32"/>
          <w:szCs w:val="32"/>
          <w:lang w:val="zh-CN" w:eastAsia="zh-CN"/>
        </w:rPr>
      </w:pPr>
      <w:r>
        <w:rPr>
          <w:rFonts w:hint="eastAsia" w:ascii="黑体" w:hAnsi="黑体" w:eastAsia="黑体"/>
          <w:sz w:val="32"/>
          <w:szCs w:val="32"/>
          <w:lang w:val="zh-CN" w:eastAsia="zh-CN"/>
        </w:rPr>
        <w:t>改进建议</w:t>
      </w:r>
    </w:p>
    <w:p w14:paraId="3706A2D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 xml:space="preserve"> 改进管理措施，提高管理水平，降低运行成本，提高资源使用的效率和效益；加强各股室、站点对绩效评价的认识，在实施阶段，做好监督，跟踪管理；实施后及时总结自评。</w:t>
      </w:r>
    </w:p>
    <w:p w14:paraId="7B8C146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p>
    <w:p w14:paraId="60CD6AAB">
      <w:pPr>
        <w:ind w:firstLine="640" w:firstLineChars="200"/>
        <w:rPr>
          <w:rFonts w:eastAsia="仿宋_GB2312"/>
          <w:sz w:val="32"/>
          <w:szCs w:val="32"/>
          <w:lang w:val="zh-CN"/>
        </w:rPr>
      </w:pPr>
    </w:p>
    <w:p w14:paraId="698C1A3E">
      <w:pPr>
        <w:pStyle w:val="2"/>
        <w:rPr>
          <w:rFonts w:eastAsia="仿宋_GB2312"/>
          <w:sz w:val="32"/>
          <w:szCs w:val="32"/>
          <w:lang w:val="zh-CN"/>
        </w:rPr>
      </w:pPr>
    </w:p>
    <w:p w14:paraId="2AA0793E">
      <w:pPr>
        <w:rPr>
          <w:rFonts w:eastAsia="仿宋_GB2312"/>
          <w:sz w:val="32"/>
          <w:szCs w:val="32"/>
          <w:lang w:val="zh-CN"/>
        </w:rPr>
      </w:pPr>
    </w:p>
    <w:p w14:paraId="4E592F06">
      <w:pPr>
        <w:pStyle w:val="2"/>
        <w:rPr>
          <w:rFonts w:eastAsia="仿宋_GB2312"/>
          <w:sz w:val="32"/>
          <w:szCs w:val="32"/>
          <w:lang w:val="zh-CN"/>
        </w:rPr>
      </w:pPr>
    </w:p>
    <w:p w14:paraId="5D571C62">
      <w:pPr>
        <w:rPr>
          <w:rFonts w:eastAsia="仿宋_GB2312"/>
          <w:sz w:val="32"/>
          <w:szCs w:val="32"/>
          <w:lang w:val="zh-CN"/>
        </w:rPr>
      </w:pPr>
    </w:p>
    <w:p w14:paraId="4AE2022C">
      <w:pPr>
        <w:pStyle w:val="2"/>
        <w:rPr>
          <w:rFonts w:eastAsia="仿宋_GB2312"/>
          <w:sz w:val="32"/>
          <w:szCs w:val="32"/>
          <w:lang w:val="zh-CN"/>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14:paraId="3A3F04DA">
      <w:pPr>
        <w:pStyle w:val="33"/>
        <w:autoSpaceDE/>
        <w:autoSpaceDN/>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万源市交通运输综合行政执法大队</w:t>
      </w:r>
    </w:p>
    <w:p w14:paraId="276B8C31">
      <w:pPr>
        <w:pStyle w:val="33"/>
        <w:autoSpaceDE/>
        <w:autoSpaceDN/>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路政巡查安全保障经费项目</w:t>
      </w:r>
    </w:p>
    <w:p w14:paraId="0FC59CC9">
      <w:pPr>
        <w:pStyle w:val="33"/>
        <w:autoSpaceDE/>
        <w:autoSpaceDN/>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w:t>
      </w:r>
      <w:r>
        <w:rPr>
          <w:rFonts w:hint="eastAsia" w:ascii="方正小标宋简体" w:hAnsi="方正小标宋简体" w:eastAsia="方正小标宋简体" w:cs="方正小标宋简体"/>
          <w:color w:val="auto"/>
          <w:kern w:val="2"/>
          <w:sz w:val="44"/>
          <w:szCs w:val="44"/>
          <w:lang w:val="en-US" w:eastAsia="zh-CN"/>
        </w:rPr>
        <w:t>3</w:t>
      </w:r>
      <w:r>
        <w:rPr>
          <w:rFonts w:hint="eastAsia" w:ascii="方正小标宋简体" w:hAnsi="方正小标宋简体" w:eastAsia="方正小标宋简体" w:cs="方正小标宋简体"/>
          <w:color w:val="auto"/>
          <w:kern w:val="2"/>
          <w:sz w:val="44"/>
          <w:szCs w:val="44"/>
          <w:lang w:val="en-US"/>
        </w:rPr>
        <w:t>年绩效评价报告</w:t>
      </w:r>
    </w:p>
    <w:p w14:paraId="5E710597">
      <w:pPr>
        <w:rPr>
          <w:rFonts w:eastAsia="仿宋_GB2312"/>
          <w:sz w:val="32"/>
          <w:szCs w:val="32"/>
          <w:lang w:val="zh-CN"/>
        </w:rPr>
      </w:pPr>
    </w:p>
    <w:p w14:paraId="79D888DA">
      <w:pPr>
        <w:pStyle w:val="2"/>
        <w:rPr>
          <w:lang w:val="zh-CN"/>
        </w:rPr>
      </w:pPr>
    </w:p>
    <w:p w14:paraId="5A6C06A1">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14:paraId="32870F59">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（一）设立背景及基本情况。</w:t>
      </w:r>
    </w:p>
    <w:p w14:paraId="16570917">
      <w:pPr>
        <w:widowControl/>
        <w:numPr>
          <w:ilvl w:val="0"/>
          <w:numId w:val="0"/>
        </w:numPr>
        <w:autoSpaceDE/>
        <w:autoSpaceDN/>
        <w:snapToGrid w:val="0"/>
        <w:spacing w:line="578" w:lineRule="exact"/>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路政巡查安全保障经费是依托于四川省人民政府为保障我市国、省道路产路权及公路完好性，保障路政巡查人员巡查安全而设立的专项经费。</w:t>
      </w:r>
    </w:p>
    <w:p w14:paraId="2CBE81CA">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（二）实施目的及支持方向。</w:t>
      </w:r>
    </w:p>
    <w:p w14:paraId="5D201500">
      <w:pPr>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路政巡查安全保障经费由执法大队统筹安排，专款专用；保障日常路政巡查安全需求，保护路产路权，保障公路完好性。</w:t>
      </w:r>
    </w:p>
    <w:p w14:paraId="446EE24C">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（三）预算安排及分配管理。</w:t>
      </w:r>
    </w:p>
    <w:p w14:paraId="48A76CBC">
      <w:pPr>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路政巡查安全保障经费年初预算8万元。项目资金按路政巡查实际运行情况综合考虑，合理分配。</w:t>
      </w:r>
    </w:p>
    <w:p w14:paraId="4D1297F3">
      <w:pPr>
        <w:numPr>
          <w:ilvl w:val="0"/>
          <w:numId w:val="5"/>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项目绩效目标设置。</w:t>
      </w:r>
    </w:p>
    <w:p w14:paraId="013751C0">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项目整体、区域和具体绩效目标设置</w:t>
      </w:r>
      <w:r>
        <w:rPr>
          <w:rFonts w:hint="eastAsia" w:ascii="仿宋_GB2312" w:hAnsi="仿宋_GB2312" w:eastAsia="仿宋_GB2312" w:cs="仿宋_GB2312"/>
          <w:color w:val="auto"/>
          <w:sz w:val="32"/>
          <w:szCs w:val="32"/>
          <w:shd w:val="clear" w:color="auto" w:fill="FFFFFF"/>
          <w:lang w:val="en-US" w:eastAsia="zh-CN"/>
        </w:rPr>
        <w:t>合理完善</w:t>
      </w:r>
      <w:r>
        <w:rPr>
          <w:rFonts w:hint="eastAsia" w:ascii="仿宋_GB2312" w:hAnsi="仿宋_GB2312" w:eastAsia="仿宋_GB2312" w:cs="仿宋_GB2312"/>
          <w:color w:val="auto"/>
          <w:sz w:val="32"/>
          <w:szCs w:val="32"/>
          <w:shd w:val="clear" w:color="auto" w:fill="FFFFFF"/>
          <w:lang w:val="zh-CN" w:eastAsia="zh-CN"/>
        </w:rPr>
        <w:t>，项目自评工作</w:t>
      </w:r>
      <w:r>
        <w:rPr>
          <w:rFonts w:hint="eastAsia" w:ascii="仿宋_GB2312" w:hAnsi="仿宋_GB2312" w:eastAsia="仿宋_GB2312" w:cs="仿宋_GB2312"/>
          <w:color w:val="auto"/>
          <w:sz w:val="32"/>
          <w:szCs w:val="32"/>
          <w:shd w:val="clear" w:color="auto" w:fill="FFFFFF"/>
          <w:lang w:val="en-US" w:eastAsia="zh-CN"/>
        </w:rPr>
        <w:t>正常</w:t>
      </w:r>
      <w:r>
        <w:rPr>
          <w:rFonts w:hint="eastAsia" w:ascii="仿宋_GB2312" w:hAnsi="仿宋_GB2312" w:eastAsia="仿宋_GB2312" w:cs="仿宋_GB2312"/>
          <w:color w:val="auto"/>
          <w:sz w:val="32"/>
          <w:szCs w:val="32"/>
          <w:shd w:val="clear" w:color="auto" w:fill="FFFFFF"/>
          <w:lang w:val="zh-CN" w:eastAsia="zh-CN"/>
        </w:rPr>
        <w:t>开展。</w:t>
      </w:r>
    </w:p>
    <w:p w14:paraId="4BACFB1A">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001A2811">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（一）评价目的。</w:t>
      </w:r>
    </w:p>
    <w:p w14:paraId="5478EEF2">
      <w:pPr>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根据实际情况开展自评，以保证</w:t>
      </w:r>
      <w:r>
        <w:rPr>
          <w:rFonts w:hint="eastAsia" w:ascii="仿宋_GB2312" w:hAnsi="仿宋_GB2312" w:eastAsia="仿宋_GB2312" w:cs="仿宋_GB2312"/>
          <w:color w:val="auto"/>
          <w:sz w:val="32"/>
          <w:szCs w:val="32"/>
          <w:shd w:val="clear" w:color="auto" w:fill="FFFFFF"/>
          <w:lang w:val="zh-CN"/>
        </w:rPr>
        <w:t>申报内容与实际相符，申报目标合理可行，</w:t>
      </w:r>
      <w:r>
        <w:rPr>
          <w:rFonts w:hint="eastAsia" w:ascii="仿宋_GB2312" w:hAnsi="仿宋_GB2312" w:eastAsia="仿宋_GB2312" w:cs="仿宋_GB2312"/>
          <w:color w:val="auto"/>
          <w:sz w:val="32"/>
          <w:szCs w:val="32"/>
          <w:shd w:val="clear" w:color="auto" w:fill="FFFFFF"/>
          <w:lang w:val="en-US" w:eastAsia="zh-CN"/>
        </w:rPr>
        <w:t>查缺补漏。</w:t>
      </w:r>
    </w:p>
    <w:p w14:paraId="4507CCC0">
      <w:pPr>
        <w:numPr>
          <w:ilvl w:val="0"/>
          <w:numId w:val="6"/>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预设问题及评价重点。</w:t>
      </w:r>
    </w:p>
    <w:p w14:paraId="2C52784E">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按照绩效评价指标体系，</w:t>
      </w:r>
      <w:r>
        <w:rPr>
          <w:rFonts w:hint="eastAsia" w:ascii="仿宋_GB2312" w:hAnsi="仿宋_GB2312" w:eastAsia="仿宋_GB2312" w:cs="仿宋_GB2312"/>
          <w:color w:val="auto"/>
          <w:sz w:val="32"/>
          <w:szCs w:val="32"/>
          <w:shd w:val="clear" w:color="auto" w:fill="FFFFFF"/>
          <w:lang w:val="en-US" w:eastAsia="zh-CN"/>
        </w:rPr>
        <w:t>对</w:t>
      </w:r>
      <w:r>
        <w:rPr>
          <w:rFonts w:hint="eastAsia" w:ascii="仿宋_GB2312" w:hAnsi="仿宋_GB2312" w:eastAsia="仿宋_GB2312" w:cs="仿宋_GB2312"/>
          <w:color w:val="auto"/>
          <w:sz w:val="32"/>
          <w:szCs w:val="32"/>
          <w:shd w:val="clear" w:color="auto" w:fill="FFFFFF"/>
          <w:lang w:val="zh-CN" w:eastAsia="zh-CN"/>
        </w:rPr>
        <w:t>项目实际列支内容与项目绩效目标设置方向相符</w:t>
      </w:r>
      <w:r>
        <w:rPr>
          <w:rFonts w:hint="eastAsia" w:ascii="仿宋_GB2312" w:hAnsi="仿宋_GB2312" w:eastAsia="仿宋_GB2312" w:cs="仿宋_GB2312"/>
          <w:color w:val="auto"/>
          <w:sz w:val="32"/>
          <w:szCs w:val="32"/>
          <w:shd w:val="clear" w:color="auto" w:fill="FFFFFF"/>
          <w:lang w:val="en-US" w:eastAsia="zh-CN"/>
        </w:rPr>
        <w:t>程度</w:t>
      </w:r>
      <w:r>
        <w:rPr>
          <w:rFonts w:hint="eastAsia" w:ascii="仿宋_GB2312" w:hAnsi="仿宋_GB2312" w:eastAsia="仿宋_GB2312" w:cs="仿宋_GB2312"/>
          <w:color w:val="auto"/>
          <w:sz w:val="32"/>
          <w:szCs w:val="32"/>
          <w:shd w:val="clear" w:color="auto" w:fill="FFFFFF"/>
          <w:lang w:val="zh-CN" w:eastAsia="zh-CN"/>
        </w:rPr>
        <w:t>、</w:t>
      </w:r>
      <w:r>
        <w:rPr>
          <w:rFonts w:hint="eastAsia" w:ascii="仿宋_GB2312" w:hAnsi="仿宋_GB2312" w:eastAsia="仿宋_GB2312" w:cs="仿宋_GB2312"/>
          <w:color w:val="auto"/>
          <w:sz w:val="32"/>
          <w:szCs w:val="32"/>
          <w:shd w:val="clear" w:color="auto" w:fill="FFFFFF"/>
          <w:lang w:val="en-US" w:eastAsia="zh-CN"/>
        </w:rPr>
        <w:t>支出进度、绩效目标完成度，</w:t>
      </w:r>
      <w:r>
        <w:rPr>
          <w:rFonts w:hint="eastAsia" w:ascii="仿宋_GB2312" w:hAnsi="仿宋_GB2312" w:eastAsia="仿宋_GB2312" w:cs="仿宋_GB2312"/>
          <w:color w:val="auto"/>
          <w:sz w:val="32"/>
          <w:szCs w:val="32"/>
          <w:shd w:val="clear" w:color="auto" w:fill="FFFFFF"/>
          <w:lang w:val="zh-CN" w:eastAsia="zh-CN"/>
        </w:rPr>
        <w:t>对资金支出使用全过程及其实施效果进行</w:t>
      </w:r>
      <w:r>
        <w:rPr>
          <w:rFonts w:hint="eastAsia" w:ascii="仿宋_GB2312" w:hAnsi="仿宋_GB2312" w:eastAsia="仿宋_GB2312" w:cs="仿宋_GB2312"/>
          <w:color w:val="auto"/>
          <w:sz w:val="32"/>
          <w:szCs w:val="32"/>
          <w:shd w:val="clear" w:color="auto" w:fill="FFFFFF"/>
          <w:lang w:val="en-US" w:eastAsia="zh-CN"/>
        </w:rPr>
        <w:t>重点</w:t>
      </w:r>
      <w:r>
        <w:rPr>
          <w:rFonts w:hint="eastAsia" w:ascii="仿宋_GB2312" w:hAnsi="仿宋_GB2312" w:eastAsia="仿宋_GB2312" w:cs="仿宋_GB2312"/>
          <w:color w:val="auto"/>
          <w:sz w:val="32"/>
          <w:szCs w:val="32"/>
          <w:shd w:val="clear" w:color="auto" w:fill="FFFFFF"/>
          <w:lang w:val="zh-CN" w:eastAsia="zh-CN"/>
        </w:rPr>
        <w:t>综合评价。</w:t>
      </w:r>
    </w:p>
    <w:p w14:paraId="0EDE76BA">
      <w:pPr>
        <w:numPr>
          <w:ilvl w:val="0"/>
          <w:numId w:val="6"/>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评价选点。</w:t>
      </w:r>
    </w:p>
    <w:p w14:paraId="60548187">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选取路政巡查开展次数、群众满意度、公路完好率综合分析自评</w:t>
      </w:r>
      <w:r>
        <w:rPr>
          <w:rFonts w:hint="eastAsia" w:ascii="仿宋_GB2312" w:hAnsi="仿宋_GB2312" w:eastAsia="仿宋_GB2312" w:cs="仿宋_GB2312"/>
          <w:color w:val="auto"/>
          <w:sz w:val="32"/>
          <w:szCs w:val="32"/>
          <w:shd w:val="clear" w:color="auto" w:fill="FFFFFF"/>
          <w:lang w:val="zh-CN" w:eastAsia="zh-CN"/>
        </w:rPr>
        <w:t>。</w:t>
      </w:r>
    </w:p>
    <w:p w14:paraId="1BFA8AB9">
      <w:pPr>
        <w:numPr>
          <w:ilvl w:val="0"/>
          <w:numId w:val="6"/>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评价方法。</w:t>
      </w:r>
    </w:p>
    <w:p w14:paraId="26EBDD2B">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eastAsia="仿宋_GB2312"/>
          <w:sz w:val="32"/>
          <w:szCs w:val="32"/>
          <w:lang w:val="zh-CN"/>
        </w:rPr>
      </w:pPr>
      <w:r>
        <w:rPr>
          <w:rFonts w:hint="eastAsia" w:ascii="仿宋_GB2312" w:hAnsi="仿宋_GB2312" w:eastAsia="仿宋_GB2312" w:cs="仿宋_GB2312"/>
          <w:color w:val="auto"/>
          <w:sz w:val="32"/>
          <w:szCs w:val="32"/>
          <w:shd w:val="clear" w:color="auto" w:fill="FFFFFF"/>
          <w:lang w:val="zh-CN" w:eastAsia="zh-CN"/>
        </w:rPr>
        <w:t>成本效益分析法案卷研究法、单位自评法、实地勘察法、等多种方法</w:t>
      </w:r>
      <w:r>
        <w:rPr>
          <w:rFonts w:hint="eastAsia" w:eastAsia="仿宋_GB2312"/>
          <w:sz w:val="32"/>
          <w:szCs w:val="32"/>
          <w:lang w:val="zh-CN"/>
        </w:rPr>
        <w:t>。</w:t>
      </w:r>
    </w:p>
    <w:p w14:paraId="70BFC81A">
      <w:pPr>
        <w:numPr>
          <w:ilvl w:val="0"/>
          <w:numId w:val="6"/>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评价组织。</w:t>
      </w:r>
    </w:p>
    <w:p w14:paraId="1D054316">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单位以分管领导为组长，财务人员和有关人员组成评价工作小组，制定自评方法，根据实际情况分别对项目实施进度情况、资金使用情况、目标完成情况科学合理评价项目绩效。</w:t>
      </w:r>
    </w:p>
    <w:p w14:paraId="5FD0B116">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387DB91F">
      <w:pPr>
        <w:ind w:firstLine="640" w:firstLineChars="200"/>
        <w:rPr>
          <w:rFonts w:eastAsia="仿宋_GB2312"/>
          <w:sz w:val="32"/>
          <w:szCs w:val="32"/>
          <w:lang w:val="zh-CN"/>
        </w:rPr>
      </w:pPr>
      <w:r>
        <w:rPr>
          <w:rFonts w:hint="eastAsia" w:eastAsia="仿宋_GB2312"/>
          <w:sz w:val="32"/>
          <w:szCs w:val="32"/>
          <w:lang w:val="zh-CN"/>
        </w:rPr>
        <w:t>根据项目预算绩效评价指标体系“通用指标”“专用指标”“个性指标”涉及二、三级指标进行逐项绩效分析并评分。</w:t>
      </w:r>
    </w:p>
    <w:p w14:paraId="73C92ACA">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76E1C698">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zh-CN" w:eastAsia="zh-CN"/>
        </w:rPr>
        <w:t>1.项目决策。</w:t>
      </w:r>
    </w:p>
    <w:p w14:paraId="06E41A1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本单位</w:t>
      </w:r>
      <w:r>
        <w:rPr>
          <w:rFonts w:hint="eastAsia" w:ascii="仿宋_GB2312" w:hAnsi="仿宋_GB2312" w:eastAsia="仿宋_GB2312" w:cs="仿宋_GB2312"/>
          <w:color w:val="auto"/>
          <w:sz w:val="32"/>
          <w:szCs w:val="32"/>
          <w:shd w:val="clear" w:color="auto" w:fill="FFFFFF"/>
          <w:lang w:val="zh-CN" w:eastAsia="zh-CN"/>
        </w:rPr>
        <w:t>预算项目设立与部门职能职责相符、充分履行项目申报论证程序，项目绩效目标制定符合科学合理、规范完整、量化细化、预算匹配的要求。</w:t>
      </w:r>
    </w:p>
    <w:p w14:paraId="33A35C3C">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zh-CN" w:eastAsia="zh-CN"/>
        </w:rPr>
        <w:t>2.项目管理。</w:t>
      </w:r>
    </w:p>
    <w:p w14:paraId="5F2ECFA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我单位</w:t>
      </w:r>
      <w:r>
        <w:rPr>
          <w:rFonts w:hint="eastAsia" w:ascii="仿宋_GB2312" w:hAnsi="仿宋_GB2312" w:eastAsia="仿宋_GB2312" w:cs="仿宋_GB2312"/>
          <w:color w:val="auto"/>
          <w:sz w:val="32"/>
          <w:szCs w:val="32"/>
          <w:shd w:val="clear" w:color="auto" w:fill="FFFFFF"/>
          <w:lang w:val="zh-CN" w:eastAsia="zh-CN"/>
        </w:rPr>
        <w:t>已制定绩效管理制度，内部财务管理制度，部门财务工作岗位设置合理，职责权限明确，并严格实行不相容岗位分离的</w:t>
      </w:r>
      <w:r>
        <w:rPr>
          <w:rFonts w:hint="eastAsia" w:ascii="仿宋_GB2312" w:hAnsi="仿宋_GB2312" w:eastAsia="仿宋_GB2312" w:cs="仿宋_GB2312"/>
          <w:color w:val="auto"/>
          <w:sz w:val="32"/>
          <w:szCs w:val="32"/>
          <w:shd w:val="clear" w:color="auto" w:fill="FFFFFF"/>
          <w:lang w:val="en-US" w:eastAsia="zh-CN"/>
        </w:rPr>
        <w:t>制度，项目资金使用符合相关财务管理制度规定。</w:t>
      </w:r>
    </w:p>
    <w:p w14:paraId="2A9BE623">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en-US" w:eastAsia="zh-CN"/>
        </w:rPr>
        <w:t>3.</w:t>
      </w:r>
      <w:r>
        <w:rPr>
          <w:rFonts w:hint="eastAsia" w:ascii="楷体_GB2312" w:eastAsia="楷体_GB2312"/>
          <w:sz w:val="32"/>
          <w:szCs w:val="32"/>
          <w:lang w:val="zh-CN" w:eastAsia="zh-CN"/>
        </w:rPr>
        <w:t>项目实施。</w:t>
      </w:r>
    </w:p>
    <w:p w14:paraId="5605677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Times New Roman" w:hAnsi="Times New Roman" w:cs="Times New Roman"/>
          <w:szCs w:val="32"/>
          <w:lang w:val="zh-CN" w:bidi="ar"/>
        </w:rPr>
      </w:pPr>
      <w:r>
        <w:rPr>
          <w:rFonts w:hint="eastAsia" w:ascii="仿宋_GB2312" w:hAnsi="仿宋_GB2312" w:eastAsia="仿宋_GB2312" w:cs="仿宋_GB2312"/>
          <w:color w:val="auto"/>
          <w:sz w:val="32"/>
          <w:szCs w:val="32"/>
          <w:shd w:val="clear" w:color="auto" w:fill="FFFFFF"/>
          <w:lang w:val="en-US" w:eastAsia="zh-CN"/>
        </w:rPr>
        <w:t>本单位</w:t>
      </w:r>
      <w:r>
        <w:rPr>
          <w:rFonts w:hint="eastAsia" w:ascii="仿宋_GB2312" w:hAnsi="仿宋_GB2312" w:eastAsia="仿宋_GB2312" w:cs="仿宋_GB2312"/>
          <w:color w:val="auto"/>
          <w:sz w:val="32"/>
          <w:szCs w:val="32"/>
          <w:shd w:val="clear" w:color="auto" w:fill="FFFFFF"/>
          <w:lang w:val="zh-CN" w:eastAsia="zh-CN"/>
        </w:rPr>
        <w:t>项目实际列支内容与项目绩效目标设置方向相符。</w:t>
      </w:r>
      <w:r>
        <w:rPr>
          <w:rFonts w:hint="eastAsia" w:ascii="仿宋_GB2312" w:hAnsi="仿宋_GB2312" w:eastAsia="仿宋_GB2312" w:cs="仿宋_GB2312"/>
          <w:color w:val="auto"/>
          <w:sz w:val="32"/>
          <w:szCs w:val="32"/>
          <w:shd w:val="clear" w:color="auto" w:fill="FFFFFF"/>
          <w:lang w:val="en-US" w:eastAsia="zh-CN"/>
        </w:rPr>
        <w:t>无</w:t>
      </w:r>
      <w:r>
        <w:rPr>
          <w:rFonts w:hint="eastAsia" w:ascii="仿宋_GB2312" w:hAnsi="仿宋_GB2312" w:eastAsia="仿宋_GB2312" w:cs="仿宋_GB2312"/>
          <w:color w:val="auto"/>
          <w:sz w:val="32"/>
          <w:szCs w:val="32"/>
          <w:shd w:val="clear" w:color="auto" w:fill="FFFFFF"/>
          <w:lang w:val="zh-CN" w:eastAsia="zh-CN"/>
        </w:rPr>
        <w:t>项目预算调整，预算项目预算执行进度在6、9、11月达到序时进度的80%、90%、90%，</w:t>
      </w:r>
      <w:r>
        <w:rPr>
          <w:rFonts w:hint="eastAsia" w:ascii="仿宋_GB2312" w:hAnsi="仿宋_GB2312" w:eastAsia="仿宋_GB2312" w:cs="仿宋_GB2312"/>
          <w:color w:val="auto"/>
          <w:sz w:val="32"/>
          <w:szCs w:val="32"/>
          <w:shd w:val="clear" w:color="auto" w:fill="FFFFFF"/>
          <w:lang w:val="en-US" w:eastAsia="zh-CN"/>
        </w:rPr>
        <w:t>无年终预算结余。</w:t>
      </w:r>
    </w:p>
    <w:p w14:paraId="5DE27FDC">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en-US" w:eastAsia="zh-CN"/>
        </w:rPr>
        <w:t>4.</w:t>
      </w:r>
      <w:r>
        <w:rPr>
          <w:rFonts w:hint="eastAsia" w:ascii="楷体_GB2312" w:eastAsia="楷体_GB2312"/>
          <w:sz w:val="32"/>
          <w:szCs w:val="32"/>
          <w:lang w:val="zh-CN" w:eastAsia="zh-CN"/>
        </w:rPr>
        <w:t>项目结果。</w:t>
      </w:r>
    </w:p>
    <w:p w14:paraId="724338D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zh-CN" w:eastAsia="zh-CN"/>
        </w:rPr>
        <w:t>数量指标：至202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eastAsia="zh-CN"/>
        </w:rPr>
        <w:t>年12月31日，</w:t>
      </w:r>
      <w:r>
        <w:rPr>
          <w:rFonts w:hint="eastAsia" w:ascii="仿宋_GB2312" w:hAnsi="仿宋_GB2312" w:eastAsia="仿宋_GB2312" w:cs="仿宋_GB2312"/>
          <w:color w:val="auto"/>
          <w:sz w:val="32"/>
          <w:szCs w:val="32"/>
          <w:shd w:val="clear" w:color="auto" w:fill="FFFFFF"/>
          <w:lang w:val="en-US" w:eastAsia="zh-CN"/>
        </w:rPr>
        <w:t>巡查次数大于60次。</w:t>
      </w:r>
    </w:p>
    <w:p w14:paraId="53E32B0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质</w:t>
      </w:r>
      <w:r>
        <w:rPr>
          <w:rFonts w:hint="eastAsia" w:ascii="仿宋_GB2312" w:hAnsi="仿宋_GB2312" w:eastAsia="仿宋_GB2312" w:cs="仿宋_GB2312"/>
          <w:color w:val="auto"/>
          <w:sz w:val="32"/>
          <w:szCs w:val="32"/>
          <w:shd w:val="clear" w:color="auto" w:fill="FFFFFF"/>
          <w:lang w:val="zh-CN" w:eastAsia="zh-CN"/>
        </w:rPr>
        <w:t>量指标：</w:t>
      </w:r>
      <w:r>
        <w:rPr>
          <w:rFonts w:hint="eastAsia" w:ascii="仿宋_GB2312" w:hAnsi="仿宋_GB2312" w:eastAsia="仿宋_GB2312" w:cs="仿宋_GB2312"/>
          <w:color w:val="auto"/>
          <w:sz w:val="32"/>
          <w:szCs w:val="32"/>
          <w:shd w:val="clear" w:color="auto" w:fill="FFFFFF"/>
          <w:lang w:val="en-US" w:eastAsia="zh-CN"/>
        </w:rPr>
        <w:t>检查合格率大于等于95%。</w:t>
      </w:r>
    </w:p>
    <w:p w14:paraId="4DE329A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满意度指</w:t>
      </w:r>
      <w:r>
        <w:rPr>
          <w:rFonts w:hint="eastAsia" w:ascii="仿宋_GB2312" w:hAnsi="仿宋_GB2312" w:eastAsia="仿宋_GB2312" w:cs="仿宋_GB2312"/>
          <w:color w:val="auto"/>
          <w:sz w:val="32"/>
          <w:szCs w:val="32"/>
          <w:shd w:val="clear" w:color="auto" w:fill="FFFFFF"/>
          <w:lang w:val="zh-CN" w:eastAsia="zh-CN"/>
        </w:rPr>
        <w:t>标：</w:t>
      </w:r>
      <w:r>
        <w:rPr>
          <w:rFonts w:hint="eastAsia" w:ascii="仿宋_GB2312" w:hAnsi="仿宋_GB2312" w:eastAsia="仿宋_GB2312" w:cs="仿宋_GB2312"/>
          <w:color w:val="auto"/>
          <w:sz w:val="32"/>
          <w:szCs w:val="32"/>
          <w:shd w:val="clear" w:color="auto" w:fill="FFFFFF"/>
          <w:lang w:val="en-US" w:eastAsia="zh-CN"/>
        </w:rPr>
        <w:t>服务对象满意度大于等于90%。</w:t>
      </w:r>
    </w:p>
    <w:p w14:paraId="5E2AF08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时效指标：完成时间截止202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eastAsia="zh-CN"/>
        </w:rPr>
        <w:t>年12月31日。</w:t>
      </w:r>
    </w:p>
    <w:p w14:paraId="62DC390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社会效益</w:t>
      </w:r>
      <w:r>
        <w:rPr>
          <w:rFonts w:hint="eastAsia" w:ascii="仿宋_GB2312" w:hAnsi="仿宋_GB2312" w:eastAsia="仿宋_GB2312" w:cs="仿宋_GB2312"/>
          <w:color w:val="auto"/>
          <w:sz w:val="32"/>
          <w:szCs w:val="32"/>
          <w:shd w:val="clear" w:color="auto" w:fill="FFFFFF"/>
          <w:lang w:val="zh-CN" w:eastAsia="zh-CN"/>
        </w:rPr>
        <w:t>指标：保障公路完好率</w:t>
      </w:r>
      <w:r>
        <w:rPr>
          <w:rFonts w:hint="eastAsia" w:ascii="仿宋_GB2312" w:hAnsi="仿宋_GB2312" w:eastAsia="仿宋_GB2312" w:cs="仿宋_GB2312"/>
          <w:color w:val="auto"/>
          <w:sz w:val="32"/>
          <w:szCs w:val="32"/>
          <w:shd w:val="clear" w:color="auto" w:fill="FFFFFF"/>
          <w:lang w:val="en-US" w:eastAsia="zh-CN"/>
        </w:rPr>
        <w:t>大于等于95%</w:t>
      </w:r>
      <w:r>
        <w:rPr>
          <w:rFonts w:hint="eastAsia" w:ascii="仿宋_GB2312" w:hAnsi="仿宋_GB2312" w:eastAsia="仿宋_GB2312" w:cs="仿宋_GB2312"/>
          <w:color w:val="auto"/>
          <w:sz w:val="32"/>
          <w:szCs w:val="32"/>
          <w:shd w:val="clear" w:color="auto" w:fill="FFFFFF"/>
          <w:lang w:val="zh-CN" w:eastAsia="zh-CN"/>
        </w:rPr>
        <w:t>。</w:t>
      </w:r>
    </w:p>
    <w:p w14:paraId="537F2BD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部门预算项目绩效目标中</w:t>
      </w:r>
      <w:r>
        <w:rPr>
          <w:rFonts w:hint="eastAsia" w:ascii="仿宋_GB2312" w:hAnsi="仿宋_GB2312" w:eastAsia="仿宋_GB2312" w:cs="仿宋_GB2312"/>
          <w:color w:val="auto"/>
          <w:sz w:val="32"/>
          <w:szCs w:val="32"/>
          <w:shd w:val="clear" w:color="auto" w:fill="FFFFFF"/>
          <w:lang w:val="en-US" w:eastAsia="zh-CN"/>
        </w:rPr>
        <w:t>全部</w:t>
      </w:r>
      <w:r>
        <w:rPr>
          <w:rFonts w:hint="eastAsia" w:ascii="仿宋_GB2312" w:hAnsi="仿宋_GB2312" w:eastAsia="仿宋_GB2312" w:cs="仿宋_GB2312"/>
          <w:color w:val="auto"/>
          <w:sz w:val="32"/>
          <w:szCs w:val="32"/>
          <w:shd w:val="clear" w:color="auto" w:fill="FFFFFF"/>
          <w:lang w:val="zh-CN" w:eastAsia="zh-CN"/>
        </w:rPr>
        <w:t>指标</w:t>
      </w:r>
      <w:r>
        <w:rPr>
          <w:rFonts w:hint="eastAsia" w:ascii="仿宋_GB2312" w:hAnsi="仿宋_GB2312" w:eastAsia="仿宋_GB2312" w:cs="仿宋_GB2312"/>
          <w:color w:val="auto"/>
          <w:sz w:val="32"/>
          <w:szCs w:val="32"/>
          <w:shd w:val="clear" w:color="auto" w:fill="FFFFFF"/>
          <w:lang w:val="en-US" w:eastAsia="zh-CN"/>
        </w:rPr>
        <w:t>均已</w:t>
      </w:r>
      <w:r>
        <w:rPr>
          <w:rFonts w:hint="eastAsia" w:ascii="仿宋_GB2312" w:hAnsi="仿宋_GB2312" w:eastAsia="仿宋_GB2312" w:cs="仿宋_GB2312"/>
          <w:color w:val="auto"/>
          <w:sz w:val="32"/>
          <w:szCs w:val="32"/>
          <w:shd w:val="clear" w:color="auto" w:fill="FFFFFF"/>
          <w:lang w:val="zh-CN" w:eastAsia="zh-CN"/>
        </w:rPr>
        <w:t>完成，项目绩效目标实现程度与预期目标</w:t>
      </w:r>
      <w:r>
        <w:rPr>
          <w:rFonts w:hint="eastAsia" w:ascii="仿宋_GB2312" w:hAnsi="仿宋_GB2312" w:eastAsia="仿宋_GB2312" w:cs="仿宋_GB2312"/>
          <w:color w:val="auto"/>
          <w:sz w:val="32"/>
          <w:szCs w:val="32"/>
          <w:shd w:val="clear" w:color="auto" w:fill="FFFFFF"/>
          <w:lang w:val="en-US" w:eastAsia="zh-CN"/>
        </w:rPr>
        <w:t>无</w:t>
      </w:r>
      <w:r>
        <w:rPr>
          <w:rFonts w:hint="eastAsia" w:ascii="仿宋_GB2312" w:hAnsi="仿宋_GB2312" w:eastAsia="仿宋_GB2312" w:cs="仿宋_GB2312"/>
          <w:color w:val="auto"/>
          <w:sz w:val="32"/>
          <w:szCs w:val="32"/>
          <w:shd w:val="clear" w:color="auto" w:fill="FFFFFF"/>
          <w:lang w:val="zh-CN" w:eastAsia="zh-CN"/>
        </w:rPr>
        <w:t>偏离。</w:t>
      </w:r>
    </w:p>
    <w:p w14:paraId="19A5CD54">
      <w:pPr>
        <w:numPr>
          <w:ilvl w:val="0"/>
          <w:numId w:val="7"/>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专用指标绩效分析。</w:t>
      </w:r>
    </w:p>
    <w:p w14:paraId="332AA92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无。</w:t>
      </w:r>
    </w:p>
    <w:p w14:paraId="773770C8">
      <w:pPr>
        <w:numPr>
          <w:ilvl w:val="0"/>
          <w:numId w:val="7"/>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个性指标绩效分析。</w:t>
      </w:r>
    </w:p>
    <w:p w14:paraId="1F0B7F1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无。</w:t>
      </w:r>
    </w:p>
    <w:p w14:paraId="0815B8F0">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14DD050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截止202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eastAsia="zh-CN"/>
        </w:rPr>
        <w:t>年12月底，我单位整体绩效目标制定、目标完成、预算编制情况等均准确合理，支出控制、预算动态调整、执行进度、预算完成情况良好，无任何违规违纪等情况，</w:t>
      </w:r>
      <w:r>
        <w:rPr>
          <w:rFonts w:hint="eastAsia" w:ascii="仿宋_GB2312" w:hAnsi="仿宋_GB2312" w:eastAsia="仿宋_GB2312" w:cs="仿宋_GB2312"/>
          <w:color w:val="auto"/>
          <w:sz w:val="32"/>
          <w:szCs w:val="32"/>
          <w:shd w:val="clear" w:color="auto" w:fill="FFFFFF"/>
          <w:lang w:val="en-US" w:eastAsia="zh-CN"/>
        </w:rPr>
        <w:t>部门预算项目自评得分100分</w:t>
      </w:r>
      <w:r>
        <w:rPr>
          <w:rFonts w:hint="eastAsia" w:ascii="仿宋_GB2312" w:hAnsi="仿宋_GB2312" w:eastAsia="仿宋_GB2312" w:cs="仿宋_GB2312"/>
          <w:color w:val="auto"/>
          <w:sz w:val="32"/>
          <w:szCs w:val="32"/>
          <w:shd w:val="clear" w:color="auto" w:fill="FFFFFF"/>
          <w:lang w:val="zh-CN" w:eastAsia="zh-CN"/>
        </w:rPr>
        <w:t>。</w:t>
      </w:r>
    </w:p>
    <w:p w14:paraId="120F42EA">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14:paraId="2165F0D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在</w:t>
      </w:r>
      <w:r>
        <w:rPr>
          <w:rFonts w:hint="eastAsia" w:ascii="仿宋_GB2312" w:hAnsi="仿宋_GB2312" w:eastAsia="仿宋_GB2312" w:cs="仿宋_GB2312"/>
          <w:color w:val="auto"/>
          <w:sz w:val="32"/>
          <w:szCs w:val="32"/>
          <w:shd w:val="clear" w:color="auto" w:fill="FFFFFF"/>
          <w:lang w:val="zh-CN" w:eastAsia="zh-CN"/>
        </w:rPr>
        <w:t>预算绩效</w:t>
      </w:r>
      <w:r>
        <w:rPr>
          <w:rFonts w:hint="eastAsia" w:ascii="仿宋_GB2312" w:hAnsi="仿宋_GB2312" w:eastAsia="仿宋_GB2312" w:cs="仿宋_GB2312"/>
          <w:color w:val="auto"/>
          <w:sz w:val="32"/>
          <w:szCs w:val="32"/>
          <w:shd w:val="clear" w:color="auto" w:fill="FFFFFF"/>
          <w:lang w:val="en-US" w:eastAsia="zh-CN"/>
        </w:rPr>
        <w:t>项目设置、目标设置中，应当与时俱进，根据实际情况积极作出改变。在预算目标设置及预算执行方面还需继续努力，继续提升。</w:t>
      </w:r>
    </w:p>
    <w:p w14:paraId="08049560">
      <w:pPr>
        <w:numPr>
          <w:ilvl w:val="0"/>
          <w:numId w:val="8"/>
        </w:numPr>
        <w:ind w:firstLine="640" w:firstLineChars="200"/>
        <w:rPr>
          <w:rFonts w:hint="eastAsia" w:ascii="黑体" w:hAnsi="黑体" w:eastAsia="黑体"/>
          <w:sz w:val="32"/>
          <w:szCs w:val="32"/>
          <w:lang w:val="zh-CN" w:eastAsia="zh-CN"/>
        </w:rPr>
      </w:pPr>
      <w:r>
        <w:rPr>
          <w:rFonts w:hint="eastAsia" w:ascii="黑体" w:hAnsi="黑体" w:eastAsia="黑体"/>
          <w:sz w:val="32"/>
          <w:szCs w:val="32"/>
          <w:lang w:val="zh-CN" w:eastAsia="zh-CN"/>
        </w:rPr>
        <w:t>改进建议</w:t>
      </w:r>
    </w:p>
    <w:p w14:paraId="120423E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 xml:space="preserve"> 改进管理措施，提高管理水平，降低运行成本，提高资源使用的效率和效益；加强各股室、站点对绩效评价的认识，在实施阶段，做好监督，跟踪管理；实施后及时总结自评。</w:t>
      </w:r>
    </w:p>
    <w:p w14:paraId="25FBB410">
      <w:pPr>
        <w:rPr>
          <w:lang w:val="zh-CN"/>
        </w:rPr>
        <w:sectPr>
          <w:footerReference r:id="rId7" w:type="first"/>
          <w:pgSz w:w="11906" w:h="16838"/>
          <w:pgMar w:top="1440" w:right="1800" w:bottom="1440" w:left="1800" w:header="851" w:footer="992" w:gutter="0"/>
          <w:pgNumType w:fmt="decimal" w:start="25"/>
          <w:cols w:space="425" w:num="1"/>
          <w:titlePg/>
          <w:docGrid w:type="lines" w:linePitch="312" w:charSpace="0"/>
        </w:sectPr>
      </w:pPr>
    </w:p>
    <w:p w14:paraId="19592A98">
      <w:pPr>
        <w:pStyle w:val="2"/>
        <w:rPr>
          <w:lang w:val="zh-CN"/>
        </w:rPr>
      </w:pPr>
    </w:p>
    <w:p w14:paraId="7E7D6317">
      <w:pPr>
        <w:pStyle w:val="33"/>
        <w:autoSpaceDE/>
        <w:autoSpaceDN/>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万源市交通运输综合行政执法大队</w:t>
      </w:r>
    </w:p>
    <w:p w14:paraId="391853BB">
      <w:pPr>
        <w:pStyle w:val="33"/>
        <w:autoSpaceDE/>
        <w:autoSpaceDN/>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eastAsia="zh-CN"/>
        </w:rPr>
        <w:t>打黑打非专项整治</w:t>
      </w:r>
      <w:r>
        <w:rPr>
          <w:rFonts w:hint="eastAsia" w:ascii="方正小标宋简体" w:hAnsi="方正小标宋简体" w:eastAsia="方正小标宋简体" w:cs="方正小标宋简体"/>
          <w:color w:val="auto"/>
          <w:kern w:val="2"/>
          <w:sz w:val="44"/>
          <w:szCs w:val="44"/>
          <w:lang w:val="en-US"/>
        </w:rPr>
        <w:t>经费项目</w:t>
      </w:r>
    </w:p>
    <w:p w14:paraId="05996398">
      <w:pPr>
        <w:pStyle w:val="33"/>
        <w:autoSpaceDE/>
        <w:autoSpaceDN/>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w:t>
      </w:r>
      <w:r>
        <w:rPr>
          <w:rFonts w:hint="eastAsia" w:ascii="方正小标宋简体" w:hAnsi="方正小标宋简体" w:eastAsia="方正小标宋简体" w:cs="方正小标宋简体"/>
          <w:color w:val="auto"/>
          <w:kern w:val="2"/>
          <w:sz w:val="44"/>
          <w:szCs w:val="44"/>
          <w:lang w:val="en-US" w:eastAsia="zh-CN"/>
        </w:rPr>
        <w:t>3</w:t>
      </w:r>
      <w:r>
        <w:rPr>
          <w:rFonts w:hint="eastAsia" w:ascii="方正小标宋简体" w:hAnsi="方正小标宋简体" w:eastAsia="方正小标宋简体" w:cs="方正小标宋简体"/>
          <w:color w:val="auto"/>
          <w:kern w:val="2"/>
          <w:sz w:val="44"/>
          <w:szCs w:val="44"/>
          <w:lang w:val="en-US"/>
        </w:rPr>
        <w:t>年绩效评价报告</w:t>
      </w:r>
    </w:p>
    <w:p w14:paraId="4112AFB7">
      <w:pPr>
        <w:rPr>
          <w:rFonts w:eastAsia="仿宋_GB2312"/>
          <w:sz w:val="32"/>
          <w:szCs w:val="32"/>
          <w:lang w:val="zh-CN"/>
        </w:rPr>
      </w:pPr>
    </w:p>
    <w:p w14:paraId="0DEEFA76">
      <w:pPr>
        <w:pStyle w:val="2"/>
        <w:rPr>
          <w:lang w:val="zh-CN"/>
        </w:rPr>
      </w:pPr>
    </w:p>
    <w:p w14:paraId="75B5295E">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14:paraId="558E6FE0">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（一）设立背景及基本情况。</w:t>
      </w:r>
    </w:p>
    <w:p w14:paraId="61DB473C">
      <w:pPr>
        <w:widowControl/>
        <w:numPr>
          <w:ilvl w:val="0"/>
          <w:numId w:val="0"/>
        </w:numPr>
        <w:autoSpaceDE/>
        <w:autoSpaceDN/>
        <w:snapToGrid w:val="0"/>
        <w:spacing w:line="578" w:lineRule="exact"/>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打黑打非专项整治经费是依托于为保障在我市交通运输市场秩序，维护群众出行安全需求而设立的专项经费</w:t>
      </w:r>
      <w:r>
        <w:rPr>
          <w:rFonts w:hint="eastAsia" w:ascii="仿宋_GB2312" w:hAnsi="仿宋_GB2312" w:eastAsia="仿宋_GB2312" w:cs="仿宋_GB2312"/>
          <w:color w:val="auto"/>
          <w:sz w:val="32"/>
          <w:szCs w:val="32"/>
          <w:shd w:val="clear" w:color="auto" w:fill="FFFFFF"/>
          <w:lang w:val="zh-CN"/>
        </w:rPr>
        <w:t>。</w:t>
      </w:r>
    </w:p>
    <w:p w14:paraId="4217EBE0">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（二）实施目的及支持方向。</w:t>
      </w:r>
    </w:p>
    <w:p w14:paraId="19C89145">
      <w:pPr>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打黑打非专项整治经费由执法大队统筹安排，专款专用；满足打黑打非工作的日常办公需求，保障打黑打非专项整治工作平稳运行，维护运输市场秩序。</w:t>
      </w:r>
    </w:p>
    <w:p w14:paraId="4C3DD361">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（三）预算安排及分配管理。</w:t>
      </w:r>
    </w:p>
    <w:p w14:paraId="27985DDC">
      <w:pPr>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打黑打非专项整治经费年初预算4万元。项目资金按打黑打非实际运行情况综合考虑，合理分配。</w:t>
      </w:r>
    </w:p>
    <w:p w14:paraId="359710F6">
      <w:pPr>
        <w:numPr>
          <w:ilvl w:val="0"/>
          <w:numId w:val="5"/>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项目绩效目标设置。</w:t>
      </w:r>
    </w:p>
    <w:p w14:paraId="0EF62778">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项目整体、区域和具体绩效目标设置</w:t>
      </w:r>
      <w:r>
        <w:rPr>
          <w:rFonts w:hint="eastAsia" w:ascii="仿宋_GB2312" w:hAnsi="仿宋_GB2312" w:eastAsia="仿宋_GB2312" w:cs="仿宋_GB2312"/>
          <w:color w:val="auto"/>
          <w:sz w:val="32"/>
          <w:szCs w:val="32"/>
          <w:shd w:val="clear" w:color="auto" w:fill="FFFFFF"/>
          <w:lang w:val="en-US" w:eastAsia="zh-CN"/>
        </w:rPr>
        <w:t>合理完善</w:t>
      </w:r>
      <w:r>
        <w:rPr>
          <w:rFonts w:hint="eastAsia" w:ascii="仿宋_GB2312" w:hAnsi="仿宋_GB2312" w:eastAsia="仿宋_GB2312" w:cs="仿宋_GB2312"/>
          <w:color w:val="auto"/>
          <w:sz w:val="32"/>
          <w:szCs w:val="32"/>
          <w:shd w:val="clear" w:color="auto" w:fill="FFFFFF"/>
          <w:lang w:val="zh-CN" w:eastAsia="zh-CN"/>
        </w:rPr>
        <w:t>，项目自评工作</w:t>
      </w:r>
      <w:r>
        <w:rPr>
          <w:rFonts w:hint="eastAsia" w:ascii="仿宋_GB2312" w:hAnsi="仿宋_GB2312" w:eastAsia="仿宋_GB2312" w:cs="仿宋_GB2312"/>
          <w:color w:val="auto"/>
          <w:sz w:val="32"/>
          <w:szCs w:val="32"/>
          <w:shd w:val="clear" w:color="auto" w:fill="FFFFFF"/>
          <w:lang w:val="en-US" w:eastAsia="zh-CN"/>
        </w:rPr>
        <w:t>正常</w:t>
      </w:r>
      <w:r>
        <w:rPr>
          <w:rFonts w:hint="eastAsia" w:ascii="仿宋_GB2312" w:hAnsi="仿宋_GB2312" w:eastAsia="仿宋_GB2312" w:cs="仿宋_GB2312"/>
          <w:color w:val="auto"/>
          <w:sz w:val="32"/>
          <w:szCs w:val="32"/>
          <w:shd w:val="clear" w:color="auto" w:fill="FFFFFF"/>
          <w:lang w:val="zh-CN" w:eastAsia="zh-CN"/>
        </w:rPr>
        <w:t>开展。</w:t>
      </w:r>
    </w:p>
    <w:p w14:paraId="14E4DA6F">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11284373">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（一）评价目的。</w:t>
      </w:r>
    </w:p>
    <w:p w14:paraId="72526B5B">
      <w:pPr>
        <w:ind w:firstLine="640"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根据实际情况开展自评，以保证</w:t>
      </w:r>
      <w:r>
        <w:rPr>
          <w:rFonts w:hint="eastAsia" w:ascii="仿宋_GB2312" w:hAnsi="仿宋_GB2312" w:eastAsia="仿宋_GB2312" w:cs="仿宋_GB2312"/>
          <w:color w:val="auto"/>
          <w:sz w:val="32"/>
          <w:szCs w:val="32"/>
          <w:shd w:val="clear" w:color="auto" w:fill="FFFFFF"/>
          <w:lang w:val="zh-CN"/>
        </w:rPr>
        <w:t>申报内容与实际相符，申报目标合理可行，</w:t>
      </w:r>
      <w:r>
        <w:rPr>
          <w:rFonts w:hint="eastAsia" w:ascii="仿宋_GB2312" w:hAnsi="仿宋_GB2312" w:eastAsia="仿宋_GB2312" w:cs="仿宋_GB2312"/>
          <w:color w:val="auto"/>
          <w:sz w:val="32"/>
          <w:szCs w:val="32"/>
          <w:shd w:val="clear" w:color="auto" w:fill="FFFFFF"/>
          <w:lang w:val="en-US" w:eastAsia="zh-CN"/>
        </w:rPr>
        <w:t>查缺补漏。</w:t>
      </w:r>
    </w:p>
    <w:p w14:paraId="2ADEC2E1">
      <w:pPr>
        <w:numPr>
          <w:ilvl w:val="0"/>
          <w:numId w:val="6"/>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预设问题及评价重点。</w:t>
      </w:r>
    </w:p>
    <w:p w14:paraId="3705BC43">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按照绩效评价指标体系，</w:t>
      </w:r>
      <w:r>
        <w:rPr>
          <w:rFonts w:hint="eastAsia" w:ascii="仿宋_GB2312" w:hAnsi="仿宋_GB2312" w:eastAsia="仿宋_GB2312" w:cs="仿宋_GB2312"/>
          <w:color w:val="auto"/>
          <w:sz w:val="32"/>
          <w:szCs w:val="32"/>
          <w:shd w:val="clear" w:color="auto" w:fill="FFFFFF"/>
          <w:lang w:val="en-US" w:eastAsia="zh-CN"/>
        </w:rPr>
        <w:t>对</w:t>
      </w:r>
      <w:r>
        <w:rPr>
          <w:rFonts w:hint="eastAsia" w:ascii="仿宋_GB2312" w:hAnsi="仿宋_GB2312" w:eastAsia="仿宋_GB2312" w:cs="仿宋_GB2312"/>
          <w:color w:val="auto"/>
          <w:sz w:val="32"/>
          <w:szCs w:val="32"/>
          <w:shd w:val="clear" w:color="auto" w:fill="FFFFFF"/>
          <w:lang w:val="zh-CN" w:eastAsia="zh-CN"/>
        </w:rPr>
        <w:t>项目实际列支内容与项目绩效目标设置方向相符</w:t>
      </w:r>
      <w:r>
        <w:rPr>
          <w:rFonts w:hint="eastAsia" w:ascii="仿宋_GB2312" w:hAnsi="仿宋_GB2312" w:eastAsia="仿宋_GB2312" w:cs="仿宋_GB2312"/>
          <w:color w:val="auto"/>
          <w:sz w:val="32"/>
          <w:szCs w:val="32"/>
          <w:shd w:val="clear" w:color="auto" w:fill="FFFFFF"/>
          <w:lang w:val="en-US" w:eastAsia="zh-CN"/>
        </w:rPr>
        <w:t>程度</w:t>
      </w:r>
      <w:r>
        <w:rPr>
          <w:rFonts w:hint="eastAsia" w:ascii="仿宋_GB2312" w:hAnsi="仿宋_GB2312" w:eastAsia="仿宋_GB2312" w:cs="仿宋_GB2312"/>
          <w:color w:val="auto"/>
          <w:sz w:val="32"/>
          <w:szCs w:val="32"/>
          <w:shd w:val="clear" w:color="auto" w:fill="FFFFFF"/>
          <w:lang w:val="zh-CN" w:eastAsia="zh-CN"/>
        </w:rPr>
        <w:t>、</w:t>
      </w:r>
      <w:r>
        <w:rPr>
          <w:rFonts w:hint="eastAsia" w:ascii="仿宋_GB2312" w:hAnsi="仿宋_GB2312" w:eastAsia="仿宋_GB2312" w:cs="仿宋_GB2312"/>
          <w:color w:val="auto"/>
          <w:sz w:val="32"/>
          <w:szCs w:val="32"/>
          <w:shd w:val="clear" w:color="auto" w:fill="FFFFFF"/>
          <w:lang w:val="en-US" w:eastAsia="zh-CN"/>
        </w:rPr>
        <w:t>支出进度、绩效目标完成度，</w:t>
      </w:r>
      <w:r>
        <w:rPr>
          <w:rFonts w:hint="eastAsia" w:ascii="仿宋_GB2312" w:hAnsi="仿宋_GB2312" w:eastAsia="仿宋_GB2312" w:cs="仿宋_GB2312"/>
          <w:color w:val="auto"/>
          <w:sz w:val="32"/>
          <w:szCs w:val="32"/>
          <w:shd w:val="clear" w:color="auto" w:fill="FFFFFF"/>
          <w:lang w:val="zh-CN" w:eastAsia="zh-CN"/>
        </w:rPr>
        <w:t>对资金支出使用全过程及其实施效果进行</w:t>
      </w:r>
      <w:r>
        <w:rPr>
          <w:rFonts w:hint="eastAsia" w:ascii="仿宋_GB2312" w:hAnsi="仿宋_GB2312" w:eastAsia="仿宋_GB2312" w:cs="仿宋_GB2312"/>
          <w:color w:val="auto"/>
          <w:sz w:val="32"/>
          <w:szCs w:val="32"/>
          <w:shd w:val="clear" w:color="auto" w:fill="FFFFFF"/>
          <w:lang w:val="en-US" w:eastAsia="zh-CN"/>
        </w:rPr>
        <w:t>重点</w:t>
      </w:r>
      <w:r>
        <w:rPr>
          <w:rFonts w:hint="eastAsia" w:ascii="仿宋_GB2312" w:hAnsi="仿宋_GB2312" w:eastAsia="仿宋_GB2312" w:cs="仿宋_GB2312"/>
          <w:color w:val="auto"/>
          <w:sz w:val="32"/>
          <w:szCs w:val="32"/>
          <w:shd w:val="clear" w:color="auto" w:fill="FFFFFF"/>
          <w:lang w:val="zh-CN" w:eastAsia="zh-CN"/>
        </w:rPr>
        <w:t>综合评价。</w:t>
      </w:r>
    </w:p>
    <w:p w14:paraId="6658DA9F">
      <w:pPr>
        <w:numPr>
          <w:ilvl w:val="0"/>
          <w:numId w:val="6"/>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评价选点。</w:t>
      </w:r>
    </w:p>
    <w:p w14:paraId="340F29BE">
      <w:pPr>
        <w:ind w:firstLine="640" w:firstLineChars="200"/>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选取检查车辆次数、群众满意度、检查合格率综合分析自评</w:t>
      </w:r>
      <w:r>
        <w:rPr>
          <w:rFonts w:hint="eastAsia" w:ascii="仿宋_GB2312" w:hAnsi="仿宋_GB2312" w:eastAsia="仿宋_GB2312" w:cs="仿宋_GB2312"/>
          <w:color w:val="auto"/>
          <w:sz w:val="32"/>
          <w:szCs w:val="32"/>
          <w:shd w:val="clear" w:color="auto" w:fill="FFFFFF"/>
          <w:lang w:val="zh-CN" w:eastAsia="zh-CN"/>
        </w:rPr>
        <w:t>。</w:t>
      </w:r>
    </w:p>
    <w:p w14:paraId="5A0C0550">
      <w:pPr>
        <w:numPr>
          <w:ilvl w:val="0"/>
          <w:numId w:val="6"/>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评价方法。</w:t>
      </w:r>
    </w:p>
    <w:p w14:paraId="44B19C43">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eastAsia="仿宋_GB2312"/>
          <w:sz w:val="32"/>
          <w:szCs w:val="32"/>
          <w:lang w:val="zh-CN"/>
        </w:rPr>
      </w:pPr>
      <w:r>
        <w:rPr>
          <w:rFonts w:hint="eastAsia" w:ascii="仿宋_GB2312" w:hAnsi="仿宋_GB2312" w:eastAsia="仿宋_GB2312" w:cs="仿宋_GB2312"/>
          <w:color w:val="auto"/>
          <w:sz w:val="32"/>
          <w:szCs w:val="32"/>
          <w:shd w:val="clear" w:color="auto" w:fill="FFFFFF"/>
          <w:lang w:val="zh-CN" w:eastAsia="zh-CN"/>
        </w:rPr>
        <w:t>成本效益分析法案卷研究法、单位自评法、实地勘察法、等多种方法</w:t>
      </w:r>
      <w:r>
        <w:rPr>
          <w:rFonts w:hint="eastAsia" w:eastAsia="仿宋_GB2312"/>
          <w:sz w:val="32"/>
          <w:szCs w:val="32"/>
          <w:lang w:val="zh-CN"/>
        </w:rPr>
        <w:t>。</w:t>
      </w:r>
    </w:p>
    <w:p w14:paraId="2A8FCF0F">
      <w:pPr>
        <w:numPr>
          <w:ilvl w:val="0"/>
          <w:numId w:val="6"/>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评价组织。</w:t>
      </w:r>
    </w:p>
    <w:p w14:paraId="0A2CABC9">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单位以分管领导为组长，财务人员和有关人员组成评价工作小组，制定自评方法，根据实际情况分别对项目实施进度情况、资金使用情况、目标完成情况科学合理评价项目绩效。</w:t>
      </w:r>
    </w:p>
    <w:p w14:paraId="2638AC10">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03DF1ACA">
      <w:pPr>
        <w:ind w:firstLine="640" w:firstLineChars="200"/>
        <w:rPr>
          <w:rFonts w:eastAsia="仿宋_GB2312"/>
          <w:sz w:val="32"/>
          <w:szCs w:val="32"/>
          <w:lang w:val="zh-CN"/>
        </w:rPr>
      </w:pPr>
      <w:r>
        <w:rPr>
          <w:rFonts w:hint="eastAsia" w:eastAsia="仿宋_GB2312"/>
          <w:sz w:val="32"/>
          <w:szCs w:val="32"/>
          <w:lang w:val="zh-CN"/>
        </w:rPr>
        <w:t>根据项目预算绩效评价指标体系“通用指标”“专用指标”“个性指标”涉及二、三级指标进行逐项绩效分析并评分。</w:t>
      </w:r>
    </w:p>
    <w:p w14:paraId="1E8DDECA">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3B40A5F6">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zh-CN" w:eastAsia="zh-CN"/>
        </w:rPr>
        <w:t>1.项目决策。</w:t>
      </w:r>
    </w:p>
    <w:p w14:paraId="1BBD48C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本单位</w:t>
      </w:r>
      <w:r>
        <w:rPr>
          <w:rFonts w:hint="eastAsia" w:ascii="仿宋_GB2312" w:hAnsi="仿宋_GB2312" w:eastAsia="仿宋_GB2312" w:cs="仿宋_GB2312"/>
          <w:color w:val="auto"/>
          <w:sz w:val="32"/>
          <w:szCs w:val="32"/>
          <w:shd w:val="clear" w:color="auto" w:fill="FFFFFF"/>
          <w:lang w:val="zh-CN" w:eastAsia="zh-CN"/>
        </w:rPr>
        <w:t>预算项目设立与部门职能职责相符、充分履行项目申报论证程序，项目绩效目标制定符合科学合理、规范完整、量化细化、预算匹配的要求。</w:t>
      </w:r>
    </w:p>
    <w:p w14:paraId="5F5DF6BE">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zh-CN" w:eastAsia="zh-CN"/>
        </w:rPr>
        <w:t>2.项目管理。</w:t>
      </w:r>
    </w:p>
    <w:p w14:paraId="09D45AD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我单位</w:t>
      </w:r>
      <w:r>
        <w:rPr>
          <w:rFonts w:hint="eastAsia" w:ascii="仿宋_GB2312" w:hAnsi="仿宋_GB2312" w:eastAsia="仿宋_GB2312" w:cs="仿宋_GB2312"/>
          <w:color w:val="auto"/>
          <w:sz w:val="32"/>
          <w:szCs w:val="32"/>
          <w:shd w:val="clear" w:color="auto" w:fill="FFFFFF"/>
          <w:lang w:val="zh-CN" w:eastAsia="zh-CN"/>
        </w:rPr>
        <w:t>已制定绩效管理制度，内部财务管理制度，部门财务工作岗位设置合理，职责权限明确，并严格实行不相容岗位分离的</w:t>
      </w:r>
      <w:r>
        <w:rPr>
          <w:rFonts w:hint="eastAsia" w:ascii="仿宋_GB2312" w:hAnsi="仿宋_GB2312" w:eastAsia="仿宋_GB2312" w:cs="仿宋_GB2312"/>
          <w:color w:val="auto"/>
          <w:sz w:val="32"/>
          <w:szCs w:val="32"/>
          <w:shd w:val="clear" w:color="auto" w:fill="FFFFFF"/>
          <w:lang w:val="en-US" w:eastAsia="zh-CN"/>
        </w:rPr>
        <w:t>制度，项目资金使用符合相关财务管理制度规定。</w:t>
      </w:r>
    </w:p>
    <w:p w14:paraId="54DA1977">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en-US" w:eastAsia="zh-CN"/>
        </w:rPr>
        <w:t>3.</w:t>
      </w:r>
      <w:r>
        <w:rPr>
          <w:rFonts w:hint="eastAsia" w:ascii="楷体_GB2312" w:eastAsia="楷体_GB2312"/>
          <w:sz w:val="32"/>
          <w:szCs w:val="32"/>
          <w:lang w:val="zh-CN" w:eastAsia="zh-CN"/>
        </w:rPr>
        <w:t>项目实施。</w:t>
      </w:r>
    </w:p>
    <w:p w14:paraId="3E27C68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Times New Roman" w:hAnsi="Times New Roman" w:cs="Times New Roman"/>
          <w:szCs w:val="32"/>
          <w:lang w:val="zh-CN" w:bidi="ar"/>
        </w:rPr>
      </w:pPr>
      <w:r>
        <w:rPr>
          <w:rFonts w:hint="eastAsia" w:ascii="仿宋_GB2312" w:hAnsi="仿宋_GB2312" w:eastAsia="仿宋_GB2312" w:cs="仿宋_GB2312"/>
          <w:color w:val="auto"/>
          <w:sz w:val="32"/>
          <w:szCs w:val="32"/>
          <w:shd w:val="clear" w:color="auto" w:fill="FFFFFF"/>
          <w:lang w:val="en-US" w:eastAsia="zh-CN"/>
        </w:rPr>
        <w:t>本单位</w:t>
      </w:r>
      <w:r>
        <w:rPr>
          <w:rFonts w:hint="eastAsia" w:ascii="仿宋_GB2312" w:hAnsi="仿宋_GB2312" w:eastAsia="仿宋_GB2312" w:cs="仿宋_GB2312"/>
          <w:color w:val="auto"/>
          <w:sz w:val="32"/>
          <w:szCs w:val="32"/>
          <w:shd w:val="clear" w:color="auto" w:fill="FFFFFF"/>
          <w:lang w:val="zh-CN" w:eastAsia="zh-CN"/>
        </w:rPr>
        <w:t>项目实际列支内容与项目绩效目标设置方向相符。</w:t>
      </w:r>
      <w:r>
        <w:rPr>
          <w:rFonts w:hint="eastAsia" w:ascii="仿宋_GB2312" w:hAnsi="仿宋_GB2312" w:eastAsia="仿宋_GB2312" w:cs="仿宋_GB2312"/>
          <w:color w:val="auto"/>
          <w:sz w:val="32"/>
          <w:szCs w:val="32"/>
          <w:shd w:val="clear" w:color="auto" w:fill="FFFFFF"/>
          <w:lang w:val="en-US" w:eastAsia="zh-CN"/>
        </w:rPr>
        <w:t>无</w:t>
      </w:r>
      <w:r>
        <w:rPr>
          <w:rFonts w:hint="eastAsia" w:ascii="仿宋_GB2312" w:hAnsi="仿宋_GB2312" w:eastAsia="仿宋_GB2312" w:cs="仿宋_GB2312"/>
          <w:color w:val="auto"/>
          <w:sz w:val="32"/>
          <w:szCs w:val="32"/>
          <w:shd w:val="clear" w:color="auto" w:fill="FFFFFF"/>
          <w:lang w:val="zh-CN" w:eastAsia="zh-CN"/>
        </w:rPr>
        <w:t>项目预算调整，预算项目预算执行进度在6、9、11月达到序时进度的80%、90%、90%，</w:t>
      </w:r>
      <w:r>
        <w:rPr>
          <w:rFonts w:hint="eastAsia" w:ascii="仿宋_GB2312" w:hAnsi="仿宋_GB2312" w:eastAsia="仿宋_GB2312" w:cs="仿宋_GB2312"/>
          <w:color w:val="auto"/>
          <w:sz w:val="32"/>
          <w:szCs w:val="32"/>
          <w:shd w:val="clear" w:color="auto" w:fill="FFFFFF"/>
          <w:lang w:val="en-US" w:eastAsia="zh-CN"/>
        </w:rPr>
        <w:t>无年终预算结余。</w:t>
      </w:r>
    </w:p>
    <w:p w14:paraId="28F0C90A">
      <w:pPr>
        <w:ind w:firstLine="640" w:firstLineChars="200"/>
        <w:rPr>
          <w:rFonts w:hint="eastAsia" w:ascii="楷体_GB2312" w:eastAsia="楷体_GB2312"/>
          <w:sz w:val="32"/>
          <w:szCs w:val="32"/>
          <w:lang w:val="zh-CN" w:eastAsia="zh-CN"/>
        </w:rPr>
      </w:pPr>
      <w:r>
        <w:rPr>
          <w:rFonts w:hint="eastAsia" w:ascii="楷体_GB2312" w:eastAsia="楷体_GB2312"/>
          <w:sz w:val="32"/>
          <w:szCs w:val="32"/>
          <w:lang w:val="en-US" w:eastAsia="zh-CN"/>
        </w:rPr>
        <w:t>4.</w:t>
      </w:r>
      <w:r>
        <w:rPr>
          <w:rFonts w:hint="eastAsia" w:ascii="楷体_GB2312" w:eastAsia="楷体_GB2312"/>
          <w:sz w:val="32"/>
          <w:szCs w:val="32"/>
          <w:lang w:val="zh-CN" w:eastAsia="zh-CN"/>
        </w:rPr>
        <w:t>项目结果。</w:t>
      </w:r>
    </w:p>
    <w:p w14:paraId="068F7FB8">
      <w:pPr>
        <w:autoSpaceDE/>
        <w:autoSpaceDN/>
        <w:snapToGrid w:val="0"/>
        <w:spacing w:line="578" w:lineRule="exact"/>
        <w:ind w:firstLine="72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zh-CN"/>
        </w:rPr>
        <w:t>数量指标：至202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rPr>
        <w:t>年12月31日，</w:t>
      </w:r>
      <w:r>
        <w:rPr>
          <w:rFonts w:hint="eastAsia" w:ascii="仿宋_GB2312" w:hAnsi="仿宋_GB2312" w:eastAsia="仿宋_GB2312" w:cs="仿宋_GB2312"/>
          <w:color w:val="auto"/>
          <w:sz w:val="32"/>
          <w:szCs w:val="32"/>
          <w:shd w:val="clear" w:color="auto" w:fill="FFFFFF"/>
          <w:lang w:val="en-US" w:eastAsia="zh-CN"/>
        </w:rPr>
        <w:t>检查车辆次数大于等于0.5万次。</w:t>
      </w:r>
    </w:p>
    <w:p w14:paraId="29E70277">
      <w:pPr>
        <w:autoSpaceDE/>
        <w:autoSpaceDN/>
        <w:snapToGrid w:val="0"/>
        <w:spacing w:line="578" w:lineRule="exact"/>
        <w:ind w:firstLine="720"/>
        <w:rPr>
          <w:rFonts w:hint="eastAsia" w:ascii="仿宋_GB2312" w:hAnsi="仿宋_GB2312" w:eastAsia="仿宋_GB2312" w:cs="仿宋_GB2312"/>
          <w:color w:val="auto"/>
          <w:sz w:val="32"/>
          <w:szCs w:val="32"/>
          <w:shd w:val="clear" w:color="auto" w:fill="FFFFFF"/>
          <w:lang w:val="zh-CN"/>
        </w:rPr>
      </w:pPr>
      <w:r>
        <w:rPr>
          <w:rFonts w:hint="eastAsia" w:ascii="仿宋_GB2312" w:hAnsi="仿宋_GB2312" w:eastAsia="仿宋_GB2312" w:cs="仿宋_GB2312"/>
          <w:color w:val="auto"/>
          <w:sz w:val="32"/>
          <w:szCs w:val="32"/>
          <w:shd w:val="clear" w:color="auto" w:fill="FFFFFF"/>
          <w:lang w:val="zh-CN"/>
        </w:rPr>
        <w:t>质量指标：</w:t>
      </w:r>
      <w:r>
        <w:rPr>
          <w:rFonts w:hint="eastAsia" w:ascii="仿宋_GB2312" w:hAnsi="仿宋_GB2312" w:eastAsia="仿宋_GB2312" w:cs="仿宋_GB2312"/>
          <w:color w:val="auto"/>
          <w:sz w:val="32"/>
          <w:szCs w:val="32"/>
          <w:shd w:val="clear" w:color="auto" w:fill="FFFFFF"/>
          <w:lang w:val="en-US" w:eastAsia="zh-CN"/>
        </w:rPr>
        <w:t>检查合格率大于等于85%。</w:t>
      </w:r>
    </w:p>
    <w:p w14:paraId="1161EB9D">
      <w:pPr>
        <w:autoSpaceDE/>
        <w:autoSpaceDN/>
        <w:snapToGrid w:val="0"/>
        <w:spacing w:line="578" w:lineRule="exact"/>
        <w:ind w:firstLine="720"/>
        <w:rPr>
          <w:rFonts w:hint="eastAsia" w:ascii="仿宋_GB2312" w:hAnsi="仿宋_GB2312" w:eastAsia="仿宋_GB2312" w:cs="仿宋_GB2312"/>
          <w:color w:val="auto"/>
          <w:sz w:val="32"/>
          <w:szCs w:val="32"/>
          <w:shd w:val="clear" w:color="auto" w:fill="FFFFFF"/>
          <w:lang w:val="zh-CN"/>
        </w:rPr>
      </w:pPr>
      <w:r>
        <w:rPr>
          <w:rFonts w:hint="eastAsia" w:ascii="仿宋_GB2312" w:hAnsi="仿宋_GB2312" w:eastAsia="仿宋_GB2312" w:cs="仿宋_GB2312"/>
          <w:color w:val="auto"/>
          <w:sz w:val="32"/>
          <w:szCs w:val="32"/>
          <w:shd w:val="clear" w:color="auto" w:fill="FFFFFF"/>
          <w:lang w:val="zh-CN"/>
        </w:rPr>
        <w:t>时效指标：完成时间截止202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rPr>
        <w:t>年12月31日。</w:t>
      </w:r>
    </w:p>
    <w:p w14:paraId="2F2DEA75">
      <w:pPr>
        <w:autoSpaceDE/>
        <w:autoSpaceDN/>
        <w:snapToGrid w:val="0"/>
        <w:spacing w:line="578" w:lineRule="exact"/>
        <w:ind w:firstLine="72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社会效益</w:t>
      </w:r>
      <w:r>
        <w:rPr>
          <w:rFonts w:hint="eastAsia" w:ascii="仿宋_GB2312" w:hAnsi="仿宋_GB2312" w:eastAsia="仿宋_GB2312" w:cs="仿宋_GB2312"/>
          <w:color w:val="auto"/>
          <w:sz w:val="32"/>
          <w:szCs w:val="32"/>
          <w:shd w:val="clear" w:color="auto" w:fill="FFFFFF"/>
          <w:lang w:val="zh-CN"/>
        </w:rPr>
        <w:t>指标：</w:t>
      </w:r>
      <w:r>
        <w:rPr>
          <w:rFonts w:hint="eastAsia" w:ascii="仿宋_GB2312" w:hAnsi="仿宋_GB2312" w:eastAsia="仿宋_GB2312" w:cs="仿宋_GB2312"/>
          <w:color w:val="auto"/>
          <w:sz w:val="32"/>
          <w:szCs w:val="32"/>
          <w:shd w:val="clear" w:color="auto" w:fill="FFFFFF"/>
          <w:lang w:val="en-US" w:eastAsia="zh-CN"/>
        </w:rPr>
        <w:t>降低非法营运率大于等于2%。</w:t>
      </w:r>
    </w:p>
    <w:p w14:paraId="186F519D">
      <w:pPr>
        <w:autoSpaceDE/>
        <w:autoSpaceDN/>
        <w:snapToGrid w:val="0"/>
        <w:spacing w:line="578" w:lineRule="exact"/>
        <w:ind w:firstLine="720"/>
        <w:rPr>
          <w:rFonts w:hint="eastAsia" w:ascii="仿宋_GB2312" w:hAnsi="仿宋_GB2312" w:eastAsia="仿宋_GB2312" w:cs="仿宋_GB2312"/>
          <w:color w:val="auto"/>
          <w:sz w:val="32"/>
          <w:szCs w:val="32"/>
          <w:shd w:val="clear" w:color="auto" w:fill="FFFFFF"/>
          <w:lang w:val="zh-CN"/>
        </w:rPr>
      </w:pPr>
      <w:r>
        <w:rPr>
          <w:rFonts w:hint="eastAsia" w:ascii="仿宋_GB2312" w:hAnsi="仿宋_GB2312" w:eastAsia="仿宋_GB2312" w:cs="仿宋_GB2312"/>
          <w:color w:val="auto"/>
          <w:sz w:val="32"/>
          <w:szCs w:val="32"/>
          <w:shd w:val="clear" w:color="auto" w:fill="FFFFFF"/>
          <w:lang w:val="en-US" w:eastAsia="zh-CN"/>
        </w:rPr>
        <w:t>满意度指</w:t>
      </w:r>
      <w:r>
        <w:rPr>
          <w:rFonts w:hint="eastAsia" w:ascii="仿宋_GB2312" w:hAnsi="仿宋_GB2312" w:eastAsia="仿宋_GB2312" w:cs="仿宋_GB2312"/>
          <w:color w:val="auto"/>
          <w:sz w:val="32"/>
          <w:szCs w:val="32"/>
          <w:shd w:val="clear" w:color="auto" w:fill="FFFFFF"/>
          <w:lang w:val="zh-CN"/>
        </w:rPr>
        <w:t>标：</w:t>
      </w:r>
      <w:r>
        <w:rPr>
          <w:rFonts w:hint="eastAsia" w:ascii="仿宋_GB2312" w:hAnsi="仿宋_GB2312" w:eastAsia="仿宋_GB2312" w:cs="仿宋_GB2312"/>
          <w:color w:val="auto"/>
          <w:sz w:val="32"/>
          <w:szCs w:val="32"/>
          <w:shd w:val="clear" w:color="auto" w:fill="FFFFFF"/>
          <w:lang w:val="en-US" w:eastAsia="zh-CN"/>
        </w:rPr>
        <w:t>服务对象满意度大于等于90%。</w:t>
      </w:r>
    </w:p>
    <w:p w14:paraId="5F9C3B3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部门预算项目绩效目标中</w:t>
      </w:r>
      <w:r>
        <w:rPr>
          <w:rFonts w:hint="eastAsia" w:ascii="仿宋_GB2312" w:hAnsi="仿宋_GB2312" w:eastAsia="仿宋_GB2312" w:cs="仿宋_GB2312"/>
          <w:color w:val="auto"/>
          <w:sz w:val="32"/>
          <w:szCs w:val="32"/>
          <w:shd w:val="clear" w:color="auto" w:fill="FFFFFF"/>
          <w:lang w:val="en-US" w:eastAsia="zh-CN"/>
        </w:rPr>
        <w:t>全部</w:t>
      </w:r>
      <w:r>
        <w:rPr>
          <w:rFonts w:hint="eastAsia" w:ascii="仿宋_GB2312" w:hAnsi="仿宋_GB2312" w:eastAsia="仿宋_GB2312" w:cs="仿宋_GB2312"/>
          <w:color w:val="auto"/>
          <w:sz w:val="32"/>
          <w:szCs w:val="32"/>
          <w:shd w:val="clear" w:color="auto" w:fill="FFFFFF"/>
          <w:lang w:val="zh-CN" w:eastAsia="zh-CN"/>
        </w:rPr>
        <w:t>指标</w:t>
      </w:r>
      <w:r>
        <w:rPr>
          <w:rFonts w:hint="eastAsia" w:ascii="仿宋_GB2312" w:hAnsi="仿宋_GB2312" w:eastAsia="仿宋_GB2312" w:cs="仿宋_GB2312"/>
          <w:color w:val="auto"/>
          <w:sz w:val="32"/>
          <w:szCs w:val="32"/>
          <w:shd w:val="clear" w:color="auto" w:fill="FFFFFF"/>
          <w:lang w:val="en-US" w:eastAsia="zh-CN"/>
        </w:rPr>
        <w:t>均已</w:t>
      </w:r>
      <w:r>
        <w:rPr>
          <w:rFonts w:hint="eastAsia" w:ascii="仿宋_GB2312" w:hAnsi="仿宋_GB2312" w:eastAsia="仿宋_GB2312" w:cs="仿宋_GB2312"/>
          <w:color w:val="auto"/>
          <w:sz w:val="32"/>
          <w:szCs w:val="32"/>
          <w:shd w:val="clear" w:color="auto" w:fill="FFFFFF"/>
          <w:lang w:val="zh-CN" w:eastAsia="zh-CN"/>
        </w:rPr>
        <w:t>完成，项目绩效目标实现程度与预期目标</w:t>
      </w:r>
      <w:r>
        <w:rPr>
          <w:rFonts w:hint="eastAsia" w:ascii="仿宋_GB2312" w:hAnsi="仿宋_GB2312" w:eastAsia="仿宋_GB2312" w:cs="仿宋_GB2312"/>
          <w:color w:val="auto"/>
          <w:sz w:val="32"/>
          <w:szCs w:val="32"/>
          <w:shd w:val="clear" w:color="auto" w:fill="FFFFFF"/>
          <w:lang w:val="en-US" w:eastAsia="zh-CN"/>
        </w:rPr>
        <w:t>无</w:t>
      </w:r>
      <w:r>
        <w:rPr>
          <w:rFonts w:hint="eastAsia" w:ascii="仿宋_GB2312" w:hAnsi="仿宋_GB2312" w:eastAsia="仿宋_GB2312" w:cs="仿宋_GB2312"/>
          <w:color w:val="auto"/>
          <w:sz w:val="32"/>
          <w:szCs w:val="32"/>
          <w:shd w:val="clear" w:color="auto" w:fill="FFFFFF"/>
          <w:lang w:val="zh-CN" w:eastAsia="zh-CN"/>
        </w:rPr>
        <w:t>偏离。</w:t>
      </w:r>
    </w:p>
    <w:p w14:paraId="63920C27">
      <w:pPr>
        <w:numPr>
          <w:ilvl w:val="0"/>
          <w:numId w:val="7"/>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专用指标绩效分析。</w:t>
      </w:r>
    </w:p>
    <w:p w14:paraId="45B1634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无。</w:t>
      </w:r>
    </w:p>
    <w:p w14:paraId="273BC222">
      <w:pPr>
        <w:numPr>
          <w:ilvl w:val="0"/>
          <w:numId w:val="7"/>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个性指标绩效分析。</w:t>
      </w:r>
    </w:p>
    <w:p w14:paraId="3C52B16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en-US" w:eastAsia="zh-CN"/>
        </w:rPr>
        <w:t>无。</w:t>
      </w:r>
    </w:p>
    <w:p w14:paraId="4725F698">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6654ADB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截止202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eastAsia="zh-CN"/>
        </w:rPr>
        <w:t>年12月底，我单位整体绩效目标制定、目标完成、预算编制情况等均准确合理，支出控制、预算动态调整、执行进度、预算完成情况良好，无任何违规违纪等情况，</w:t>
      </w:r>
      <w:r>
        <w:rPr>
          <w:rFonts w:hint="eastAsia" w:ascii="仿宋_GB2312" w:hAnsi="仿宋_GB2312" w:eastAsia="仿宋_GB2312" w:cs="仿宋_GB2312"/>
          <w:color w:val="auto"/>
          <w:sz w:val="32"/>
          <w:szCs w:val="32"/>
          <w:shd w:val="clear" w:color="auto" w:fill="FFFFFF"/>
          <w:lang w:val="en-US" w:eastAsia="zh-CN"/>
        </w:rPr>
        <w:t>部门预算项目自评得分100分</w:t>
      </w:r>
      <w:r>
        <w:rPr>
          <w:rFonts w:hint="eastAsia" w:ascii="仿宋_GB2312" w:hAnsi="仿宋_GB2312" w:eastAsia="仿宋_GB2312" w:cs="仿宋_GB2312"/>
          <w:color w:val="auto"/>
          <w:sz w:val="32"/>
          <w:szCs w:val="32"/>
          <w:shd w:val="clear" w:color="auto" w:fill="FFFFFF"/>
          <w:lang w:val="zh-CN" w:eastAsia="zh-CN"/>
        </w:rPr>
        <w:t>。</w:t>
      </w:r>
    </w:p>
    <w:p w14:paraId="3D9D74A1">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14:paraId="3F89196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在</w:t>
      </w:r>
      <w:r>
        <w:rPr>
          <w:rFonts w:hint="eastAsia" w:ascii="仿宋_GB2312" w:hAnsi="仿宋_GB2312" w:eastAsia="仿宋_GB2312" w:cs="仿宋_GB2312"/>
          <w:color w:val="auto"/>
          <w:sz w:val="32"/>
          <w:szCs w:val="32"/>
          <w:shd w:val="clear" w:color="auto" w:fill="FFFFFF"/>
          <w:lang w:val="zh-CN" w:eastAsia="zh-CN"/>
        </w:rPr>
        <w:t>预算绩效</w:t>
      </w:r>
      <w:r>
        <w:rPr>
          <w:rFonts w:hint="eastAsia" w:ascii="仿宋_GB2312" w:hAnsi="仿宋_GB2312" w:eastAsia="仿宋_GB2312" w:cs="仿宋_GB2312"/>
          <w:color w:val="auto"/>
          <w:sz w:val="32"/>
          <w:szCs w:val="32"/>
          <w:shd w:val="clear" w:color="auto" w:fill="FFFFFF"/>
          <w:lang w:val="en-US" w:eastAsia="zh-CN"/>
        </w:rPr>
        <w:t>项目设置、目标设置中，应当与时俱进，根据实际情况积极作出改变。在预算目标设置及预算执行方面还需继续努力，继续提升。</w:t>
      </w:r>
    </w:p>
    <w:p w14:paraId="57F7A3B8">
      <w:pPr>
        <w:numPr>
          <w:ilvl w:val="0"/>
          <w:numId w:val="8"/>
        </w:numPr>
        <w:ind w:firstLine="640" w:firstLineChars="200"/>
        <w:rPr>
          <w:rFonts w:hint="eastAsia" w:ascii="黑体" w:hAnsi="黑体" w:eastAsia="黑体"/>
          <w:sz w:val="32"/>
          <w:szCs w:val="32"/>
          <w:lang w:val="zh-CN" w:eastAsia="zh-CN"/>
        </w:rPr>
      </w:pPr>
      <w:r>
        <w:rPr>
          <w:rFonts w:hint="eastAsia" w:ascii="黑体" w:hAnsi="黑体" w:eastAsia="黑体"/>
          <w:sz w:val="32"/>
          <w:szCs w:val="32"/>
          <w:lang w:val="zh-CN" w:eastAsia="zh-CN"/>
        </w:rPr>
        <w:t>改进建议</w:t>
      </w:r>
    </w:p>
    <w:p w14:paraId="58F6725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contextualSpacing/>
        <w:jc w:val="left"/>
        <w:textAlignment w:val="auto"/>
        <w:rPr>
          <w:rFonts w:hint="eastAsia" w:ascii="仿宋_GB2312" w:hAnsi="仿宋_GB2312" w:eastAsia="仿宋_GB2312" w:cs="仿宋_GB2312"/>
          <w:color w:val="auto"/>
          <w:sz w:val="32"/>
          <w:szCs w:val="32"/>
          <w:shd w:val="clear" w:color="auto" w:fill="FFFFFF"/>
          <w:lang w:val="zh-CN" w:eastAsia="zh-CN"/>
        </w:rPr>
      </w:pPr>
      <w:r>
        <w:rPr>
          <w:rFonts w:hint="eastAsia" w:ascii="仿宋_GB2312" w:hAnsi="仿宋_GB2312" w:eastAsia="仿宋_GB2312" w:cs="仿宋_GB2312"/>
          <w:color w:val="auto"/>
          <w:sz w:val="32"/>
          <w:szCs w:val="32"/>
          <w:shd w:val="clear" w:color="auto" w:fill="FFFFFF"/>
          <w:lang w:val="zh-CN" w:eastAsia="zh-CN"/>
        </w:rPr>
        <w:t xml:space="preserve"> 改进管理措施，提高管理水平，降低运行成本，提高资源使用的效率和效益；加强各股室、站点对绩效评价的认识，在实施阶段，做好监督，跟踪管理；实施后及时总结自评。</w:t>
      </w:r>
    </w:p>
    <w:p w14:paraId="1B34A03E">
      <w:pPr>
        <w:rPr>
          <w:lang w:val="zh-CN"/>
        </w:rPr>
        <w:sectPr>
          <w:footerReference r:id="rId9" w:type="first"/>
          <w:footerReference r:id="rId8" w:type="default"/>
          <w:pgSz w:w="11906" w:h="16838"/>
          <w:pgMar w:top="1440" w:right="1800" w:bottom="1440" w:left="1800" w:header="851" w:footer="992" w:gutter="0"/>
          <w:pgNumType w:fmt="decimal" w:start="29"/>
          <w:cols w:space="425" w:num="1"/>
          <w:titlePg/>
          <w:docGrid w:type="lines" w:linePitch="312" w:charSpace="0"/>
        </w:sectPr>
      </w:pPr>
    </w:p>
    <w:p w14:paraId="76026180">
      <w:pPr>
        <w:pStyle w:val="3"/>
        <w:jc w:val="center"/>
        <w:rPr>
          <w:rFonts w:ascii="黑体" w:hAnsi="黑体" w:eastAsia="黑体"/>
        </w:rPr>
      </w:pPr>
      <w:bookmarkStart w:id="83" w:name="_Toc344"/>
      <w:r>
        <w:rPr>
          <w:rFonts w:hint="eastAsia" w:ascii="黑体" w:hAnsi="黑体" w:eastAsia="黑体"/>
        </w:rPr>
        <w:t>第五部分 附表</w:t>
      </w:r>
      <w:bookmarkEnd w:id="83"/>
    </w:p>
    <w:p w14:paraId="1693238D">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84" w:name="_Toc22366"/>
      <w:r>
        <w:rPr>
          <w:rFonts w:hint="eastAsia" w:ascii="仿宋" w:hAnsi="仿宋" w:eastAsia="仿宋"/>
          <w:sz w:val="32"/>
          <w:szCs w:val="32"/>
        </w:rPr>
        <w:t>一、收入支出决算总表</w:t>
      </w:r>
      <w:bookmarkEnd w:id="84"/>
    </w:p>
    <w:p w14:paraId="61FA1533">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85" w:name="_Toc3742"/>
      <w:r>
        <w:rPr>
          <w:rFonts w:hint="eastAsia" w:ascii="仿宋" w:hAnsi="仿宋" w:eastAsia="仿宋"/>
          <w:sz w:val="32"/>
          <w:szCs w:val="32"/>
        </w:rPr>
        <w:t>二、收入决算表</w:t>
      </w:r>
      <w:bookmarkEnd w:id="85"/>
    </w:p>
    <w:p w14:paraId="56BA563A">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86" w:name="_Toc1943"/>
      <w:r>
        <w:rPr>
          <w:rFonts w:hint="eastAsia" w:ascii="仿宋" w:hAnsi="仿宋" w:eastAsia="仿宋"/>
          <w:sz w:val="32"/>
          <w:szCs w:val="32"/>
        </w:rPr>
        <w:t>三、支出决算表</w:t>
      </w:r>
      <w:bookmarkEnd w:id="86"/>
    </w:p>
    <w:p w14:paraId="02EF4816">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87" w:name="_Toc8310"/>
      <w:r>
        <w:rPr>
          <w:rFonts w:hint="eastAsia" w:ascii="仿宋" w:hAnsi="仿宋" w:eastAsia="仿宋"/>
          <w:sz w:val="32"/>
          <w:szCs w:val="32"/>
        </w:rPr>
        <w:t>四、财政拨款收入支出决算总表</w:t>
      </w:r>
      <w:bookmarkEnd w:id="87"/>
    </w:p>
    <w:p w14:paraId="0BCCBF90">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88" w:name="_Toc27305"/>
      <w:r>
        <w:rPr>
          <w:rFonts w:hint="eastAsia" w:ascii="仿宋" w:hAnsi="仿宋" w:eastAsia="仿宋"/>
          <w:sz w:val="32"/>
          <w:szCs w:val="32"/>
        </w:rPr>
        <w:t>五、财政拨款支出决算明细表</w:t>
      </w:r>
      <w:bookmarkEnd w:id="88"/>
    </w:p>
    <w:p w14:paraId="444F00D9">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89" w:name="_Toc11533"/>
      <w:r>
        <w:rPr>
          <w:rFonts w:hint="eastAsia" w:ascii="仿宋" w:hAnsi="仿宋" w:eastAsia="仿宋"/>
          <w:sz w:val="32"/>
          <w:szCs w:val="32"/>
        </w:rPr>
        <w:t>六、一般公共预算财政拨款支出决算表</w:t>
      </w:r>
      <w:bookmarkEnd w:id="89"/>
    </w:p>
    <w:p w14:paraId="0D50CC44">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90" w:name="_Toc9371"/>
      <w:r>
        <w:rPr>
          <w:rFonts w:hint="eastAsia" w:ascii="仿宋" w:hAnsi="仿宋" w:eastAsia="仿宋"/>
          <w:sz w:val="32"/>
          <w:szCs w:val="32"/>
        </w:rPr>
        <w:t>七、一般公共预算财政拨款支出决算明细表</w:t>
      </w:r>
      <w:bookmarkEnd w:id="90"/>
    </w:p>
    <w:p w14:paraId="6A12C204">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91" w:name="_Toc23731"/>
      <w:r>
        <w:rPr>
          <w:rFonts w:hint="eastAsia" w:ascii="仿宋" w:hAnsi="仿宋" w:eastAsia="仿宋"/>
          <w:sz w:val="32"/>
          <w:szCs w:val="32"/>
        </w:rPr>
        <w:t>八、一般公共预算财政拨款基本支出决算表</w:t>
      </w:r>
      <w:bookmarkEnd w:id="91"/>
    </w:p>
    <w:p w14:paraId="028839DF">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92" w:name="_Toc1875"/>
      <w:r>
        <w:rPr>
          <w:rFonts w:hint="eastAsia" w:ascii="仿宋" w:hAnsi="仿宋" w:eastAsia="仿宋"/>
          <w:sz w:val="32"/>
          <w:szCs w:val="32"/>
        </w:rPr>
        <w:t>九、一般公共预算财政拨款项目支出决算表</w:t>
      </w:r>
      <w:bookmarkEnd w:id="92"/>
    </w:p>
    <w:p w14:paraId="2A234A30">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93" w:name="_Toc16678"/>
      <w:r>
        <w:rPr>
          <w:rFonts w:hint="eastAsia" w:ascii="仿宋" w:hAnsi="仿宋" w:eastAsia="仿宋"/>
          <w:sz w:val="32"/>
          <w:szCs w:val="32"/>
        </w:rPr>
        <w:t>十、政府性基金预算财政拨款收入支出决算表</w:t>
      </w:r>
      <w:bookmarkEnd w:id="93"/>
    </w:p>
    <w:p w14:paraId="0A72BF4B">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94" w:name="_Toc3912"/>
      <w:r>
        <w:rPr>
          <w:rFonts w:hint="eastAsia" w:ascii="仿宋" w:hAnsi="仿宋" w:eastAsia="仿宋"/>
          <w:sz w:val="32"/>
          <w:szCs w:val="32"/>
        </w:rPr>
        <w:t>十一、国有资本经营预算财政拨款收入支出决算表</w:t>
      </w:r>
      <w:bookmarkEnd w:id="94"/>
    </w:p>
    <w:p w14:paraId="390425D9">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95" w:name="_Toc30727"/>
      <w:r>
        <w:rPr>
          <w:rFonts w:hint="eastAsia" w:ascii="仿宋" w:hAnsi="仿宋" w:eastAsia="仿宋"/>
          <w:sz w:val="32"/>
          <w:szCs w:val="32"/>
        </w:rPr>
        <w:t>十二、国有资本经营预算财政拨款支出决算表</w:t>
      </w:r>
      <w:bookmarkEnd w:id="95"/>
    </w:p>
    <w:p w14:paraId="35D1C1F5">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96" w:name="_Toc12935"/>
      <w:r>
        <w:rPr>
          <w:rFonts w:hint="eastAsia" w:ascii="仿宋" w:hAnsi="仿宋" w:eastAsia="仿宋"/>
          <w:sz w:val="32"/>
          <w:szCs w:val="32"/>
        </w:rPr>
        <w:t>十三、财政拨款“三公”经费支出决算表</w:t>
      </w:r>
      <w:bookmarkEnd w:id="96"/>
    </w:p>
    <w:sectPr>
      <w:footerReference r:id="rId11" w:type="first"/>
      <w:footerReference r:id="rId10"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DC5C5A-1B4F-4CB3-8060-EF71FF8B87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embedRegular r:id="rId2" w:fontKey="{59AAA812-1E07-4D4D-A689-DA067431B7CF}"/>
  </w:font>
  <w:font w:name="仿宋_GB2312">
    <w:panose1 w:val="02010609030101010101"/>
    <w:charset w:val="86"/>
    <w:family w:val="modern"/>
    <w:pitch w:val="default"/>
    <w:sig w:usb0="00000001" w:usb1="080E0000" w:usb2="00000000" w:usb3="00000000" w:csb0="00040000" w:csb1="00000000"/>
    <w:embedRegular r:id="rId3" w:fontKey="{AC74C117-0772-4945-81D5-7FC4FCDFEE27}"/>
  </w:font>
  <w:font w:name="仿宋">
    <w:panose1 w:val="02010609060101010101"/>
    <w:charset w:val="86"/>
    <w:family w:val="modern"/>
    <w:pitch w:val="default"/>
    <w:sig w:usb0="800002BF" w:usb1="38CF7CFA" w:usb2="00000016" w:usb3="00000000" w:csb0="00040001" w:csb1="00000000"/>
    <w:embedRegular r:id="rId4" w:fontKey="{FDDB3D88-211E-4BC6-A425-1CC7C7569EB1}"/>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embedRegular r:id="rId5" w:fontKey="{96AF5884-3BBD-4689-B547-C1E2B60BC741}"/>
  </w:font>
  <w:font w:name="方正仿宋简体">
    <w:panose1 w:val="02000000000000000000"/>
    <w:charset w:val="86"/>
    <w:family w:val="auto"/>
    <w:pitch w:val="default"/>
    <w:sig w:usb0="A00002BF" w:usb1="184F6CFA" w:usb2="00000012" w:usb3="00000000" w:csb0="00040001" w:csb1="00000000"/>
    <w:embedRegular r:id="rId6" w:fontKey="{98F3A493-7F89-4F28-8B62-56764542945C}"/>
  </w:font>
  <w:font w:name="楷体_GB2312">
    <w:altName w:val="楷体"/>
    <w:panose1 w:val="00000000000000000000"/>
    <w:charset w:val="86"/>
    <w:family w:val="auto"/>
    <w:pitch w:val="default"/>
    <w:sig w:usb0="00000000" w:usb1="00000000" w:usb2="00000000" w:usb3="00000000" w:csb0="00040000" w:csb1="00000000"/>
    <w:embedRegular r:id="rId7" w:fontKey="{831C70F0-8716-4105-810B-8D9B363B3CF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FC63">
    <w:pPr>
      <w:pStyle w:val="9"/>
      <w:jc w:val="center"/>
    </w:pPr>
  </w:p>
  <w:p w14:paraId="062B64D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52C11">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1ECB3FAA">
                              <w:pPr>
                                <w:pStyle w:val="9"/>
                                <w:jc w:val="center"/>
                              </w:pPr>
                              <w:r>
                                <w:fldChar w:fldCharType="begin"/>
                              </w:r>
                              <w:r>
                                <w:instrText xml:space="preserve">PAGE   \* MERGEFORMAT</w:instrText>
                              </w:r>
                              <w:r>
                                <w:fldChar w:fldCharType="separate"/>
                              </w:r>
                              <w:r>
                                <w:rPr>
                                  <w:lang w:val="zh-CN"/>
                                </w:rPr>
                                <w:t>23</w:t>
                              </w:r>
                              <w:r>
                                <w:fldChar w:fldCharType="end"/>
                              </w:r>
                            </w:p>
                          </w:sdtContent>
                        </w:sdt>
                        <w:p w14:paraId="0EC63D6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14:paraId="1ECB3FAA">
                        <w:pPr>
                          <w:pStyle w:val="9"/>
                          <w:jc w:val="center"/>
                        </w:pPr>
                        <w:r>
                          <w:fldChar w:fldCharType="begin"/>
                        </w:r>
                        <w:r>
                          <w:instrText xml:space="preserve">PAGE   \* MERGEFORMAT</w:instrText>
                        </w:r>
                        <w:r>
                          <w:fldChar w:fldCharType="separate"/>
                        </w:r>
                        <w:r>
                          <w:rPr>
                            <w:lang w:val="zh-CN"/>
                          </w:rPr>
                          <w:t>23</w:t>
                        </w:r>
                        <w:r>
                          <w:fldChar w:fldCharType="end"/>
                        </w:r>
                      </w:p>
                    </w:sdtContent>
                  </w:sdt>
                  <w:p w14:paraId="0EC63D63">
                    <w:pPr>
                      <w:pStyle w:val="2"/>
                    </w:pPr>
                  </w:p>
                </w:txbxContent>
              </v:textbox>
            </v:shape>
          </w:pict>
        </mc:Fallback>
      </mc:AlternateContent>
    </w:r>
  </w:p>
  <w:p w14:paraId="33D71E3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E4E5">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24B1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B24B1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2402">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76CD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76CD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6D611">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909"/>
                          </w:sdtPr>
                          <w:sdtContent>
                            <w:p w14:paraId="09A60E18">
                              <w:pPr>
                                <w:pStyle w:val="9"/>
                                <w:jc w:val="center"/>
                              </w:pPr>
                              <w:r>
                                <w:fldChar w:fldCharType="begin"/>
                              </w:r>
                              <w:r>
                                <w:instrText xml:space="preserve">PAGE   \* MERGEFORMAT</w:instrText>
                              </w:r>
                              <w:r>
                                <w:fldChar w:fldCharType="separate"/>
                              </w:r>
                              <w:r>
                                <w:rPr>
                                  <w:lang w:val="zh-CN"/>
                                </w:rPr>
                                <w:t>23</w:t>
                              </w:r>
                              <w:r>
                                <w:fldChar w:fldCharType="end"/>
                              </w:r>
                            </w:p>
                          </w:sdtContent>
                        </w:sdt>
                        <w:p w14:paraId="6CD0909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56909"/>
                    </w:sdtPr>
                    <w:sdtContent>
                      <w:p w14:paraId="09A60E18">
                        <w:pPr>
                          <w:pStyle w:val="9"/>
                          <w:jc w:val="center"/>
                        </w:pPr>
                        <w:r>
                          <w:fldChar w:fldCharType="begin"/>
                        </w:r>
                        <w:r>
                          <w:instrText xml:space="preserve">PAGE   \* MERGEFORMAT</w:instrText>
                        </w:r>
                        <w:r>
                          <w:fldChar w:fldCharType="separate"/>
                        </w:r>
                        <w:r>
                          <w:rPr>
                            <w:lang w:val="zh-CN"/>
                          </w:rPr>
                          <w:t>23</w:t>
                        </w:r>
                        <w:r>
                          <w:fldChar w:fldCharType="end"/>
                        </w:r>
                      </w:p>
                    </w:sdtContent>
                  </w:sdt>
                  <w:p w14:paraId="6CD09098">
                    <w:pPr>
                      <w:pStyle w:val="2"/>
                    </w:pPr>
                  </w:p>
                </w:txbxContent>
              </v:textbox>
            </v:shape>
          </w:pict>
        </mc:Fallback>
      </mc:AlternateContent>
    </w:r>
  </w:p>
  <w:p w14:paraId="75958B0B">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B83B6">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04A9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F704A9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9EAE9">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748"/>
                          </w:sdtPr>
                          <w:sdtContent>
                            <w:p w14:paraId="20C4BD8C">
                              <w:pPr>
                                <w:pStyle w:val="9"/>
                                <w:jc w:val="center"/>
                              </w:pPr>
                              <w:r>
                                <w:fldChar w:fldCharType="begin"/>
                              </w:r>
                              <w:r>
                                <w:instrText xml:space="preserve">PAGE   \* MERGEFORMAT</w:instrText>
                              </w:r>
                              <w:r>
                                <w:fldChar w:fldCharType="separate"/>
                              </w:r>
                              <w:r>
                                <w:rPr>
                                  <w:lang w:val="zh-CN"/>
                                </w:rPr>
                                <w:t>23</w:t>
                              </w:r>
                              <w:r>
                                <w:fldChar w:fldCharType="end"/>
                              </w:r>
                            </w:p>
                          </w:sdtContent>
                        </w:sdt>
                        <w:p w14:paraId="6BEFEFA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73748"/>
                    </w:sdtPr>
                    <w:sdtContent>
                      <w:p w14:paraId="20C4BD8C">
                        <w:pPr>
                          <w:pStyle w:val="9"/>
                          <w:jc w:val="center"/>
                        </w:pPr>
                        <w:r>
                          <w:fldChar w:fldCharType="begin"/>
                        </w:r>
                        <w:r>
                          <w:instrText xml:space="preserve">PAGE   \* MERGEFORMAT</w:instrText>
                        </w:r>
                        <w:r>
                          <w:fldChar w:fldCharType="separate"/>
                        </w:r>
                        <w:r>
                          <w:rPr>
                            <w:lang w:val="zh-CN"/>
                          </w:rPr>
                          <w:t>23</w:t>
                        </w:r>
                        <w:r>
                          <w:fldChar w:fldCharType="end"/>
                        </w:r>
                      </w:p>
                    </w:sdtContent>
                  </w:sdt>
                  <w:p w14:paraId="6BEFEFAB">
                    <w:pPr>
                      <w:pStyle w:val="2"/>
                    </w:pPr>
                  </w:p>
                </w:txbxContent>
              </v:textbox>
            </v:shape>
          </w:pict>
        </mc:Fallback>
      </mc:AlternateContent>
    </w:r>
  </w:p>
  <w:p w14:paraId="27306F29">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78CD">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A11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E66A11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DAE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4D05A47"/>
    <w:multiLevelType w:val="singleLevel"/>
    <w:tmpl w:val="D4D05A47"/>
    <w:lvl w:ilvl="0" w:tentative="0">
      <w:start w:val="2"/>
      <w:numFmt w:val="chineseCounting"/>
      <w:suff w:val="nothing"/>
      <w:lvlText w:val="（%1）"/>
      <w:lvlJc w:val="left"/>
      <w:rPr>
        <w:rFonts w:hint="eastAsia"/>
      </w:rPr>
    </w:lvl>
  </w:abstractNum>
  <w:abstractNum w:abstractNumId="2">
    <w:nsid w:val="F323F3E2"/>
    <w:multiLevelType w:val="singleLevel"/>
    <w:tmpl w:val="F323F3E2"/>
    <w:lvl w:ilvl="0" w:tentative="0">
      <w:start w:val="1"/>
      <w:numFmt w:val="chineseCounting"/>
      <w:suff w:val="nothing"/>
      <w:lvlText w:val="%1、"/>
      <w:lvlJc w:val="left"/>
      <w:rPr>
        <w:rFonts w:hint="eastAsia"/>
      </w:rPr>
    </w:lvl>
  </w:abstractNum>
  <w:abstractNum w:abstractNumId="3">
    <w:nsid w:val="120D13BE"/>
    <w:multiLevelType w:val="singleLevel"/>
    <w:tmpl w:val="120D13BE"/>
    <w:lvl w:ilvl="0" w:tentative="0">
      <w:start w:val="3"/>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3A5A776"/>
    <w:multiLevelType w:val="singleLevel"/>
    <w:tmpl w:val="33A5A776"/>
    <w:lvl w:ilvl="0" w:tentative="0">
      <w:start w:val="6"/>
      <w:numFmt w:val="chineseCounting"/>
      <w:suff w:val="nothing"/>
      <w:lvlText w:val="%1、"/>
      <w:lvlJc w:val="left"/>
      <w:rPr>
        <w:rFonts w:hint="eastAsia"/>
      </w:rPr>
    </w:lvl>
  </w:abstractNum>
  <w:abstractNum w:abstractNumId="6">
    <w:nsid w:val="37D16039"/>
    <w:multiLevelType w:val="singleLevel"/>
    <w:tmpl w:val="37D16039"/>
    <w:lvl w:ilvl="0" w:tentative="0">
      <w:start w:val="3"/>
      <w:numFmt w:val="chineseCounting"/>
      <w:suff w:val="nothing"/>
      <w:lvlText w:val="（%1）"/>
      <w:lvlJc w:val="left"/>
      <w:rPr>
        <w:rFonts w:hint="eastAsia"/>
      </w:rPr>
    </w:lvl>
  </w:abstractNum>
  <w:abstractNum w:abstractNumId="7">
    <w:nsid w:val="7D40DD67"/>
    <w:multiLevelType w:val="singleLevel"/>
    <w:tmpl w:val="7D40DD67"/>
    <w:lvl w:ilvl="0" w:tentative="0">
      <w:start w:val="2"/>
      <w:numFmt w:val="chineseCounting"/>
      <w:suff w:val="nothing"/>
      <w:lvlText w:val="（%1）"/>
      <w:lvlJc w:val="left"/>
      <w:rPr>
        <w:rFonts w:hint="eastAsia"/>
      </w:rPr>
    </w:lvl>
  </w:abstractNum>
  <w:num w:numId="1">
    <w:abstractNumId w:val="2"/>
  </w:num>
  <w:num w:numId="2">
    <w:abstractNumId w:val="4"/>
  </w:num>
  <w:num w:numId="3">
    <w:abstractNumId w:val="0"/>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YzQ0NmQ2NWU4YTNmYzVhNzk4ZTE3YTk4ZDA4Yjc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16049B3"/>
    <w:rsid w:val="02FEBE30"/>
    <w:rsid w:val="036F8141"/>
    <w:rsid w:val="066E0107"/>
    <w:rsid w:val="07996F6E"/>
    <w:rsid w:val="07DFD8BA"/>
    <w:rsid w:val="0A2032A3"/>
    <w:rsid w:val="0D35B1ED"/>
    <w:rsid w:val="0E7ED1F5"/>
    <w:rsid w:val="0F98263C"/>
    <w:rsid w:val="101860EC"/>
    <w:rsid w:val="10C055FF"/>
    <w:rsid w:val="118107EC"/>
    <w:rsid w:val="12245BCB"/>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0F052F3"/>
    <w:rsid w:val="22A54BB0"/>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3443585"/>
    <w:rsid w:val="36AA5135"/>
    <w:rsid w:val="36BE0DA7"/>
    <w:rsid w:val="376B6AA6"/>
    <w:rsid w:val="376D39B2"/>
    <w:rsid w:val="37E16F03"/>
    <w:rsid w:val="37F53A3B"/>
    <w:rsid w:val="38B71AA9"/>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5EB21D8"/>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647B2"/>
    <w:rsid w:val="4FAB812F"/>
    <w:rsid w:val="4FE9BD67"/>
    <w:rsid w:val="4FEE4C07"/>
    <w:rsid w:val="4FFB052F"/>
    <w:rsid w:val="528228E9"/>
    <w:rsid w:val="537E6D0A"/>
    <w:rsid w:val="53AB6B88"/>
    <w:rsid w:val="53F74C96"/>
    <w:rsid w:val="5583522D"/>
    <w:rsid w:val="56B76233"/>
    <w:rsid w:val="57BD3DD4"/>
    <w:rsid w:val="57F9CD1E"/>
    <w:rsid w:val="5A4B6506"/>
    <w:rsid w:val="5AF92295"/>
    <w:rsid w:val="5AF9D8E9"/>
    <w:rsid w:val="5BDD38BD"/>
    <w:rsid w:val="5BDD79E6"/>
    <w:rsid w:val="5BEFC772"/>
    <w:rsid w:val="5BFF5DFC"/>
    <w:rsid w:val="5CD71FC4"/>
    <w:rsid w:val="5D1F11B5"/>
    <w:rsid w:val="5D3647F9"/>
    <w:rsid w:val="5DA644D4"/>
    <w:rsid w:val="5DAE1B18"/>
    <w:rsid w:val="5DE7D9E5"/>
    <w:rsid w:val="5E961B8A"/>
    <w:rsid w:val="5ECEC941"/>
    <w:rsid w:val="5EFF8FC6"/>
    <w:rsid w:val="5F5BA39A"/>
    <w:rsid w:val="5F7D3B79"/>
    <w:rsid w:val="5F7F4610"/>
    <w:rsid w:val="5FBF9FF3"/>
    <w:rsid w:val="5FCD4E2C"/>
    <w:rsid w:val="5FEF394A"/>
    <w:rsid w:val="5FF67715"/>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2D5776"/>
    <w:rsid w:val="797E3A6C"/>
    <w:rsid w:val="79CF70E2"/>
    <w:rsid w:val="79D7FD79"/>
    <w:rsid w:val="79E75806"/>
    <w:rsid w:val="79EE5BA4"/>
    <w:rsid w:val="7A641148"/>
    <w:rsid w:val="7A6F8BF5"/>
    <w:rsid w:val="7A894339"/>
    <w:rsid w:val="7ACF82B5"/>
    <w:rsid w:val="7AFF28C9"/>
    <w:rsid w:val="7AFF41CC"/>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87361111111111"/>
          <c:y val="0.0520833333333333"/>
        </c:manualLayout>
      </c:layout>
      <c:overlay val="0"/>
      <c:spPr>
        <a:noFill/>
        <a:ln>
          <a:noFill/>
        </a:ln>
        <a:effectLst/>
      </c:spPr>
    </c:title>
    <c:autoTitleDeleted val="0"/>
    <c:plotArea>
      <c:layout/>
      <c:barChart>
        <c:barDir val="col"/>
        <c:grouping val="clustered"/>
        <c:varyColors val="0"/>
        <c:ser>
          <c:idx val="0"/>
          <c:order val="0"/>
          <c:tx>
            <c:strRef>
              <c:f>[工作簿1]Sheet1!$A$1</c:f>
              <c:strCache>
                <c:ptCount val="1"/>
                <c:pt idx="0">
                  <c:v>2022年收入</c:v>
                </c:pt>
              </c:strCache>
            </c:strRef>
          </c:tx>
          <c:spPr>
            <a:solidFill>
              <a:schemeClr val="accent1"/>
            </a:solidFill>
            <a:ln>
              <a:noFill/>
            </a:ln>
            <a:effectLst/>
          </c:spPr>
          <c:invertIfNegative val="0"/>
          <c:dLbls>
            <c:delete val="1"/>
          </c:dLbls>
          <c:val>
            <c:numRef>
              <c:f>[工作簿1]Sheet1!$B$1</c:f>
              <c:numCache>
                <c:formatCode>General</c:formatCode>
                <c:ptCount val="1"/>
                <c:pt idx="0">
                  <c:v>1445</c:v>
                </c:pt>
              </c:numCache>
            </c:numRef>
          </c:val>
        </c:ser>
        <c:ser>
          <c:idx val="1"/>
          <c:order val="1"/>
          <c:tx>
            <c:strRef>
              <c:f>[工作簿1]Sheet1!$A$2</c:f>
              <c:strCache>
                <c:ptCount val="1"/>
                <c:pt idx="0">
                  <c:v>2022年支出</c:v>
                </c:pt>
              </c:strCache>
            </c:strRef>
          </c:tx>
          <c:spPr>
            <a:solidFill>
              <a:schemeClr val="accent2"/>
            </a:solidFill>
            <a:ln>
              <a:noFill/>
            </a:ln>
            <a:effectLst/>
          </c:spPr>
          <c:invertIfNegative val="0"/>
          <c:dLbls>
            <c:delete val="1"/>
          </c:dLbls>
          <c:val>
            <c:numRef>
              <c:f>[工作簿1]Sheet1!$B$2</c:f>
              <c:numCache>
                <c:formatCode>General</c:formatCode>
                <c:ptCount val="1"/>
                <c:pt idx="0">
                  <c:v>1445</c:v>
                </c:pt>
              </c:numCache>
            </c:numRef>
          </c:val>
        </c:ser>
        <c:ser>
          <c:idx val="2"/>
          <c:order val="2"/>
          <c:tx>
            <c:strRef>
              <c:f>[工作簿1]Sheet1!$A$3</c:f>
              <c:strCache>
                <c:ptCount val="1"/>
                <c:pt idx="0">
                  <c:v>2023年收入</c:v>
                </c:pt>
              </c:strCache>
            </c:strRef>
          </c:tx>
          <c:spPr>
            <a:solidFill>
              <a:schemeClr val="accent1"/>
            </a:solidFill>
            <a:ln>
              <a:noFill/>
            </a:ln>
            <a:effectLst/>
          </c:spPr>
          <c:invertIfNegative val="0"/>
          <c:dLbls>
            <c:delete val="1"/>
          </c:dLbls>
          <c:val>
            <c:numRef>
              <c:f>[工作簿1]Sheet1!$B$3</c:f>
              <c:numCache>
                <c:formatCode>General</c:formatCode>
                <c:ptCount val="1"/>
                <c:pt idx="0">
                  <c:v>1789</c:v>
                </c:pt>
              </c:numCache>
            </c:numRef>
          </c:val>
        </c:ser>
        <c:ser>
          <c:idx val="3"/>
          <c:order val="3"/>
          <c:tx>
            <c:strRef>
              <c:f>[工作簿1]Sheet1!$A$4</c:f>
              <c:strCache>
                <c:ptCount val="1"/>
                <c:pt idx="0">
                  <c:v>2023年支出</c:v>
                </c:pt>
              </c:strCache>
            </c:strRef>
          </c:tx>
          <c:spPr>
            <a:solidFill>
              <a:schemeClr val="accent2"/>
            </a:solidFill>
            <a:ln>
              <a:noFill/>
            </a:ln>
            <a:effectLst/>
          </c:spPr>
          <c:invertIfNegative val="0"/>
          <c:dLbls>
            <c:delete val="1"/>
          </c:dLbls>
          <c:val>
            <c:numRef>
              <c:f>[工作簿1]Sheet1!$B$4</c:f>
              <c:numCache>
                <c:formatCode>General</c:formatCode>
                <c:ptCount val="1"/>
                <c:pt idx="0">
                  <c:v>1789</c:v>
                </c:pt>
              </c:numCache>
            </c:numRef>
          </c:val>
        </c:ser>
        <c:dLbls>
          <c:showLegendKey val="0"/>
          <c:showVal val="0"/>
          <c:showCatName val="0"/>
          <c:showSerName val="0"/>
          <c:showPercent val="0"/>
          <c:showBubbleSize val="0"/>
        </c:dLbls>
        <c:gapWidth val="219"/>
        <c:overlap val="-27"/>
        <c:axId val="69203851"/>
        <c:axId val="91200144"/>
      </c:barChart>
      <c:catAx>
        <c:axId val="692038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200144"/>
        <c:crosses val="autoZero"/>
        <c:auto val="1"/>
        <c:lblAlgn val="ctr"/>
        <c:lblOffset val="100"/>
        <c:noMultiLvlLbl val="0"/>
      </c:catAx>
      <c:valAx>
        <c:axId val="9120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038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ae43cdd-92c0-43e0-9b9f-d0d27c41d15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[工作簿1]Sheet1!$G$1:$G$5</c:f>
              <c:strCache>
                <c:ptCount val="5"/>
                <c:pt idx="0">
                  <c:v>基本支出</c:v>
                </c:pt>
                <c:pt idx="1">
                  <c:v>项目支出</c:v>
                </c:pt>
                <c:pt idx="2">
                  <c:v>上缴上级支出</c:v>
                </c:pt>
                <c:pt idx="3">
                  <c:v>经营支出</c:v>
                </c:pt>
                <c:pt idx="4">
                  <c:v>对附属单位补助支出</c:v>
                </c:pt>
              </c:strCache>
            </c:strRef>
          </c:cat>
          <c:val>
            <c:numRef>
              <c:f>[工作簿1]Sheet1!$H$1:$H$5</c:f>
              <c:numCache>
                <c:formatCode>General</c:formatCode>
                <c:ptCount val="5"/>
                <c:pt idx="0">
                  <c:v>1769.51</c:v>
                </c:pt>
                <c:pt idx="1">
                  <c:v>20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98aa14b-ce63-414d-a985-10d1de2f9b6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manualLayout>
          <c:xMode val="edge"/>
          <c:yMode val="edge"/>
          <c:x val="0.206805555555556"/>
          <c:y val="0.03125"/>
        </c:manualLayout>
      </c:layout>
      <c:overlay val="0"/>
      <c:spPr>
        <a:noFill/>
        <a:ln>
          <a:noFill/>
        </a:ln>
        <a:effectLst/>
      </c:spPr>
    </c:title>
    <c:autoTitleDeleted val="0"/>
    <c:plotArea>
      <c:layout>
        <c:manualLayout>
          <c:layoutTarget val="inner"/>
          <c:xMode val="edge"/>
          <c:yMode val="edge"/>
          <c:x val="0.0978611111111111"/>
          <c:y val="0.209107097430679"/>
          <c:w val="0.882"/>
          <c:h val="0.577308572882218"/>
        </c:manualLayout>
      </c:layout>
      <c:barChart>
        <c:barDir val="col"/>
        <c:grouping val="clustered"/>
        <c:varyColors val="0"/>
        <c:ser>
          <c:idx val="0"/>
          <c:order val="0"/>
          <c:spPr>
            <a:solidFill>
              <a:schemeClr val="accent1"/>
            </a:solidFill>
            <a:ln>
              <a:noFill/>
            </a:ln>
            <a:effectLst/>
          </c:spPr>
          <c:invertIfNegative val="0"/>
          <c:dLbls>
            <c:delete val="1"/>
          </c:dLbls>
          <c:cat>
            <c:strRef>
              <c:f>[工作簿1]Sheet1!$A$2:$A$3</c:f>
              <c:strCache>
                <c:ptCount val="2"/>
                <c:pt idx="0">
                  <c:v>2022年</c:v>
                </c:pt>
                <c:pt idx="1">
                  <c:v>2023年</c:v>
                </c:pt>
              </c:strCache>
            </c:strRef>
          </c:cat>
          <c:val>
            <c:numRef>
              <c:f>[工作簿1]Sheet1!$B$2:$B$3</c:f>
              <c:numCache>
                <c:formatCode>General</c:formatCode>
                <c:ptCount val="2"/>
                <c:pt idx="0">
                  <c:v>1445</c:v>
                </c:pt>
                <c:pt idx="1">
                  <c:v>1789</c:v>
                </c:pt>
              </c:numCache>
            </c:numRef>
          </c:val>
        </c:ser>
        <c:dLbls>
          <c:showLegendKey val="0"/>
          <c:showVal val="0"/>
          <c:showCatName val="0"/>
          <c:showSerName val="0"/>
          <c:showPercent val="0"/>
          <c:showBubbleSize val="0"/>
        </c:dLbls>
        <c:gapWidth val="219"/>
        <c:overlap val="-27"/>
        <c:axId val="465944277"/>
        <c:axId val="449080132"/>
      </c:barChart>
      <c:catAx>
        <c:axId val="465944277"/>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财政拨款收、支决算总计变动</a:t>
                </a:r>
              </a:p>
            </c:rich>
          </c:tx>
          <c:layout>
            <c:manualLayout>
              <c:xMode val="edge"/>
              <c:yMode val="edge"/>
              <c:x val="0.330388888888889"/>
              <c:y val="0.894444444444444"/>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080132"/>
        <c:crosses val="autoZero"/>
        <c:auto val="1"/>
        <c:lblAlgn val="ctr"/>
        <c:lblOffset val="100"/>
        <c:noMultiLvlLbl val="0"/>
      </c:catAx>
      <c:valAx>
        <c:axId val="4490801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5944277"/>
        <c:crosses val="autoZero"/>
        <c:crossBetween val="between"/>
      </c:valAx>
      <c:spPr>
        <a:noFill/>
        <a:ln>
          <a:noFill/>
        </a:ln>
        <a:effectLst/>
      </c:spPr>
    </c:plotArea>
    <c:plotVisOnly val="1"/>
    <c:dispBlanksAs val="gap"/>
    <c:showDLblsOverMax val="0"/>
    <c:extLst>
      <c:ext uri="{0b15fc19-7d7d-44ad-8c2d-2c3a37ce22c3}">
        <chartProps xmlns="https://web.wps.cn/et/2018/main" chartId="{194994b5-b321-4a95-a674-b4175999c74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[工作簿1]Sheet1!$A$2:$A$3</c:f>
              <c:strCache>
                <c:ptCount val="2"/>
                <c:pt idx="0">
                  <c:v>2022年</c:v>
                </c:pt>
                <c:pt idx="1">
                  <c:v>2023年</c:v>
                </c:pt>
              </c:strCache>
            </c:strRef>
          </c:cat>
          <c:val>
            <c:numRef>
              <c:f>[工作簿1]Sheet1!$B$2:$B$3</c:f>
              <c:numCache>
                <c:formatCode>General</c:formatCode>
                <c:ptCount val="2"/>
                <c:pt idx="0">
                  <c:v>1445</c:v>
                </c:pt>
                <c:pt idx="1">
                  <c:v>1789</c:v>
                </c:pt>
              </c:numCache>
            </c:numRef>
          </c:val>
        </c:ser>
        <c:dLbls>
          <c:showLegendKey val="0"/>
          <c:showVal val="0"/>
          <c:showCatName val="0"/>
          <c:showSerName val="0"/>
          <c:showPercent val="0"/>
          <c:showBubbleSize val="0"/>
        </c:dLbls>
        <c:gapWidth val="219"/>
        <c:overlap val="-27"/>
        <c:axId val="465944277"/>
        <c:axId val="449080132"/>
      </c:barChart>
      <c:catAx>
        <c:axId val="465944277"/>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一般公共预算财政拨款支出</a:t>
                </a:r>
              </a:p>
            </c:rich>
          </c:tx>
          <c:layout>
            <c:manualLayout>
              <c:xMode val="edge"/>
              <c:yMode val="edge"/>
              <c:x val="0.317888888888889"/>
              <c:y val="0.890972222222222"/>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080132"/>
        <c:crosses val="autoZero"/>
        <c:auto val="1"/>
        <c:lblAlgn val="ctr"/>
        <c:lblOffset val="100"/>
        <c:noMultiLvlLbl val="0"/>
      </c:catAx>
      <c:valAx>
        <c:axId val="4490801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5944277"/>
        <c:crosses val="autoZero"/>
        <c:crossBetween val="between"/>
      </c:valAx>
      <c:spPr>
        <a:noFill/>
        <a:ln>
          <a:noFill/>
        </a:ln>
        <a:effectLst/>
      </c:spPr>
    </c:plotArea>
    <c:plotVisOnly val="1"/>
    <c:dispBlanksAs val="gap"/>
    <c:showDLblsOverMax val="0"/>
    <c:extLst>
      <c:ext uri="{0b15fc19-7d7d-44ad-8c2d-2c3a37ce22c3}">
        <chartProps xmlns="https://web.wps.cn/et/2018/main" chartId="{8aaedb81-d1dd-4fd1-bb9b-8a164db1cdb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10418</Words>
  <Characters>11036</Characters>
  <Lines>72</Lines>
  <Paragraphs>20</Paragraphs>
  <TotalTime>14</TotalTime>
  <ScaleCrop>false</ScaleCrop>
  <LinksUpToDate>false</LinksUpToDate>
  <CharactersWithSpaces>11183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死神</cp:lastModifiedBy>
  <cp:lastPrinted>2024-11-13T08:26:00Z</cp:lastPrinted>
  <dcterms:modified xsi:type="dcterms:W3CDTF">2024-11-14T06:59:41Z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1C22A2C4759E4ED398A9B864A675EF54</vt:lpwstr>
  </property>
</Properties>
</file>