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62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/>
          <w:b/>
          <w:spacing w:val="-6"/>
          <w:sz w:val="44"/>
          <w:szCs w:val="44"/>
        </w:rPr>
        <w:t>关于</w:t>
      </w:r>
      <w:r>
        <w:rPr>
          <w:rFonts w:hint="eastAsia" w:hAnsi="宋体"/>
          <w:b/>
          <w:spacing w:val="-6"/>
          <w:sz w:val="44"/>
          <w:szCs w:val="44"/>
          <w:lang w:eastAsia="zh-CN"/>
        </w:rPr>
        <w:t>万源市城乡环境综合治理委员会办公室</w:t>
      </w:r>
      <w:r>
        <w:rPr>
          <w:rFonts w:hAnsi="宋体"/>
          <w:b/>
          <w:sz w:val="44"/>
          <w:szCs w:val="44"/>
        </w:rPr>
        <w:t>财政拨款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三公</w:t>
      </w:r>
      <w:r>
        <w:rPr>
          <w:b/>
          <w:sz w:val="44"/>
          <w:szCs w:val="44"/>
        </w:rPr>
        <w:t>”</w:t>
      </w:r>
      <w:r>
        <w:rPr>
          <w:rFonts w:hAnsi="宋体"/>
          <w:b/>
          <w:sz w:val="44"/>
          <w:szCs w:val="44"/>
        </w:rPr>
        <w:t>经费</w:t>
      </w:r>
      <w:r>
        <w:rPr>
          <w:rFonts w:hint="eastAsia"/>
          <w:b/>
          <w:sz w:val="44"/>
          <w:szCs w:val="44"/>
          <w:lang w:eastAsia="zh-CN"/>
        </w:rPr>
        <w:t>2023</w:t>
      </w:r>
      <w:r>
        <w:rPr>
          <w:rFonts w:hAnsi="宋体"/>
          <w:b/>
          <w:sz w:val="44"/>
          <w:szCs w:val="44"/>
        </w:rPr>
        <w:t>年预算情况的</w:t>
      </w:r>
    </w:p>
    <w:p>
      <w:pPr>
        <w:spacing w:line="6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说</w:t>
      </w:r>
      <w:r>
        <w:rPr>
          <w:rFonts w:hint="eastAsia" w:hAnsi="宋体"/>
          <w:b/>
          <w:sz w:val="44"/>
          <w:szCs w:val="44"/>
          <w:lang w:val="en-US" w:eastAsia="zh-CN"/>
        </w:rPr>
        <w:t xml:space="preserve">  </w:t>
      </w:r>
      <w:r>
        <w:rPr>
          <w:rFonts w:hAnsi="宋体"/>
          <w:b/>
          <w:sz w:val="44"/>
          <w:szCs w:val="44"/>
        </w:rPr>
        <w:t>明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万源市城乡环境综合治理委员会办公室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财政拨款“三公”经费预算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年情况如下：</w:t>
      </w:r>
      <w:bookmarkStart w:id="0" w:name="_GoBack"/>
      <w:bookmarkEnd w:id="0"/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一、因公出国（境）经费</w:t>
      </w: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万源市城乡环境综合治理委员会办公室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安排的出国计划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为零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，拟安排出国境组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次，出国境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人，安排出国（境）经费预算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2022年计划持平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二、公务接待费</w:t>
      </w: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万源市城乡环境综合治理委员会办公室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安排公务接待费预算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2022年预算持平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三、公务用车购置及运行维护费</w:t>
      </w: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万源市城乡环境综合治理委员会办公室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安排公车购置及运行维护费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万元，其中：购置经费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万元、运行维护费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年预算持平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，单位公务用车保有量为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2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  <w:r>
              <w:rPr>
                <w:rFonts w:hint="eastAsia" w:eastAsia="华文中宋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年</w:t>
            </w:r>
            <w:r>
              <w:rPr>
                <w:rFonts w:eastAsia="华文中宋"/>
                <w:kern w:val="0"/>
                <w:sz w:val="28"/>
                <w:szCs w:val="28"/>
              </w:rPr>
              <w:t>“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三公</w:t>
            </w:r>
            <w:r>
              <w:rPr>
                <w:rFonts w:eastAsia="华文中宋"/>
                <w:kern w:val="0"/>
                <w:sz w:val="28"/>
                <w:szCs w:val="28"/>
              </w:rPr>
              <w:t>”</w:t>
            </w:r>
            <w:r>
              <w:rPr>
                <w:rFonts w:hAnsi="华文中宋" w:eastAsia="华文中宋"/>
                <w:kern w:val="0"/>
                <w:sz w:val="28"/>
                <w:szCs w:val="28"/>
              </w:rPr>
              <w:t>经费预算财政拨款情况统计表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　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</w:tc>
        <w:tc>
          <w:tcPr>
            <w:tcW w:w="3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合计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因公出国（境）费用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公务接待费</w:t>
            </w:r>
          </w:p>
        </w:tc>
        <w:tc>
          <w:tcPr>
            <w:tcW w:w="3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公务用车费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其中：（</w:t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）公务用车运行维护费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</w:t>
            </w:r>
            <w:r>
              <w:rPr>
                <w:rFonts w:hAnsi="宋体"/>
                <w:kern w:val="0"/>
                <w:sz w:val="24"/>
              </w:rPr>
              <w:t>）公务用车购置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WVkOGZlMmU0Yzk5ZWIyMjhlMzJkNDM5MzgzMGQifQ=="/>
  </w:docVars>
  <w:rsids>
    <w:rsidRoot w:val="0D171B07"/>
    <w:rsid w:val="00071B89"/>
    <w:rsid w:val="0D171B07"/>
    <w:rsid w:val="512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415</Characters>
  <Lines>0</Lines>
  <Paragraphs>0</Paragraphs>
  <TotalTime>5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2023-03-15T03:01:00Z</dcterms:created>
  <dc:creator>Administrator</dc:creator>
  <cp:lastModifiedBy>Administrator</cp:lastModifiedBy>
  <cp:lastPrinted>2023-03-20T02:32:26Z</cp:lastPrinted>
  <dcterms:modified xsi:type="dcterms:W3CDTF">2023-03-20T02:36:05Z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D9F7B8358DA74E07859E253D3F936F33</vt:lpwstr>
  </property>
</Properties>
</file>