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widowControl/>
        <w:jc w:val="center"/>
        <w:rPr>
          <w:rFonts w:hint="eastAsia" w:ascii="方正小标宋简体" w:hAnsi="宋体" w:eastAsia="方正小标宋简体"/>
          <w:color w:val="auto"/>
          <w:sz w:val="72"/>
          <w:szCs w:val="72"/>
          <w:highlight w:val="none"/>
        </w:rPr>
      </w:pPr>
    </w:p>
    <w:bookmarkEnd w:id="0"/>
    <w:p>
      <w:pPr>
        <w:widowControl/>
        <w:jc w:val="center"/>
        <w:rPr>
          <w:rFonts w:hint="eastAsia" w:ascii="方正小标宋简体" w:hAnsi="宋体" w:eastAsia="方正小标宋简体"/>
          <w:color w:val="auto"/>
          <w:sz w:val="72"/>
          <w:szCs w:val="72"/>
          <w:highlight w:val="none"/>
        </w:rPr>
      </w:pPr>
      <w:bookmarkStart w:id="1" w:name="_Toc15377425"/>
      <w:bookmarkStart w:id="2" w:name="_Toc15396597"/>
      <w:bookmarkStart w:id="3" w:name="_Toc15378441"/>
      <w:bookmarkStart w:id="4" w:name="_Toc15396475"/>
      <w:bookmarkStart w:id="5" w:name="_Toc15377193"/>
      <w:r>
        <w:rPr>
          <w:rFonts w:hint="eastAsia" w:ascii="方正小标宋简体" w:hAnsi="宋体" w:eastAsia="方正小标宋简体"/>
          <w:color w:val="auto"/>
          <w:sz w:val="72"/>
          <w:szCs w:val="72"/>
          <w:highlight w:val="none"/>
        </w:rPr>
        <w:t>20</w:t>
      </w:r>
      <w:r>
        <w:rPr>
          <w:rFonts w:hint="eastAsia" w:ascii="方正小标宋简体" w:hAnsi="宋体" w:eastAsia="方正小标宋简体"/>
          <w:color w:val="auto"/>
          <w:sz w:val="72"/>
          <w:szCs w:val="72"/>
          <w:highlight w:val="none"/>
          <w:lang w:val="en-US" w:eastAsia="zh-CN"/>
        </w:rPr>
        <w:t>21</w:t>
      </w:r>
      <w:bookmarkStart w:id="67" w:name="_GoBack"/>
      <w:bookmarkEnd w:id="67"/>
      <w:r>
        <w:rPr>
          <w:rFonts w:hint="eastAsia" w:ascii="方正小标宋简体" w:hAnsi="宋体" w:eastAsia="方正小标宋简体"/>
          <w:color w:val="auto"/>
          <w:sz w:val="72"/>
          <w:szCs w:val="72"/>
          <w:highlight w:val="none"/>
        </w:rPr>
        <w:t>年度</w:t>
      </w:r>
      <w:bookmarkEnd w:id="1"/>
      <w:bookmarkEnd w:id="2"/>
      <w:bookmarkEnd w:id="3"/>
      <w:bookmarkEnd w:id="4"/>
      <w:bookmarkEnd w:id="5"/>
      <w:bookmarkStart w:id="6" w:name="_Toc15377194"/>
      <w:bookmarkStart w:id="7" w:name="_Toc15378442"/>
      <w:bookmarkStart w:id="8" w:name="_Toc15396598"/>
      <w:bookmarkStart w:id="9" w:name="_Toc15396476"/>
      <w:bookmarkStart w:id="10" w:name="_Toc15377426"/>
    </w:p>
    <w:p>
      <w:pPr>
        <w:widowControl/>
        <w:jc w:val="center"/>
        <w:rPr>
          <w:rFonts w:ascii="黑体" w:hAnsi="黑体" w:eastAsia="黑体"/>
          <w:color w:val="auto"/>
          <w:sz w:val="48"/>
          <w:szCs w:val="48"/>
          <w:highlight w:val="none"/>
        </w:rPr>
      </w:pPr>
      <w:r>
        <w:rPr>
          <w:rFonts w:hint="eastAsia" w:ascii="方正小标宋简体" w:hAnsi="宋体" w:eastAsia="方正小标宋简体"/>
          <w:color w:val="auto"/>
          <w:sz w:val="72"/>
          <w:szCs w:val="72"/>
          <w:highlight w:val="none"/>
        </w:rPr>
        <w:t>四川省万源市</w:t>
      </w:r>
      <w:bookmarkStart w:id="11" w:name="_Toc15306268"/>
      <w:r>
        <w:rPr>
          <w:rFonts w:hint="eastAsia" w:ascii="方正小标宋简体" w:hAnsi="宋体" w:eastAsia="方正小标宋简体"/>
          <w:color w:val="auto"/>
          <w:sz w:val="72"/>
          <w:szCs w:val="72"/>
          <w:highlight w:val="none"/>
          <w:lang w:eastAsia="zh-CN"/>
        </w:rPr>
        <w:t>罗文镇人民政府</w:t>
      </w:r>
      <w:r>
        <w:rPr>
          <w:rFonts w:hint="eastAsia" w:ascii="方正小标宋简体" w:hAnsi="宋体" w:eastAsia="方正小标宋简体"/>
          <w:color w:val="auto"/>
          <w:sz w:val="72"/>
          <w:szCs w:val="72"/>
          <w:highlight w:val="none"/>
        </w:rPr>
        <w:t>部门决算</w:t>
      </w:r>
      <w:bookmarkEnd w:id="6"/>
      <w:bookmarkEnd w:id="7"/>
      <w:bookmarkEnd w:id="8"/>
      <w:bookmarkEnd w:id="9"/>
      <w:bookmarkEnd w:id="10"/>
      <w:bookmarkEnd w:id="11"/>
      <w:r>
        <w:rPr>
          <w:rFonts w:hint="eastAsia" w:ascii="方正小标宋简体" w:hAnsi="宋体" w:eastAsia="方正小标宋简体"/>
          <w:color w:val="auto"/>
          <w:sz w:val="72"/>
          <w:szCs w:val="72"/>
          <w:highlight w:val="none"/>
          <w:lang w:eastAsia="zh-CN"/>
        </w:rPr>
        <w:t>编制说明</w:t>
      </w:r>
      <w:r>
        <w:rPr>
          <w:rFonts w:hint="eastAsia" w:ascii="方正小标宋简体" w:hAnsi="宋体" w:eastAsia="方正小标宋简体"/>
          <w:color w:val="auto"/>
          <w:sz w:val="72"/>
          <w:szCs w:val="72"/>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3"/>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p>
    <w:p>
      <w:pPr>
        <w:pStyle w:val="12"/>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3"/>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3"/>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w:t>
      </w:r>
      <w:r>
        <w:rPr>
          <w:rFonts w:hint="eastAsia" w:ascii="仿宋" w:hAnsi="仿宋" w:eastAsia="仿宋"/>
          <w:color w:val="auto"/>
          <w:sz w:val="24"/>
          <w:highlight w:val="none"/>
          <w:lang w:eastAsia="zh-CN"/>
        </w:rPr>
        <w:t>单位</w:t>
      </w:r>
      <w:r>
        <w:rPr>
          <w:rFonts w:hint="eastAsia" w:ascii="仿宋" w:hAnsi="仿宋" w:eastAsia="仿宋"/>
          <w:color w:val="auto"/>
          <w:sz w:val="24"/>
          <w:highlight w:val="none"/>
        </w:rPr>
        <w:t>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4"/>
        <w:jc w:val="center"/>
        <w:rPr>
          <w:rStyle w:val="26"/>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5"/>
        <w:numPr>
          <w:ilvl w:val="0"/>
          <w:numId w:val="1"/>
        </w:numPr>
        <w:rPr>
          <w:rFonts w:hint="eastAsia" w:ascii="仿宋_GB2312" w:hAnsi="仿宋" w:eastAsia="仿宋_GB2312"/>
          <w:sz w:val="32"/>
          <w:szCs w:val="32"/>
        </w:rPr>
      </w:pPr>
      <w:bookmarkStart w:id="14" w:name="_Toc15396600"/>
      <w:bookmarkStart w:id="15" w:name="_Toc15377197"/>
      <w:r>
        <w:rPr>
          <w:rStyle w:val="27"/>
          <w:rFonts w:hint="eastAsia" w:ascii="黑体" w:hAnsi="黑体" w:eastAsia="黑体"/>
          <w:b w:val="0"/>
          <w:bCs w:val="0"/>
          <w:color w:val="auto"/>
          <w:highlight w:val="none"/>
        </w:rPr>
        <w:t>职能</w:t>
      </w:r>
      <w:r>
        <w:rPr>
          <w:rStyle w:val="27"/>
          <w:rFonts w:hint="eastAsia" w:ascii="黑体" w:hAnsi="黑体" w:eastAsia="黑体"/>
          <w:b w:val="0"/>
          <w:bCs w:val="0"/>
          <w:color w:val="auto"/>
          <w:highlight w:val="none"/>
          <w:lang w:eastAsia="zh-CN"/>
        </w:rPr>
        <w:t>简介</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万源市罗文镇人民政府的主要工作职能：（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2）制定并组织实施村镇建设规划，部署重点工程建设，地方道路建设及公共设施，水利设施的管理，负责土地、林木、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4）按计划组织本级财政收入，完成国家财政计划，管好财政资金，增强财政实力。（5）抓好精神文明建设，丰富群众文化生活，提倡移风易俗，反对封建迷信，破除陈规陋习，树立社会主义新风尚。（6）完成上级政府交办的其它事项；主要工作是：一、聚焦脱贫攻坚，着力增进民生福祉。牢固树立共享发展理念，坚持以脱贫攻坚统揽全</w:t>
      </w:r>
      <w:r>
        <w:rPr>
          <w:rFonts w:hint="eastAsia" w:ascii="仿宋_GB2312" w:hAnsi="仿宋" w:eastAsia="仿宋_GB2312"/>
          <w:sz w:val="32"/>
          <w:szCs w:val="32"/>
          <w:lang w:eastAsia="zh-CN"/>
        </w:rPr>
        <w:t>镇</w:t>
      </w:r>
      <w:r>
        <w:rPr>
          <w:rFonts w:hint="eastAsia" w:ascii="仿宋_GB2312" w:hAnsi="仿宋" w:eastAsia="仿宋_GB2312"/>
          <w:sz w:val="32"/>
          <w:szCs w:val="32"/>
        </w:rPr>
        <w:t>各项工作，持续改善民生，增强群众幸福感。扎实推进精准扶贫。把握精准扶贫、精准脱贫要求，扎实推进“六个一批”扶贫攻坚计划 ，推动贫困群众稳定脱贫。加大扶贫项目资金整合力度，充分发挥产业扶贫信贷基金和风险补偿基金撬动作用，积极争取易地扶贫搬迁等政策，不断加大扶贫开发投入。</w:t>
      </w:r>
    </w:p>
    <w:p>
      <w:pPr>
        <w:pStyle w:val="5"/>
        <w:numPr>
          <w:ilvl w:val="0"/>
          <w:numId w:val="0"/>
        </w:numPr>
        <w:rPr>
          <w:rFonts w:hint="eastAsia" w:ascii="黑体" w:hAnsi="黑体" w:eastAsia="黑体"/>
          <w:b w:val="0"/>
          <w:color w:val="auto"/>
          <w:highlight w:val="none"/>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default" w:ascii="仿宋_GB2312" w:hAnsi="仿宋" w:eastAsia="仿宋_GB2312" w:cs="Times New Roman"/>
          <w:b/>
          <w:bCs/>
          <w:sz w:val="32"/>
          <w:szCs w:val="32"/>
          <w:lang w:val="en-US" w:eastAsia="zh-CN"/>
        </w:rPr>
      </w:pPr>
      <w:r>
        <w:rPr>
          <w:rFonts w:hint="default" w:ascii="仿宋_GB2312" w:hAnsi="仿宋" w:eastAsia="仿宋_GB2312" w:cs="Times New Roman"/>
          <w:b/>
          <w:bCs/>
          <w:sz w:val="32"/>
          <w:szCs w:val="32"/>
          <w:lang w:val="en-US" w:eastAsia="zh-CN"/>
        </w:rPr>
        <w:t>（一）着力推动脱贫攻坚，有效衔接乡村振兴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 w:eastAsia="仿宋_GB2312" w:cs="Times New Roman"/>
          <w:sz w:val="32"/>
          <w:szCs w:val="32"/>
        </w:rPr>
      </w:pPr>
      <w:r>
        <w:rPr>
          <w:rFonts w:hint="default" w:ascii="华文细黑" w:hAnsi="华文细黑" w:eastAsia="华文细黑" w:cs="华文细黑"/>
          <w:b/>
          <w:bCs/>
          <w:sz w:val="32"/>
          <w:szCs w:val="32"/>
          <w:lang w:eastAsia="zh-CN"/>
        </w:rPr>
        <w:t>一是</w:t>
      </w:r>
      <w:r>
        <w:rPr>
          <w:rFonts w:hint="default" w:ascii="仿宋_GB2312" w:hAnsi="仿宋" w:eastAsia="仿宋_GB2312" w:cs="Times New Roman"/>
          <w:sz w:val="32"/>
          <w:szCs w:val="32"/>
        </w:rPr>
        <w:t>严格按照中、省、达州</w:t>
      </w:r>
      <w:r>
        <w:rPr>
          <w:rFonts w:hint="default" w:ascii="仿宋_GB2312" w:hAnsi="仿宋" w:eastAsia="仿宋_GB2312" w:cs="Times New Roman"/>
          <w:sz w:val="32"/>
          <w:szCs w:val="32"/>
          <w:lang w:eastAsia="zh-CN"/>
        </w:rPr>
        <w:t>市及</w:t>
      </w:r>
      <w:r>
        <w:rPr>
          <w:rFonts w:hint="default" w:ascii="仿宋_GB2312" w:hAnsi="仿宋" w:eastAsia="仿宋_GB2312" w:cs="Times New Roman"/>
          <w:sz w:val="32"/>
          <w:szCs w:val="32"/>
        </w:rPr>
        <w:t>万源市关于脱贫攻坚</w:t>
      </w:r>
      <w:r>
        <w:rPr>
          <w:rFonts w:hint="eastAsia" w:ascii="仿宋_GB2312" w:hAnsi="仿宋" w:eastAsia="仿宋_GB2312" w:cs="Times New Roman"/>
          <w:sz w:val="32"/>
          <w:szCs w:val="32"/>
          <w:lang w:eastAsia="zh-CN"/>
        </w:rPr>
        <w:t>（乡村振兴）</w:t>
      </w:r>
      <w:r>
        <w:rPr>
          <w:rFonts w:hint="default" w:ascii="仿宋_GB2312" w:hAnsi="仿宋" w:eastAsia="仿宋_GB2312" w:cs="Times New Roman"/>
          <w:sz w:val="32"/>
          <w:szCs w:val="32"/>
        </w:rPr>
        <w:t>工作的</w:t>
      </w:r>
      <w:r>
        <w:rPr>
          <w:rFonts w:hint="default" w:ascii="仿宋_GB2312" w:hAnsi="仿宋" w:eastAsia="仿宋_GB2312" w:cs="Times New Roman"/>
          <w:sz w:val="32"/>
          <w:szCs w:val="32"/>
          <w:lang w:eastAsia="zh-CN"/>
        </w:rPr>
        <w:t>总要求，完善</w:t>
      </w:r>
      <w:r>
        <w:rPr>
          <w:rFonts w:hint="default" w:ascii="仿宋_GB2312" w:hAnsi="仿宋" w:eastAsia="仿宋_GB2312" w:cs="Times New Roman"/>
          <w:sz w:val="32"/>
          <w:szCs w:val="32"/>
        </w:rPr>
        <w:t>工作方案</w:t>
      </w:r>
      <w:r>
        <w:rPr>
          <w:rFonts w:hint="default" w:ascii="仿宋_GB2312" w:hAnsi="仿宋" w:eastAsia="仿宋_GB2312" w:cs="Times New Roman"/>
          <w:sz w:val="32"/>
          <w:szCs w:val="32"/>
          <w:lang w:eastAsia="zh-CN"/>
        </w:rPr>
        <w:t>、</w:t>
      </w:r>
      <w:r>
        <w:rPr>
          <w:rFonts w:hint="default" w:ascii="仿宋_GB2312" w:hAnsi="仿宋" w:eastAsia="仿宋_GB2312" w:cs="Times New Roman"/>
          <w:sz w:val="32"/>
          <w:szCs w:val="32"/>
        </w:rPr>
        <w:t>落实工作计划</w:t>
      </w:r>
      <w:r>
        <w:rPr>
          <w:rFonts w:hint="default" w:ascii="仿宋_GB2312" w:hAnsi="仿宋" w:eastAsia="仿宋_GB2312" w:cs="Times New Roman"/>
          <w:sz w:val="32"/>
          <w:szCs w:val="32"/>
          <w:lang w:eastAsia="zh-CN"/>
        </w:rPr>
        <w:t>、</w:t>
      </w:r>
      <w:r>
        <w:rPr>
          <w:rFonts w:hint="default" w:ascii="仿宋_GB2312" w:hAnsi="仿宋" w:eastAsia="仿宋_GB2312" w:cs="Times New Roman"/>
          <w:sz w:val="32"/>
          <w:szCs w:val="32"/>
        </w:rPr>
        <w:t>完成既定目标。</w:t>
      </w:r>
      <w:r>
        <w:rPr>
          <w:rFonts w:hint="default" w:ascii="仿宋_GB2312" w:hAnsi="仿宋" w:eastAsia="仿宋_GB2312" w:cs="Times New Roman"/>
          <w:sz w:val="32"/>
          <w:szCs w:val="32"/>
          <w:lang w:eastAsia="zh-CN"/>
        </w:rPr>
        <w:t>截止目前，全镇已完成</w:t>
      </w:r>
      <w:r>
        <w:rPr>
          <w:rFonts w:hint="eastAsia" w:ascii="仿宋_GB2312" w:hAnsi="仿宋" w:eastAsia="仿宋_GB2312" w:cs="Times New Roman"/>
          <w:sz w:val="32"/>
          <w:szCs w:val="32"/>
          <w:lang w:val="en-US" w:eastAsia="zh-CN"/>
        </w:rPr>
        <w:t>7</w:t>
      </w:r>
      <w:r>
        <w:rPr>
          <w:rFonts w:hint="default" w:ascii="仿宋_GB2312" w:hAnsi="仿宋" w:eastAsia="仿宋_GB2312" w:cs="Times New Roman"/>
          <w:sz w:val="32"/>
          <w:szCs w:val="32"/>
          <w:lang w:val="en-US" w:eastAsia="zh-CN"/>
        </w:rPr>
        <w:t>个贫困村和1554户4139人的贫困人口顺利</w:t>
      </w:r>
      <w:r>
        <w:rPr>
          <w:rFonts w:hint="eastAsia" w:ascii="仿宋_GB2312" w:hAnsi="仿宋" w:eastAsia="仿宋_GB2312" w:cs="Times New Roman"/>
          <w:sz w:val="32"/>
          <w:szCs w:val="32"/>
          <w:lang w:val="en-US" w:eastAsia="zh-CN"/>
        </w:rPr>
        <w:t>持续</w:t>
      </w:r>
      <w:r>
        <w:rPr>
          <w:rFonts w:hint="default" w:ascii="仿宋_GB2312" w:hAnsi="仿宋" w:eastAsia="仿宋_GB2312" w:cs="Times New Roman"/>
          <w:sz w:val="32"/>
          <w:szCs w:val="32"/>
          <w:lang w:val="en-US" w:eastAsia="zh-CN"/>
        </w:rPr>
        <w:t>脱贫</w:t>
      </w:r>
      <w:r>
        <w:rPr>
          <w:rFonts w:hint="default" w:ascii="仿宋_GB2312" w:hAnsi="仿宋" w:eastAsia="仿宋_GB2312" w:cs="Times New Roman"/>
          <w:sz w:val="32"/>
          <w:szCs w:val="32"/>
          <w:lang w:eastAsia="zh-CN"/>
        </w:rPr>
        <w:t>。严格按照中共万源市委农村工作领导小组办公室关于印发《万源市防止返贫动态监测集中排查工作方案》的通知，</w:t>
      </w:r>
      <w:r>
        <w:rPr>
          <w:rFonts w:hint="eastAsia" w:ascii="仿宋_GB2312" w:hAnsi="仿宋" w:eastAsia="仿宋_GB2312" w:cs="Times New Roman"/>
          <w:sz w:val="32"/>
          <w:szCs w:val="32"/>
          <w:lang w:eastAsia="zh-CN"/>
        </w:rPr>
        <w:t>新识别</w:t>
      </w:r>
      <w:r>
        <w:rPr>
          <w:rFonts w:hint="eastAsia" w:ascii="仿宋_GB2312" w:hAnsi="仿宋" w:eastAsia="仿宋_GB2312" w:cs="Times New Roman"/>
          <w:sz w:val="32"/>
          <w:szCs w:val="32"/>
          <w:lang w:val="en-US" w:eastAsia="zh-CN"/>
        </w:rPr>
        <w:t>8</w:t>
      </w:r>
      <w:r>
        <w:rPr>
          <w:rFonts w:hint="default" w:ascii="仿宋_GB2312" w:hAnsi="仿宋" w:eastAsia="仿宋_GB2312" w:cs="Times New Roman"/>
          <w:sz w:val="32"/>
          <w:szCs w:val="32"/>
          <w:lang w:val="en-US" w:eastAsia="zh-CN"/>
        </w:rPr>
        <w:t>户监测对象并制定整改方案，采取一户一专班，一人一方案重点“把脉问诊”，严防堵死任何返贫迹象。</w:t>
      </w:r>
      <w:r>
        <w:rPr>
          <w:rFonts w:hint="default" w:ascii="华文细黑" w:hAnsi="华文细黑" w:eastAsia="华文细黑" w:cs="华文细黑"/>
          <w:b/>
          <w:bCs/>
          <w:sz w:val="32"/>
          <w:szCs w:val="32"/>
          <w:lang w:val="en-US" w:eastAsia="zh-CN"/>
        </w:rPr>
        <w:t>二是</w:t>
      </w:r>
      <w:r>
        <w:rPr>
          <w:rFonts w:hint="eastAsia" w:ascii="Times New Roman" w:hAnsi="Times New Roman" w:eastAsia="仿宋" w:cs="Times New Roman"/>
          <w:sz w:val="32"/>
          <w:szCs w:val="32"/>
          <w:highlight w:val="none"/>
          <w:lang w:eastAsia="zh-CN"/>
        </w:rPr>
        <w:t>结合</w:t>
      </w:r>
      <w:r>
        <w:rPr>
          <w:rFonts w:hint="default" w:ascii="Times New Roman" w:hAnsi="Times New Roman" w:eastAsia="仿宋" w:cs="Times New Roman"/>
          <w:sz w:val="32"/>
          <w:szCs w:val="32"/>
          <w:highlight w:val="none"/>
        </w:rPr>
        <w:t>各村实际，通过土地流转、入股分红、土地租赁等形式，均发展村级集体经济，且达到集体经济人均6元以上</w:t>
      </w:r>
      <w:r>
        <w:rPr>
          <w:rFonts w:hint="eastAsia" w:ascii="Times New Roman" w:hAnsi="Times New Roman" w:eastAsia="仿宋" w:cs="Times New Roman"/>
          <w:sz w:val="32"/>
          <w:szCs w:val="32"/>
          <w:highlight w:val="none"/>
          <w:lang w:eastAsia="zh-CN"/>
        </w:rPr>
        <w:t>持续</w:t>
      </w:r>
      <w:r>
        <w:rPr>
          <w:rFonts w:hint="default" w:ascii="Times New Roman" w:hAnsi="Times New Roman" w:eastAsia="仿宋" w:cs="Times New Roman"/>
          <w:sz w:val="32"/>
          <w:szCs w:val="32"/>
          <w:highlight w:val="none"/>
        </w:rPr>
        <w:t>收入标准。</w:t>
      </w:r>
      <w:r>
        <w:rPr>
          <w:rFonts w:hint="eastAsia" w:ascii="Times New Roman" w:hAnsi="Times New Roman" w:eastAsia="仿宋" w:cs="Times New Roman"/>
          <w:sz w:val="32"/>
          <w:szCs w:val="32"/>
          <w:lang w:val="en-US" w:eastAsia="zh-CN"/>
        </w:rPr>
        <w:t>截止目前，</w:t>
      </w:r>
      <w:r>
        <w:rPr>
          <w:rFonts w:hint="default" w:ascii="Times New Roman" w:hAnsi="Times New Roman" w:eastAsia="仿宋" w:cs="Times New Roman"/>
          <w:sz w:val="32"/>
          <w:szCs w:val="32"/>
          <w:lang w:val="en-US" w:eastAsia="zh-CN"/>
        </w:rPr>
        <w:t>辖区</w:t>
      </w:r>
      <w:r>
        <w:rPr>
          <w:rFonts w:hint="eastAsia" w:ascii="Times New Roman" w:hAnsi="Times New Roman" w:eastAsia="仿宋" w:cs="Times New Roman"/>
          <w:sz w:val="32"/>
          <w:szCs w:val="32"/>
          <w:lang w:val="en-US" w:eastAsia="zh-CN"/>
        </w:rPr>
        <w:t>内</w:t>
      </w:r>
      <w:r>
        <w:rPr>
          <w:rFonts w:hint="default" w:ascii="Times New Roman" w:hAnsi="Times New Roman" w:eastAsia="仿宋" w:cs="Times New Roman"/>
          <w:sz w:val="32"/>
          <w:szCs w:val="32"/>
          <w:lang w:val="en-US" w:eastAsia="zh-CN"/>
        </w:rPr>
        <w:t>生猪年出栏100头以上养殖大户65户</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茶叶产业260亩，花椒产业420亩</w:t>
      </w:r>
      <w:r>
        <w:rPr>
          <w:rFonts w:hint="eastAsia" w:ascii="Times New Roman" w:hAnsi="Times New Roman" w:eastAsia="仿宋" w:cs="Times New Roman"/>
          <w:sz w:val="32"/>
          <w:szCs w:val="32"/>
          <w:lang w:val="en-US" w:eastAsia="zh-CN"/>
        </w:rPr>
        <w:t>等</w:t>
      </w:r>
      <w:r>
        <w:rPr>
          <w:rFonts w:hint="default" w:ascii="Times New Roman" w:hAnsi="Times New Roman" w:eastAsia="仿宋" w:cs="Times New Roman"/>
          <w:sz w:val="32"/>
          <w:szCs w:val="32"/>
          <w:lang w:val="en-US" w:eastAsia="zh-CN"/>
        </w:rPr>
        <w:t>。</w:t>
      </w:r>
      <w:r>
        <w:rPr>
          <w:rFonts w:hint="eastAsia" w:ascii="华文细黑" w:hAnsi="华文细黑" w:eastAsia="华文细黑" w:cs="华文细黑"/>
          <w:b/>
          <w:bCs/>
          <w:sz w:val="32"/>
          <w:szCs w:val="32"/>
          <w:lang w:val="en-US" w:eastAsia="zh-CN"/>
        </w:rPr>
        <w:t>三</w:t>
      </w:r>
      <w:r>
        <w:rPr>
          <w:rFonts w:hint="default" w:ascii="华文细黑" w:hAnsi="华文细黑" w:eastAsia="华文细黑" w:cs="华文细黑"/>
          <w:b/>
          <w:bCs/>
          <w:sz w:val="32"/>
          <w:szCs w:val="32"/>
          <w:lang w:val="en-US" w:eastAsia="zh-CN"/>
        </w:rPr>
        <w:t>是</w:t>
      </w:r>
      <w:r>
        <w:rPr>
          <w:rFonts w:hint="default" w:ascii="仿宋_GB2312" w:hAnsi="仿宋" w:eastAsia="仿宋_GB2312" w:cs="Times New Roman"/>
          <w:sz w:val="32"/>
          <w:szCs w:val="32"/>
          <w:lang w:val="en-US" w:eastAsia="zh-CN"/>
        </w:rPr>
        <w:t>始终坚持基础设施建设优先，产业发展带动，社会事业全面提升的发展理念，完成苟家寨村王家沟段水毁道路工程（20万元）</w:t>
      </w:r>
      <w:r>
        <w:rPr>
          <w:rFonts w:hint="eastAsia" w:ascii="仿宋_GB2312" w:hAnsi="仿宋" w:eastAsia="仿宋_GB2312" w:cs="Times New Roman"/>
          <w:sz w:val="32"/>
          <w:szCs w:val="32"/>
          <w:lang w:val="en-US" w:eastAsia="zh-CN"/>
        </w:rPr>
        <w:t>及</w:t>
      </w:r>
      <w:r>
        <w:rPr>
          <w:rFonts w:hint="default" w:ascii="仿宋_GB2312" w:hAnsi="仿宋" w:eastAsia="仿宋_GB2312" w:cs="Times New Roman"/>
          <w:sz w:val="32"/>
          <w:szCs w:val="32"/>
          <w:lang w:eastAsia="zh-CN"/>
        </w:rPr>
        <w:t>烂田沟</w:t>
      </w:r>
      <w:r>
        <w:rPr>
          <w:rFonts w:hint="default" w:ascii="仿宋_GB2312" w:hAnsi="仿宋" w:eastAsia="仿宋_GB2312" w:cs="Times New Roman"/>
          <w:sz w:val="32"/>
          <w:szCs w:val="32"/>
        </w:rPr>
        <w:t>至</w:t>
      </w:r>
      <w:r>
        <w:rPr>
          <w:rFonts w:hint="default" w:ascii="仿宋_GB2312" w:hAnsi="仿宋" w:eastAsia="仿宋_GB2312" w:cs="Times New Roman"/>
          <w:sz w:val="32"/>
          <w:szCs w:val="32"/>
          <w:lang w:eastAsia="zh-CN"/>
        </w:rPr>
        <w:t>杨家河</w:t>
      </w:r>
      <w:r>
        <w:rPr>
          <w:rFonts w:hint="default" w:ascii="仿宋_GB2312" w:hAnsi="仿宋" w:eastAsia="仿宋_GB2312" w:cs="Times New Roman"/>
          <w:sz w:val="32"/>
          <w:szCs w:val="32"/>
          <w:lang w:val="en-US" w:eastAsia="zh-CN"/>
        </w:rPr>
        <w:t>0.7公里社</w:t>
      </w:r>
      <w:r>
        <w:rPr>
          <w:rFonts w:hint="default" w:ascii="仿宋_GB2312" w:hAnsi="仿宋" w:eastAsia="仿宋_GB2312" w:cs="Times New Roman"/>
          <w:sz w:val="32"/>
          <w:szCs w:val="32"/>
        </w:rPr>
        <w:t>道路硬化</w:t>
      </w:r>
      <w:r>
        <w:rPr>
          <w:rFonts w:hint="default" w:ascii="仿宋_GB2312" w:hAnsi="仿宋" w:eastAsia="仿宋_GB2312" w:cs="Times New Roman"/>
          <w:sz w:val="32"/>
          <w:szCs w:val="32"/>
          <w:lang w:eastAsia="zh-CN"/>
        </w:rPr>
        <w:t>工程</w:t>
      </w:r>
      <w:r>
        <w:rPr>
          <w:rFonts w:hint="default" w:ascii="仿宋_GB2312" w:hAnsi="仿宋" w:eastAsia="仿宋_GB2312" w:cs="Times New Roman"/>
          <w:sz w:val="32"/>
          <w:szCs w:val="32"/>
        </w:rPr>
        <w:t>（</w:t>
      </w:r>
      <w:r>
        <w:rPr>
          <w:rFonts w:hint="default" w:ascii="仿宋_GB2312" w:hAnsi="仿宋" w:eastAsia="仿宋_GB2312" w:cs="Times New Roman"/>
          <w:sz w:val="32"/>
          <w:szCs w:val="32"/>
          <w:lang w:eastAsia="zh-CN"/>
        </w:rPr>
        <w:t>项目</w:t>
      </w:r>
      <w:r>
        <w:rPr>
          <w:rFonts w:hint="default" w:ascii="仿宋_GB2312" w:hAnsi="仿宋" w:eastAsia="仿宋_GB2312" w:cs="Times New Roman"/>
          <w:sz w:val="32"/>
          <w:szCs w:val="32"/>
        </w:rPr>
        <w:t>资金4</w:t>
      </w:r>
      <w:r>
        <w:rPr>
          <w:rFonts w:hint="default" w:ascii="仿宋_GB2312" w:hAnsi="仿宋" w:eastAsia="仿宋_GB2312" w:cs="Times New Roman"/>
          <w:sz w:val="32"/>
          <w:szCs w:val="32"/>
          <w:lang w:val="en-US" w:eastAsia="zh-CN"/>
        </w:rPr>
        <w:t>9</w:t>
      </w:r>
      <w:r>
        <w:rPr>
          <w:rFonts w:hint="default" w:ascii="仿宋_GB2312" w:hAnsi="仿宋" w:eastAsia="仿宋_GB2312" w:cs="Times New Roman"/>
          <w:sz w:val="32"/>
          <w:szCs w:val="32"/>
        </w:rPr>
        <w:t>万元）</w:t>
      </w:r>
      <w:r>
        <w:rPr>
          <w:rFonts w:hint="default" w:ascii="仿宋_GB2312" w:hAnsi="仿宋" w:eastAsia="仿宋_GB2312" w:cs="Times New Roman"/>
          <w:sz w:val="32"/>
          <w:szCs w:val="32"/>
          <w:lang w:val="en-US" w:eastAsia="zh-CN"/>
        </w:rPr>
        <w:t>，推进罗文镇道路安全整治工程（26.8万元）及团堡梁村胡家榜道路硬化工程（28万元）</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eastAsia="zh-CN"/>
        </w:rPr>
        <w:t>单桂湾至天璇孔</w:t>
      </w:r>
      <w:r>
        <w:rPr>
          <w:rFonts w:hint="default" w:ascii="仿宋_GB2312" w:hAnsi="仿宋" w:eastAsia="仿宋_GB2312" w:cs="Times New Roman"/>
          <w:sz w:val="32"/>
          <w:szCs w:val="32"/>
          <w:lang w:val="en-US" w:eastAsia="zh-CN"/>
        </w:rPr>
        <w:t>0.7公里社</w:t>
      </w:r>
      <w:r>
        <w:rPr>
          <w:rFonts w:hint="default" w:ascii="仿宋_GB2312" w:hAnsi="仿宋" w:eastAsia="仿宋_GB2312" w:cs="Times New Roman"/>
          <w:sz w:val="32"/>
          <w:szCs w:val="32"/>
        </w:rPr>
        <w:t>道路硬化工程</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项目</w:t>
      </w:r>
      <w:r>
        <w:rPr>
          <w:rFonts w:hint="default" w:ascii="Times New Roman" w:hAnsi="Times New Roman" w:eastAsia="仿宋" w:cs="Times New Roman"/>
          <w:sz w:val="32"/>
          <w:szCs w:val="32"/>
        </w:rPr>
        <w:t>资金4</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万元）</w:t>
      </w:r>
      <w:r>
        <w:rPr>
          <w:rFonts w:hint="default" w:ascii="Times New Roman" w:hAnsi="Times New Roman" w:eastAsia="方正仿宋简体" w:cs="Times New Roman"/>
          <w:b w:val="0"/>
          <w:bCs w:val="0"/>
          <w:color w:val="auto"/>
          <w:sz w:val="32"/>
          <w:szCs w:val="32"/>
          <w:highlight w:val="none"/>
          <w:u w:val="none"/>
          <w:lang w:val="en-US" w:eastAsia="zh-CN"/>
        </w:rPr>
        <w:t>，</w:t>
      </w:r>
      <w:r>
        <w:rPr>
          <w:rFonts w:hint="default" w:ascii="Times New Roman" w:hAnsi="Times New Roman" w:eastAsia="仿宋" w:cs="Times New Roman"/>
          <w:sz w:val="32"/>
          <w:szCs w:val="32"/>
        </w:rPr>
        <w:t>完成</w:t>
      </w:r>
      <w:r>
        <w:rPr>
          <w:rFonts w:hint="default" w:ascii="Times New Roman" w:hAnsi="Times New Roman" w:eastAsia="仿宋" w:cs="Times New Roman"/>
          <w:sz w:val="32"/>
          <w:szCs w:val="32"/>
          <w:lang w:val="en-US" w:eastAsia="zh-CN"/>
        </w:rPr>
        <w:t>田家营村、廖家坡村3.8公里社道路硬化工程</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项目</w:t>
      </w:r>
      <w:r>
        <w:rPr>
          <w:rFonts w:hint="default" w:ascii="Times New Roman" w:hAnsi="Times New Roman" w:eastAsia="仿宋" w:cs="Times New Roman"/>
          <w:sz w:val="32"/>
          <w:szCs w:val="32"/>
        </w:rPr>
        <w:t>资金</w:t>
      </w:r>
      <w:r>
        <w:rPr>
          <w:rFonts w:hint="default" w:ascii="Times New Roman" w:hAnsi="Times New Roman" w:eastAsia="仿宋" w:cs="Times New Roman"/>
          <w:sz w:val="32"/>
          <w:szCs w:val="32"/>
          <w:lang w:val="en-US" w:eastAsia="zh-CN"/>
        </w:rPr>
        <w:t>277</w:t>
      </w:r>
      <w:r>
        <w:rPr>
          <w:rFonts w:hint="default" w:ascii="Times New Roman" w:hAnsi="Times New Roman" w:eastAsia="仿宋" w:cs="Times New Roman"/>
          <w:sz w:val="32"/>
          <w:szCs w:val="32"/>
        </w:rPr>
        <w:t>万元）</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完成</w:t>
      </w:r>
      <w:r>
        <w:rPr>
          <w:rFonts w:hint="default" w:ascii="Times New Roman" w:hAnsi="Times New Roman" w:eastAsia="仿宋" w:cs="Times New Roman"/>
          <w:sz w:val="32"/>
          <w:szCs w:val="32"/>
          <w:lang w:eastAsia="zh-CN"/>
        </w:rPr>
        <w:t>严家坝村泉水湾至顶上</w:t>
      </w:r>
      <w:r>
        <w:rPr>
          <w:rFonts w:hint="default" w:ascii="Times New Roman" w:hAnsi="Times New Roman" w:eastAsia="仿宋" w:cs="Times New Roman"/>
          <w:sz w:val="32"/>
          <w:szCs w:val="32"/>
          <w:lang w:val="en-US" w:eastAsia="zh-CN"/>
        </w:rPr>
        <w:t>1.7公里</w:t>
      </w:r>
      <w:r>
        <w:rPr>
          <w:rFonts w:hint="default" w:ascii="Times New Roman" w:hAnsi="Times New Roman" w:eastAsia="仿宋" w:cs="Times New Roman"/>
          <w:sz w:val="32"/>
          <w:szCs w:val="32"/>
          <w:lang w:eastAsia="zh-CN"/>
        </w:rPr>
        <w:t>社道路硬化工程（项目</w:t>
      </w:r>
      <w:r>
        <w:rPr>
          <w:rFonts w:hint="default" w:ascii="Times New Roman" w:hAnsi="Times New Roman" w:eastAsia="仿宋" w:cs="Times New Roman"/>
          <w:sz w:val="32"/>
          <w:szCs w:val="32"/>
        </w:rPr>
        <w:t>资金</w:t>
      </w:r>
      <w:r>
        <w:rPr>
          <w:rFonts w:hint="default" w:ascii="Times New Roman" w:hAnsi="Times New Roman" w:eastAsia="仿宋" w:cs="Times New Roman"/>
          <w:sz w:val="32"/>
          <w:szCs w:val="32"/>
          <w:lang w:val="en-US" w:eastAsia="zh-CN"/>
        </w:rPr>
        <w:t>122</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完成严家坝索桥修复工程</w:t>
      </w:r>
      <w:r>
        <w:rPr>
          <w:rFonts w:hint="eastAsia" w:ascii="Times New Roman" w:hAnsi="Times New Roman" w:eastAsia="仿宋" w:cs="Times New Roman"/>
          <w:sz w:val="32"/>
          <w:szCs w:val="32"/>
          <w:lang w:val="en-US" w:eastAsia="zh-CN"/>
        </w:rPr>
        <w:t>，</w:t>
      </w:r>
      <w:r>
        <w:rPr>
          <w:rFonts w:hint="default" w:ascii="仿宋_GB2312" w:hAnsi="仿宋" w:eastAsia="仿宋_GB2312" w:cs="Times New Roman"/>
          <w:sz w:val="32"/>
          <w:szCs w:val="32"/>
          <w:lang w:val="en-US" w:eastAsia="zh-CN"/>
        </w:rPr>
        <w:t>积极筹备严家坝大桥建设项目，跟进铁山坡气田产能建设项目建设中，推动重点工作和重大项目落实落地，推动经济社会健康发展，为开局“十四五”实施乡村振兴战略打下基础。</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default" w:ascii="仿宋_GB2312" w:hAnsi="仿宋" w:eastAsia="仿宋_GB2312" w:cs="Times New Roman"/>
          <w:b/>
          <w:bCs/>
          <w:sz w:val="32"/>
          <w:szCs w:val="32"/>
          <w:lang w:val="en-US" w:eastAsia="zh-CN"/>
        </w:rPr>
      </w:pPr>
      <w:r>
        <w:rPr>
          <w:rFonts w:hint="default" w:ascii="仿宋_GB2312" w:hAnsi="仿宋" w:eastAsia="仿宋_GB2312" w:cs="Times New Roman"/>
          <w:b/>
          <w:bCs/>
          <w:sz w:val="32"/>
          <w:szCs w:val="32"/>
          <w:lang w:val="en-US" w:eastAsia="zh-CN"/>
        </w:rPr>
        <w:t>（二）着力推动疫情防控，做到防输入严管控</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仿宋_GB2312" w:hAnsi="仿宋" w:eastAsia="仿宋_GB2312" w:cs="Times New Roman"/>
          <w:sz w:val="32"/>
          <w:szCs w:val="32"/>
          <w:lang w:val="en-US" w:eastAsia="zh-CN"/>
        </w:rPr>
        <w:t>2021</w:t>
      </w:r>
      <w:r>
        <w:rPr>
          <w:rFonts w:hint="default" w:ascii="仿宋_GB2312" w:hAnsi="仿宋" w:eastAsia="仿宋_GB2312" w:cs="Times New Roman"/>
          <w:sz w:val="32"/>
          <w:szCs w:val="32"/>
          <w:lang w:val="en-US" w:eastAsia="zh-CN"/>
        </w:rPr>
        <w:t>年，罗文镇克服麻痹思想、厌战情绪、侥幸心理，坚持“外防输入、内防反弹”，慎终如始抓防控，全面推进疫苗接种，实现疫情“零反弹”。</w:t>
      </w:r>
      <w:r>
        <w:rPr>
          <w:rFonts w:hint="default" w:ascii="华文细黑" w:hAnsi="华文细黑" w:eastAsia="华文细黑" w:cs="华文细黑"/>
          <w:b/>
          <w:bCs/>
          <w:sz w:val="32"/>
          <w:szCs w:val="32"/>
          <w:lang w:val="en-US" w:eastAsia="zh-CN"/>
        </w:rPr>
        <w:t>一是</w:t>
      </w:r>
      <w:r>
        <w:rPr>
          <w:rFonts w:hint="default" w:ascii="仿宋_GB2312" w:hAnsi="仿宋" w:eastAsia="仿宋_GB2312" w:cs="Times New Roman"/>
          <w:sz w:val="32"/>
          <w:szCs w:val="32"/>
          <w:lang w:val="en-US" w:eastAsia="zh-CN"/>
        </w:rPr>
        <w:t>加强组织领导，落实防控责任。调整充实以镇党委书记、镇长为组长，党委班子成员为副组长，各村（社区）党组织书记为成员的疫情防控工作领导小组，制定工作方案，部署落实防控措施，全面排查、有效隔离、科学救治、物资供应、工作保障等各个环节都有专人负责、专人落实、专人保障。</w:t>
      </w:r>
      <w:r>
        <w:rPr>
          <w:rFonts w:hint="default" w:ascii="华文细黑" w:hAnsi="华文细黑" w:eastAsia="华文细黑" w:cs="华文细黑"/>
          <w:b/>
          <w:bCs/>
          <w:sz w:val="32"/>
          <w:szCs w:val="32"/>
          <w:lang w:val="en-US" w:eastAsia="zh-CN"/>
        </w:rPr>
        <w:t>二是</w:t>
      </w:r>
      <w:r>
        <w:rPr>
          <w:rFonts w:hint="default" w:ascii="仿宋_GB2312" w:hAnsi="仿宋" w:eastAsia="仿宋_GB2312" w:cs="Times New Roman"/>
          <w:sz w:val="32"/>
          <w:szCs w:val="32"/>
          <w:lang w:val="en-US" w:eastAsia="zh-CN"/>
        </w:rPr>
        <w:t>完成疫苗接种任务，打赢疫情防控人民战争。在镇疫情防控工作领导小组的指挥下，我镇坚持生命至上，把人民群众生命安全和身体健康放在第一位，尊重科学规律，在知情、同意、自愿的前提下开展接种工作，截止</w:t>
      </w:r>
      <w:r>
        <w:rPr>
          <w:rFonts w:hint="eastAsia" w:ascii="仿宋_GB2312" w:hAnsi="仿宋" w:eastAsia="仿宋_GB2312" w:cs="Times New Roman"/>
          <w:sz w:val="32"/>
          <w:szCs w:val="32"/>
          <w:lang w:val="en-US" w:eastAsia="zh-CN"/>
        </w:rPr>
        <w:t>目前</w:t>
      </w:r>
      <w:r>
        <w:rPr>
          <w:rFonts w:hint="default" w:ascii="仿宋_GB2312" w:hAnsi="仿宋" w:eastAsia="仿宋_GB2312" w:cs="Times New Roman"/>
          <w:sz w:val="32"/>
          <w:szCs w:val="32"/>
          <w:lang w:val="en-US" w:eastAsia="zh-CN"/>
        </w:rPr>
        <w:t>，我镇超额完成万源市下达的新冠病毒疫苗接种任务，接种人数达</w:t>
      </w:r>
      <w:r>
        <w:rPr>
          <w:rFonts w:hint="eastAsia" w:ascii="仿宋_GB2312" w:hAnsi="仿宋" w:eastAsia="仿宋_GB2312" w:cs="Times New Roman"/>
          <w:sz w:val="32"/>
          <w:szCs w:val="32"/>
          <w:lang w:val="en-US" w:eastAsia="zh-CN"/>
        </w:rPr>
        <w:t>2万余</w:t>
      </w:r>
      <w:r>
        <w:rPr>
          <w:rFonts w:hint="default" w:ascii="仿宋_GB2312" w:hAnsi="仿宋" w:eastAsia="仿宋_GB2312" w:cs="Times New Roman"/>
          <w:sz w:val="32"/>
          <w:szCs w:val="32"/>
          <w:lang w:val="en-US" w:eastAsia="zh-CN"/>
        </w:rPr>
        <w:t>人次。</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default" w:ascii="仿宋_GB2312" w:hAnsi="仿宋" w:eastAsia="仿宋_GB2312" w:cs="Times New Roman"/>
          <w:b/>
          <w:bCs/>
          <w:sz w:val="32"/>
          <w:szCs w:val="32"/>
          <w:lang w:val="en-US" w:eastAsia="zh-CN"/>
        </w:rPr>
      </w:pPr>
      <w:r>
        <w:rPr>
          <w:rFonts w:hint="default" w:ascii="仿宋_GB2312" w:hAnsi="仿宋" w:eastAsia="仿宋_GB2312" w:cs="Times New Roman"/>
          <w:b/>
          <w:bCs/>
          <w:sz w:val="32"/>
          <w:szCs w:val="32"/>
          <w:lang w:val="en-US" w:eastAsia="zh-CN"/>
        </w:rPr>
        <w:t>（三）着力解决民生问题，促进社会协调发展</w:t>
      </w:r>
    </w:p>
    <w:p>
      <w:pPr>
        <w:snapToGrid w:val="0"/>
        <w:spacing w:line="520" w:lineRule="exact"/>
        <w:ind w:firstLine="643" w:firstLineChars="200"/>
        <w:rPr>
          <w:rFonts w:hint="default" w:ascii="仿宋_GB2312" w:hAnsi="仿宋" w:eastAsia="仿宋_GB2312" w:cs="Times New Roman"/>
          <w:b/>
          <w:bCs/>
          <w:sz w:val="32"/>
          <w:szCs w:val="32"/>
          <w:lang w:eastAsia="zh-CN"/>
        </w:rPr>
      </w:pPr>
      <w:r>
        <w:rPr>
          <w:rFonts w:hint="default" w:ascii="仿宋_GB2312" w:hAnsi="仿宋" w:eastAsia="仿宋_GB2312" w:cs="Times New Roman"/>
          <w:b/>
          <w:bCs/>
          <w:sz w:val="32"/>
          <w:szCs w:val="32"/>
          <w:lang w:val="en-US" w:eastAsia="zh-CN"/>
        </w:rPr>
        <w:t xml:space="preserve">1. </w:t>
      </w:r>
      <w:r>
        <w:rPr>
          <w:rFonts w:hint="default" w:ascii="仿宋_GB2312" w:hAnsi="仿宋" w:eastAsia="仿宋_GB2312" w:cs="Times New Roman"/>
          <w:b/>
          <w:bCs/>
          <w:sz w:val="32"/>
          <w:szCs w:val="32"/>
          <w:lang w:eastAsia="zh-CN"/>
        </w:rPr>
        <w:t>民政工作有序开展，救助扶助困难群体</w:t>
      </w:r>
    </w:p>
    <w:p>
      <w:pPr>
        <w:snapToGrid w:val="0"/>
        <w:spacing w:line="520" w:lineRule="exact"/>
        <w:ind w:firstLine="640" w:firstLineChars="200"/>
        <w:rPr>
          <w:rFonts w:hint="default" w:ascii="仿宋_GB2312" w:hAnsi="仿宋" w:eastAsia="仿宋_GB2312" w:cs="Times New Roman"/>
          <w:sz w:val="32"/>
          <w:szCs w:val="32"/>
          <w:lang w:eastAsia="zh-CN"/>
        </w:rPr>
      </w:pPr>
      <w:r>
        <w:rPr>
          <w:rFonts w:hint="eastAsia" w:ascii="华文细黑" w:hAnsi="华文细黑" w:eastAsia="华文细黑" w:cs="华文细黑"/>
          <w:b/>
          <w:bCs/>
          <w:sz w:val="32"/>
          <w:szCs w:val="32"/>
          <w:lang w:eastAsia="zh-CN"/>
        </w:rPr>
        <w:t>一是</w:t>
      </w:r>
      <w:r>
        <w:rPr>
          <w:rFonts w:hint="default" w:ascii="仿宋_GB2312" w:hAnsi="仿宋" w:eastAsia="仿宋_GB2312" w:cs="Times New Roman"/>
          <w:sz w:val="32"/>
          <w:szCs w:val="32"/>
        </w:rPr>
        <w:t>对低保、五保实行流动政策，严格按照相关程序开展评定工作，镇村两级严格把关，应保尽保，应退尽退</w:t>
      </w:r>
      <w:r>
        <w:rPr>
          <w:rFonts w:hint="default" w:ascii="仿宋_GB2312" w:hAnsi="仿宋" w:eastAsia="仿宋_GB2312" w:cs="Times New Roman"/>
          <w:sz w:val="32"/>
          <w:szCs w:val="32"/>
          <w:lang w:eastAsia="zh-CN"/>
        </w:rPr>
        <w:t>。</w:t>
      </w:r>
      <w:r>
        <w:rPr>
          <w:rFonts w:hint="default" w:ascii="仿宋_GB2312" w:hAnsi="仿宋" w:eastAsia="仿宋_GB2312" w:cs="Times New Roman"/>
          <w:sz w:val="32"/>
          <w:szCs w:val="32"/>
        </w:rPr>
        <w:t>加强对精神病人管理，落实孤儿、老人、残疾人和优抚对象生活保障工作</w:t>
      </w:r>
      <w:r>
        <w:rPr>
          <w:rFonts w:hint="default" w:ascii="仿宋_GB2312" w:hAnsi="仿宋" w:eastAsia="仿宋_GB2312" w:cs="Times New Roman"/>
          <w:sz w:val="32"/>
          <w:szCs w:val="32"/>
          <w:lang w:eastAsia="zh-CN"/>
        </w:rPr>
        <w:t>，</w:t>
      </w:r>
      <w:r>
        <w:rPr>
          <w:rFonts w:hint="default" w:ascii="仿宋_GB2312" w:hAnsi="仿宋" w:eastAsia="仿宋_GB2312" w:cs="Times New Roman"/>
          <w:sz w:val="32"/>
          <w:szCs w:val="32"/>
        </w:rPr>
        <w:t>零距离为残疾人提供残疾评定和办理残疾证服务。</w:t>
      </w:r>
      <w:r>
        <w:rPr>
          <w:rFonts w:hint="default" w:ascii="仿宋_GB2312" w:hAnsi="仿宋" w:eastAsia="仿宋_GB2312" w:cs="Times New Roman"/>
          <w:sz w:val="32"/>
          <w:szCs w:val="32"/>
          <w:lang w:val="en-US" w:eastAsia="zh-CN"/>
        </w:rPr>
        <w:t>截止目前，我镇享受低保1</w:t>
      </w:r>
      <w:r>
        <w:rPr>
          <w:rFonts w:hint="eastAsia" w:ascii="仿宋_GB2312" w:hAnsi="仿宋" w:eastAsia="仿宋_GB2312" w:cs="Times New Roman"/>
          <w:sz w:val="32"/>
          <w:szCs w:val="32"/>
          <w:lang w:val="en-US" w:eastAsia="zh-CN"/>
        </w:rPr>
        <w:t>581</w:t>
      </w:r>
      <w:r>
        <w:rPr>
          <w:rFonts w:hint="default" w:ascii="仿宋_GB2312" w:hAnsi="仿宋" w:eastAsia="仿宋_GB2312" w:cs="Times New Roman"/>
          <w:sz w:val="32"/>
          <w:szCs w:val="32"/>
          <w:lang w:val="en-US" w:eastAsia="zh-CN"/>
        </w:rPr>
        <w:t>人（</w:t>
      </w:r>
      <w:r>
        <w:rPr>
          <w:rFonts w:hint="default" w:ascii="仿宋_GB2312" w:hAnsi="仿宋" w:eastAsia="仿宋_GB2312" w:cs="Times New Roman"/>
          <w:sz w:val="32"/>
          <w:szCs w:val="32"/>
        </w:rPr>
        <w:t>其中城镇低保</w:t>
      </w:r>
      <w:r>
        <w:rPr>
          <w:rFonts w:hint="eastAsia" w:ascii="仿宋_GB2312" w:hAnsi="仿宋" w:eastAsia="仿宋_GB2312" w:cs="Times New Roman"/>
          <w:sz w:val="32"/>
          <w:szCs w:val="32"/>
          <w:lang w:val="en-US" w:eastAsia="zh-CN"/>
        </w:rPr>
        <w:t>145</w:t>
      </w:r>
      <w:r>
        <w:rPr>
          <w:rFonts w:hint="default" w:ascii="仿宋_GB2312" w:hAnsi="仿宋" w:eastAsia="仿宋_GB2312" w:cs="Times New Roman"/>
          <w:sz w:val="32"/>
          <w:szCs w:val="32"/>
        </w:rPr>
        <w:t>人，农村低保</w:t>
      </w:r>
      <w:r>
        <w:rPr>
          <w:rFonts w:hint="eastAsia" w:ascii="仿宋_GB2312" w:hAnsi="仿宋" w:eastAsia="仿宋_GB2312" w:cs="Times New Roman"/>
          <w:sz w:val="32"/>
          <w:szCs w:val="32"/>
          <w:lang w:val="en-US" w:eastAsia="zh-CN"/>
        </w:rPr>
        <w:t>1436</w:t>
      </w:r>
      <w:r>
        <w:rPr>
          <w:rFonts w:hint="default" w:ascii="仿宋_GB2312" w:hAnsi="仿宋" w:eastAsia="仿宋_GB2312" w:cs="Times New Roman"/>
          <w:sz w:val="32"/>
          <w:szCs w:val="32"/>
        </w:rPr>
        <w:t>人</w:t>
      </w:r>
      <w:r>
        <w:rPr>
          <w:rFonts w:hint="default" w:ascii="仿宋_GB2312" w:hAnsi="仿宋" w:eastAsia="仿宋_GB2312" w:cs="Times New Roman"/>
          <w:sz w:val="32"/>
          <w:szCs w:val="32"/>
          <w:lang w:val="en-US" w:eastAsia="zh-CN"/>
        </w:rPr>
        <w:t>），</w:t>
      </w:r>
      <w:r>
        <w:rPr>
          <w:rFonts w:hint="default" w:ascii="仿宋_GB2312" w:hAnsi="仿宋" w:eastAsia="仿宋_GB2312" w:cs="Times New Roman"/>
          <w:sz w:val="32"/>
          <w:szCs w:val="32"/>
        </w:rPr>
        <w:t>五保户总数达到3</w:t>
      </w:r>
      <w:r>
        <w:rPr>
          <w:rFonts w:hint="default" w:ascii="仿宋_GB2312" w:hAnsi="仿宋" w:eastAsia="仿宋_GB2312" w:cs="Times New Roman"/>
          <w:sz w:val="32"/>
          <w:szCs w:val="32"/>
          <w:lang w:val="en-US" w:eastAsia="zh-CN"/>
        </w:rPr>
        <w:t>8</w:t>
      </w:r>
      <w:r>
        <w:rPr>
          <w:rFonts w:hint="default" w:ascii="仿宋_GB2312" w:hAnsi="仿宋" w:eastAsia="仿宋_GB2312" w:cs="Times New Roman"/>
          <w:sz w:val="32"/>
          <w:szCs w:val="32"/>
        </w:rPr>
        <w:t>人</w:t>
      </w:r>
      <w:r>
        <w:rPr>
          <w:rFonts w:hint="default"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164</w:t>
      </w:r>
      <w:r>
        <w:rPr>
          <w:rFonts w:hint="default" w:ascii="仿宋_GB2312" w:hAnsi="仿宋" w:eastAsia="仿宋_GB2312" w:cs="Times New Roman"/>
          <w:sz w:val="32"/>
          <w:szCs w:val="32"/>
        </w:rPr>
        <w:t>人享受残疾人护理补贴，</w:t>
      </w:r>
      <w:r>
        <w:rPr>
          <w:rFonts w:hint="eastAsia" w:ascii="仿宋_GB2312" w:hAnsi="仿宋" w:eastAsia="仿宋_GB2312" w:cs="Times New Roman"/>
          <w:sz w:val="32"/>
          <w:szCs w:val="32"/>
          <w:lang w:val="en-US" w:eastAsia="zh-CN"/>
        </w:rPr>
        <w:t>342</w:t>
      </w:r>
      <w:r>
        <w:rPr>
          <w:rFonts w:hint="default" w:ascii="仿宋_GB2312" w:hAnsi="仿宋" w:eastAsia="仿宋_GB2312" w:cs="Times New Roman"/>
          <w:sz w:val="32"/>
          <w:szCs w:val="32"/>
        </w:rPr>
        <w:t>人享受困难残疾人生活补贴</w:t>
      </w:r>
      <w:r>
        <w:rPr>
          <w:rFonts w:hint="eastAsia" w:ascii="仿宋_GB2312" w:hAnsi="仿宋" w:eastAsia="仿宋_GB2312" w:cs="Times New Roman"/>
          <w:sz w:val="32"/>
          <w:szCs w:val="32"/>
          <w:lang w:eastAsia="zh-CN"/>
        </w:rPr>
        <w:t>，</w:t>
      </w:r>
      <w:r>
        <w:rPr>
          <w:rFonts w:hint="default" w:ascii="仿宋_GB2312" w:hAnsi="仿宋" w:eastAsia="仿宋_GB2312" w:cs="Times New Roman"/>
          <w:sz w:val="32"/>
          <w:szCs w:val="32"/>
        </w:rPr>
        <w:t>发放轮椅车</w:t>
      </w:r>
      <w:r>
        <w:rPr>
          <w:rFonts w:hint="default" w:ascii="仿宋_GB2312" w:hAnsi="仿宋" w:eastAsia="仿宋_GB2312" w:cs="Times New Roman"/>
          <w:sz w:val="32"/>
          <w:szCs w:val="32"/>
          <w:lang w:val="en-US" w:eastAsia="zh-CN"/>
        </w:rPr>
        <w:t>8</w:t>
      </w:r>
      <w:r>
        <w:rPr>
          <w:rFonts w:hint="default" w:ascii="仿宋_GB2312" w:hAnsi="仿宋" w:eastAsia="仿宋_GB2312" w:cs="Times New Roman"/>
          <w:sz w:val="32"/>
          <w:szCs w:val="32"/>
        </w:rPr>
        <w:t>辆，发放辅具</w:t>
      </w:r>
      <w:r>
        <w:rPr>
          <w:rFonts w:hint="eastAsia" w:ascii="仿宋_GB2312" w:hAnsi="仿宋" w:eastAsia="仿宋_GB2312" w:cs="Times New Roman"/>
          <w:sz w:val="32"/>
          <w:szCs w:val="32"/>
          <w:lang w:val="en-US" w:eastAsia="zh-CN"/>
        </w:rPr>
        <w:t>21</w:t>
      </w:r>
      <w:r>
        <w:rPr>
          <w:rFonts w:hint="default" w:ascii="仿宋_GB2312" w:hAnsi="仿宋" w:eastAsia="仿宋_GB2312" w:cs="Times New Roman"/>
          <w:sz w:val="32"/>
          <w:szCs w:val="32"/>
        </w:rPr>
        <w:t>件</w:t>
      </w:r>
      <w:r>
        <w:rPr>
          <w:rFonts w:hint="default" w:ascii="仿宋_GB2312" w:hAnsi="仿宋" w:eastAsia="仿宋_GB2312" w:cs="Times New Roman"/>
          <w:sz w:val="32"/>
          <w:szCs w:val="32"/>
          <w:lang w:eastAsia="zh-CN"/>
        </w:rPr>
        <w:t>。</w:t>
      </w:r>
      <w:r>
        <w:rPr>
          <w:rFonts w:hint="eastAsia" w:ascii="华文细黑" w:hAnsi="华文细黑" w:eastAsia="华文细黑" w:cs="华文细黑"/>
          <w:b/>
          <w:bCs/>
          <w:sz w:val="32"/>
          <w:szCs w:val="32"/>
          <w:lang w:eastAsia="zh-CN"/>
        </w:rPr>
        <w:t>二是</w:t>
      </w:r>
      <w:r>
        <w:rPr>
          <w:rFonts w:hint="default" w:ascii="仿宋_GB2312" w:hAnsi="仿宋" w:eastAsia="仿宋_GB2312" w:cs="Times New Roman"/>
          <w:sz w:val="32"/>
          <w:szCs w:val="32"/>
        </w:rPr>
        <w:t>及时为群众办理大病医疗救助等工作</w:t>
      </w:r>
      <w:r>
        <w:rPr>
          <w:rFonts w:hint="default" w:ascii="仿宋_GB2312" w:hAnsi="仿宋" w:eastAsia="仿宋_GB2312" w:cs="Times New Roman"/>
          <w:sz w:val="32"/>
          <w:szCs w:val="32"/>
          <w:lang w:eastAsia="zh-CN"/>
        </w:rPr>
        <w:t>，</w:t>
      </w:r>
      <w:r>
        <w:rPr>
          <w:rFonts w:hint="default" w:ascii="仿宋_GB2312" w:hAnsi="仿宋" w:eastAsia="仿宋_GB2312" w:cs="Times New Roman"/>
          <w:sz w:val="32"/>
          <w:szCs w:val="32"/>
          <w:lang w:val="en-US" w:eastAsia="zh-CN"/>
        </w:rPr>
        <w:t>全年办理大病救助80件，救助资金198718元</w:t>
      </w:r>
      <w:r>
        <w:rPr>
          <w:rFonts w:hint="eastAsia" w:ascii="仿宋_GB2312" w:hAnsi="仿宋" w:eastAsia="仿宋_GB2312" w:cs="Times New Roman"/>
          <w:sz w:val="32"/>
          <w:szCs w:val="32"/>
          <w:lang w:val="en-US" w:eastAsia="zh-CN"/>
        </w:rPr>
        <w:t>。</w:t>
      </w:r>
      <w:r>
        <w:rPr>
          <w:rFonts w:hint="eastAsia" w:ascii="华文细黑" w:hAnsi="华文细黑" w:eastAsia="华文细黑" w:cs="华文细黑"/>
          <w:b/>
          <w:bCs/>
          <w:sz w:val="32"/>
          <w:szCs w:val="32"/>
          <w:lang w:val="en-US" w:eastAsia="zh-CN"/>
        </w:rPr>
        <w:t>三是</w:t>
      </w:r>
      <w:r>
        <w:rPr>
          <w:rFonts w:hint="default" w:ascii="仿宋_GB2312" w:hAnsi="仿宋" w:eastAsia="仿宋_GB2312" w:cs="Times New Roman"/>
          <w:sz w:val="32"/>
          <w:szCs w:val="32"/>
        </w:rPr>
        <w:t>多形式、多渠道宣传农保、新农合等惠民政策，</w:t>
      </w:r>
      <w:r>
        <w:rPr>
          <w:rFonts w:hint="default" w:ascii="仿宋_GB2312" w:hAnsi="仿宋" w:eastAsia="仿宋_GB2312" w:cs="Times New Roman"/>
          <w:sz w:val="32"/>
          <w:szCs w:val="32"/>
          <w:lang w:val="en-US" w:eastAsia="zh-CN"/>
        </w:rPr>
        <w:t>稳定10536人农保参保底线，</w:t>
      </w:r>
      <w:r>
        <w:rPr>
          <w:rFonts w:hint="default" w:ascii="仿宋_GB2312" w:hAnsi="仿宋" w:eastAsia="仿宋_GB2312" w:cs="Times New Roman"/>
          <w:sz w:val="32"/>
          <w:szCs w:val="32"/>
          <w:lang w:eastAsia="zh-CN"/>
        </w:rPr>
        <w:t>确保</w:t>
      </w:r>
      <w:r>
        <w:rPr>
          <w:rFonts w:hint="default" w:ascii="仿宋_GB2312" w:hAnsi="仿宋" w:eastAsia="仿宋_GB2312" w:cs="Times New Roman"/>
          <w:sz w:val="32"/>
          <w:szCs w:val="32"/>
          <w:lang w:val="en-US" w:eastAsia="zh-CN"/>
        </w:rPr>
        <w:t>脱贫</w:t>
      </w:r>
      <w:r>
        <w:rPr>
          <w:rFonts w:hint="default" w:ascii="仿宋_GB2312" w:hAnsi="仿宋" w:eastAsia="仿宋_GB2312" w:cs="Times New Roman"/>
          <w:sz w:val="32"/>
          <w:szCs w:val="32"/>
        </w:rPr>
        <w:t>户</w:t>
      </w:r>
      <w:r>
        <w:rPr>
          <w:rFonts w:hint="default" w:ascii="仿宋_GB2312" w:hAnsi="仿宋" w:eastAsia="仿宋_GB2312" w:cs="Times New Roman"/>
          <w:sz w:val="32"/>
          <w:szCs w:val="32"/>
          <w:lang w:eastAsia="zh-CN"/>
        </w:rPr>
        <w:t>、</w:t>
      </w:r>
      <w:r>
        <w:rPr>
          <w:rFonts w:hint="default" w:ascii="仿宋_GB2312" w:hAnsi="仿宋" w:eastAsia="仿宋_GB2312" w:cs="Times New Roman"/>
          <w:sz w:val="32"/>
          <w:szCs w:val="32"/>
          <w:lang w:val="en-US" w:eastAsia="zh-CN"/>
        </w:rPr>
        <w:t>监测户</w:t>
      </w:r>
      <w:r>
        <w:rPr>
          <w:rFonts w:hint="default" w:ascii="仿宋_GB2312" w:hAnsi="仿宋" w:eastAsia="仿宋_GB2312" w:cs="Times New Roman"/>
          <w:sz w:val="32"/>
          <w:szCs w:val="32"/>
        </w:rPr>
        <w:t>参保率达100%。</w:t>
      </w:r>
    </w:p>
    <w:p>
      <w:pPr>
        <w:snapToGrid w:val="0"/>
        <w:spacing w:line="520" w:lineRule="exact"/>
        <w:ind w:firstLine="643" w:firstLineChars="200"/>
        <w:rPr>
          <w:rFonts w:hint="default"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2.</w:t>
      </w:r>
      <w:r>
        <w:rPr>
          <w:rFonts w:hint="default" w:ascii="仿宋_GB2312" w:hAnsi="仿宋" w:eastAsia="仿宋_GB2312" w:cs="Times New Roman"/>
          <w:b/>
          <w:bCs/>
          <w:sz w:val="32"/>
          <w:szCs w:val="32"/>
          <w:lang w:val="en-US" w:eastAsia="zh-CN"/>
        </w:rPr>
        <w:t>文化教育事业全面发展，精神文明建设卓有成效</w:t>
      </w:r>
    </w:p>
    <w:p>
      <w:pPr>
        <w:snapToGrid w:val="0"/>
        <w:spacing w:line="520" w:lineRule="exact"/>
        <w:ind w:firstLine="640" w:firstLineChars="200"/>
        <w:rPr>
          <w:rFonts w:hint="default" w:ascii="仿宋_GB2312" w:hAnsi="仿宋" w:eastAsia="仿宋_GB2312" w:cs="Times New Roman"/>
          <w:sz w:val="32"/>
          <w:szCs w:val="32"/>
        </w:rPr>
      </w:pPr>
      <w:r>
        <w:rPr>
          <w:rFonts w:hint="default" w:ascii="华文细黑" w:hAnsi="华文细黑" w:eastAsia="华文细黑" w:cs="华文细黑"/>
          <w:b/>
          <w:bCs/>
          <w:sz w:val="32"/>
          <w:szCs w:val="32"/>
          <w:lang w:eastAsia="zh-CN"/>
        </w:rPr>
        <w:t>一是</w:t>
      </w:r>
      <w:r>
        <w:rPr>
          <w:rFonts w:hint="default" w:ascii="仿宋_GB2312" w:hAnsi="仿宋" w:eastAsia="仿宋_GB2312" w:cs="Times New Roman"/>
          <w:sz w:val="32"/>
          <w:szCs w:val="32"/>
        </w:rPr>
        <w:t>大力发展教育事业。认真落实党政领导联系教育制度，全力推进义务教育均衡发展</w:t>
      </w:r>
      <w:r>
        <w:rPr>
          <w:rFonts w:hint="default" w:ascii="仿宋_GB2312" w:hAnsi="仿宋" w:eastAsia="仿宋_GB2312" w:cs="Times New Roman"/>
          <w:sz w:val="32"/>
          <w:szCs w:val="32"/>
          <w:lang w:eastAsia="zh-CN"/>
        </w:rPr>
        <w:t>，开展</w:t>
      </w:r>
      <w:r>
        <w:rPr>
          <w:rFonts w:hint="default" w:ascii="仿宋_GB2312" w:hAnsi="仿宋" w:eastAsia="仿宋_GB2312" w:cs="Times New Roman"/>
          <w:sz w:val="32"/>
          <w:szCs w:val="32"/>
        </w:rPr>
        <w:t>科技知识宣传，进一步丰富学生科技和文化知识</w:t>
      </w:r>
      <w:r>
        <w:rPr>
          <w:rFonts w:hint="default" w:ascii="仿宋_GB2312" w:hAnsi="仿宋" w:eastAsia="仿宋_GB2312" w:cs="Times New Roman"/>
          <w:sz w:val="32"/>
          <w:szCs w:val="32"/>
          <w:lang w:eastAsia="zh-CN"/>
        </w:rPr>
        <w:t>。确定专人分管教育工作，关注留守儿童，关注、支持学校建设发展，</w:t>
      </w:r>
      <w:r>
        <w:rPr>
          <w:rFonts w:hint="default" w:ascii="仿宋_GB2312" w:hAnsi="仿宋" w:eastAsia="仿宋_GB2312" w:cs="Times New Roman"/>
          <w:sz w:val="32"/>
          <w:szCs w:val="32"/>
          <w:lang w:val="en-US" w:eastAsia="zh-CN"/>
        </w:rPr>
        <w:t>持续推动义务教育均衡发展，辖区三所学校困难学生补助</w:t>
      </w:r>
      <w:r>
        <w:rPr>
          <w:rFonts w:hint="eastAsia" w:ascii="仿宋_GB2312" w:hAnsi="仿宋" w:eastAsia="仿宋_GB2312" w:cs="Times New Roman"/>
          <w:sz w:val="32"/>
          <w:szCs w:val="32"/>
          <w:lang w:val="en-US" w:eastAsia="zh-CN"/>
        </w:rPr>
        <w:t>1300余</w:t>
      </w:r>
      <w:r>
        <w:rPr>
          <w:rFonts w:hint="default" w:ascii="仿宋_GB2312" w:hAnsi="仿宋" w:eastAsia="仿宋_GB2312" w:cs="Times New Roman"/>
          <w:sz w:val="32"/>
          <w:szCs w:val="32"/>
          <w:lang w:val="en-US" w:eastAsia="zh-CN"/>
        </w:rPr>
        <w:t>人补助资金</w:t>
      </w:r>
      <w:r>
        <w:rPr>
          <w:rFonts w:hint="eastAsia" w:ascii="仿宋_GB2312" w:hAnsi="仿宋" w:eastAsia="仿宋_GB2312" w:cs="Times New Roman"/>
          <w:sz w:val="32"/>
          <w:szCs w:val="32"/>
          <w:lang w:val="en-US" w:eastAsia="zh-CN"/>
        </w:rPr>
        <w:t>74</w:t>
      </w:r>
      <w:r>
        <w:rPr>
          <w:rFonts w:hint="default" w:ascii="仿宋_GB2312" w:hAnsi="仿宋" w:eastAsia="仿宋_GB2312" w:cs="Times New Roman"/>
          <w:sz w:val="32"/>
          <w:szCs w:val="32"/>
          <w:lang w:val="en-US" w:eastAsia="zh-CN"/>
        </w:rPr>
        <w:t>余</w:t>
      </w:r>
      <w:r>
        <w:rPr>
          <w:rFonts w:hint="eastAsia" w:ascii="仿宋_GB2312" w:hAnsi="仿宋" w:eastAsia="仿宋_GB2312" w:cs="Times New Roman"/>
          <w:sz w:val="32"/>
          <w:szCs w:val="32"/>
          <w:lang w:val="en-US" w:eastAsia="zh-CN"/>
        </w:rPr>
        <w:t>万</w:t>
      </w:r>
      <w:r>
        <w:rPr>
          <w:rFonts w:hint="default" w:ascii="仿宋_GB2312" w:hAnsi="仿宋" w:eastAsia="仿宋_GB2312" w:cs="Times New Roman"/>
          <w:sz w:val="32"/>
          <w:szCs w:val="32"/>
          <w:lang w:val="en-US" w:eastAsia="zh-CN"/>
        </w:rPr>
        <w:t>元</w:t>
      </w:r>
      <w:r>
        <w:rPr>
          <w:rFonts w:hint="default" w:ascii="仿宋_GB2312" w:hAnsi="仿宋" w:eastAsia="仿宋_GB2312" w:cs="Times New Roman"/>
          <w:sz w:val="32"/>
          <w:szCs w:val="32"/>
          <w:lang w:eastAsia="zh-CN"/>
        </w:rPr>
        <w:t>。整治校园周边环境，规范车辆运行、规范摊点经营，保障学生的学习、生活安全，投入资金</w:t>
      </w:r>
      <w:r>
        <w:rPr>
          <w:rFonts w:hint="default" w:ascii="仿宋_GB2312" w:hAnsi="仿宋" w:eastAsia="仿宋_GB2312" w:cs="Times New Roman"/>
          <w:sz w:val="32"/>
          <w:szCs w:val="32"/>
          <w:lang w:val="en-US" w:eastAsia="zh-CN"/>
        </w:rPr>
        <w:t>49万元完成花楼学校大门改建工程</w:t>
      </w:r>
      <w:r>
        <w:rPr>
          <w:rFonts w:hint="default" w:ascii="仿宋_GB2312" w:hAnsi="仿宋" w:eastAsia="仿宋_GB2312" w:cs="Times New Roman"/>
          <w:sz w:val="32"/>
          <w:szCs w:val="32"/>
          <w:lang w:eastAsia="zh-CN"/>
        </w:rPr>
        <w:t>。</w:t>
      </w:r>
      <w:r>
        <w:rPr>
          <w:rFonts w:hint="default" w:ascii="华文细黑" w:hAnsi="华文细黑" w:eastAsia="华文细黑" w:cs="华文细黑"/>
          <w:b/>
          <w:bCs/>
          <w:sz w:val="32"/>
          <w:szCs w:val="32"/>
          <w:lang w:eastAsia="zh-CN"/>
        </w:rPr>
        <w:t>二是</w:t>
      </w:r>
      <w:r>
        <w:rPr>
          <w:rFonts w:hint="default" w:ascii="仿宋_GB2312" w:hAnsi="仿宋" w:eastAsia="仿宋_GB2312" w:cs="Times New Roman"/>
          <w:sz w:val="32"/>
          <w:szCs w:val="32"/>
        </w:rPr>
        <w:t>大力开展乡村文化建设活动。通过新建、改建村级文化室，丰富文化、体育设施设备，组织开展体育运动、院坝活动、文艺演出等形式多样的文体活动，极大丰富了农民的精神文化生活。</w:t>
      </w:r>
    </w:p>
    <w:p>
      <w:pPr>
        <w:snapToGrid w:val="0"/>
        <w:spacing w:line="520" w:lineRule="exact"/>
        <w:ind w:firstLine="643" w:firstLineChars="200"/>
        <w:rPr>
          <w:rFonts w:hint="default"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3.</w:t>
      </w:r>
      <w:r>
        <w:rPr>
          <w:rFonts w:hint="default" w:ascii="仿宋_GB2312" w:hAnsi="仿宋" w:eastAsia="仿宋_GB2312" w:cs="Times New Roman"/>
          <w:b/>
          <w:bCs/>
          <w:sz w:val="32"/>
          <w:szCs w:val="32"/>
          <w:lang w:val="en-US" w:eastAsia="zh-CN"/>
        </w:rPr>
        <w:t>生态文明建设常抓不懈，生态罗文建设初具成效</w:t>
      </w:r>
    </w:p>
    <w:p>
      <w:pPr>
        <w:snapToGrid w:val="0"/>
        <w:spacing w:line="520" w:lineRule="exact"/>
        <w:ind w:firstLine="640" w:firstLineChars="200"/>
        <w:rPr>
          <w:rFonts w:hint="default" w:ascii="仿宋_GB2312" w:hAnsi="仿宋" w:eastAsia="仿宋_GB2312" w:cs="Times New Roman"/>
          <w:sz w:val="32"/>
          <w:szCs w:val="32"/>
        </w:rPr>
      </w:pPr>
      <w:r>
        <w:rPr>
          <w:rFonts w:hint="default" w:ascii="华文细黑" w:hAnsi="华文细黑" w:eastAsia="华文细黑" w:cs="华文细黑"/>
          <w:b/>
          <w:bCs/>
          <w:sz w:val="32"/>
          <w:szCs w:val="32"/>
          <w:lang w:eastAsia="zh-CN"/>
        </w:rPr>
        <w:t>一是</w:t>
      </w:r>
      <w:r>
        <w:rPr>
          <w:rFonts w:hint="default" w:ascii="仿宋_GB2312" w:hAnsi="仿宋" w:eastAsia="仿宋_GB2312" w:cs="Times New Roman"/>
          <w:sz w:val="32"/>
          <w:szCs w:val="32"/>
        </w:rPr>
        <w:t>加大环保工作力度。严格落实《罗文镇环境保护工作制度》，开展城乡环境综合治理工作，定期清理西溪园河道、老龙桥河道和梓桐溪电站、沙坝电站库区白色垃圾，确保辖区内无任何重大环境污染事故发生。严格按照“高标准、严要求、强整治、重保持”的工作方针，实行主要领导牵头负责、分管领导包段、工作人员包点的方式，结合“五治”工程，强化城乡环境综合整治，对场镇车辆秩序、摊点摆放、撑杆搭棚和环境卫生等方面开展长期整治工作，不断改善群众生产生活环境。</w:t>
      </w:r>
      <w:r>
        <w:rPr>
          <w:rFonts w:hint="default" w:ascii="华文细黑" w:hAnsi="华文细黑" w:eastAsia="华文细黑" w:cs="华文细黑"/>
          <w:b/>
          <w:bCs/>
          <w:sz w:val="32"/>
          <w:szCs w:val="32"/>
          <w:lang w:eastAsia="zh-CN"/>
        </w:rPr>
        <w:t>二是</w:t>
      </w:r>
      <w:r>
        <w:rPr>
          <w:rFonts w:hint="default" w:ascii="仿宋_GB2312" w:hAnsi="仿宋" w:eastAsia="仿宋_GB2312" w:cs="Times New Roman"/>
          <w:sz w:val="32"/>
          <w:szCs w:val="32"/>
        </w:rPr>
        <w:t>加大生态保护力度。林业站、水务站、派出所等部门联合行动，确保辖区内无滥垦、滥伐、滥采、滥控和无捕杀、销售、食用珍稀野生动物现象。严格落实《罗文镇河长制工作方案》，落实了具体工作人员对辖区内河、沟、塘管护工作全覆盖制度，加大了监管流域水质，保护水源地，保护水域动植物的工作力度，显著改善了我辖区内生态环境。</w:t>
      </w:r>
    </w:p>
    <w:p>
      <w:pPr>
        <w:snapToGrid w:val="0"/>
        <w:spacing w:line="520" w:lineRule="exact"/>
        <w:ind w:firstLine="643" w:firstLineChars="200"/>
        <w:rPr>
          <w:rFonts w:hint="default"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4.</w:t>
      </w:r>
      <w:r>
        <w:rPr>
          <w:rFonts w:hint="default" w:ascii="仿宋_GB2312" w:hAnsi="仿宋" w:eastAsia="仿宋_GB2312" w:cs="Times New Roman"/>
          <w:b/>
          <w:bCs/>
          <w:sz w:val="32"/>
          <w:szCs w:val="32"/>
          <w:lang w:val="en-US" w:eastAsia="zh-CN"/>
        </w:rPr>
        <w:t>做好农业生产服务，提高农业发展水平</w:t>
      </w:r>
    </w:p>
    <w:p>
      <w:pPr>
        <w:snapToGrid w:val="0"/>
        <w:spacing w:line="520" w:lineRule="exact"/>
        <w:ind w:firstLine="640" w:firstLineChars="200"/>
        <w:rPr>
          <w:rFonts w:hint="default" w:ascii="仿宋_GB2312" w:hAnsi="仿宋" w:eastAsia="仿宋_GB2312" w:cs="Times New Roman"/>
          <w:sz w:val="32"/>
          <w:szCs w:val="32"/>
        </w:rPr>
      </w:pPr>
      <w:r>
        <w:rPr>
          <w:rFonts w:hint="default" w:ascii="仿宋_GB2312" w:hAnsi="仿宋" w:eastAsia="仿宋_GB2312" w:cs="Times New Roman"/>
          <w:sz w:val="32"/>
          <w:szCs w:val="32"/>
        </w:rPr>
        <w:t>镇农技站通过组织开展种养殖技术培训，开展科技入户行动，提高农业技术水平，2021年，培训人次达到1200人次，发放资料1500多份；通过发放农机购置补贴，推广农业机械，提高农业机械化水平；通过指导春耕春播、春防秋防，及时监测农业病虫害，提供农业技术服务，进一步防治重大疫病，满足老百姓的服务需求，近距离指导农业生产。完成耕地地力保护核查申报工作，及时兑现资金，2021年核查申报罗文镇耕地地力保护农户6221户。认真做好农业政策性保险工作，让农作物自然灾害损失降到最低。认真做好各项惠农政策的宣传力度，提高农户的知晓度，让惠农政策落到实处。</w:t>
      </w:r>
    </w:p>
    <w:p>
      <w:pPr>
        <w:snapToGrid w:val="0"/>
        <w:spacing w:line="520" w:lineRule="exact"/>
        <w:ind w:firstLine="643" w:firstLineChars="200"/>
        <w:rPr>
          <w:rFonts w:hint="default"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5.</w:t>
      </w:r>
      <w:r>
        <w:rPr>
          <w:rFonts w:hint="default" w:ascii="仿宋_GB2312" w:hAnsi="仿宋" w:eastAsia="仿宋_GB2312" w:cs="Times New Roman"/>
          <w:b/>
          <w:bCs/>
          <w:sz w:val="32"/>
          <w:szCs w:val="32"/>
          <w:lang w:val="en-US" w:eastAsia="zh-CN"/>
        </w:rPr>
        <w:t>医疗卫生事业全面发展，医疗服务水平显著提高</w:t>
      </w:r>
    </w:p>
    <w:p>
      <w:pPr>
        <w:snapToGrid w:val="0"/>
        <w:spacing w:line="520" w:lineRule="exact"/>
        <w:ind w:firstLine="640" w:firstLineChars="200"/>
        <w:rPr>
          <w:rFonts w:hint="default" w:ascii="仿宋_GB2312" w:hAnsi="仿宋" w:eastAsia="仿宋_GB2312" w:cs="Times New Roman"/>
          <w:sz w:val="32"/>
          <w:szCs w:val="32"/>
        </w:rPr>
      </w:pPr>
      <w:r>
        <w:rPr>
          <w:rFonts w:hint="default" w:ascii="仿宋_GB2312" w:hAnsi="仿宋" w:eastAsia="仿宋_GB2312" w:cs="Times New Roman"/>
          <w:sz w:val="32"/>
          <w:szCs w:val="32"/>
        </w:rPr>
        <w:t>为辖区内居民提供免费体检</w:t>
      </w:r>
      <w:r>
        <w:rPr>
          <w:rFonts w:hint="default" w:ascii="仿宋_GB2312" w:hAnsi="仿宋" w:eastAsia="仿宋_GB2312" w:cs="Times New Roman"/>
          <w:sz w:val="32"/>
          <w:szCs w:val="32"/>
          <w:lang w:val="en-US" w:eastAsia="zh-CN"/>
        </w:rPr>
        <w:t>13</w:t>
      </w:r>
      <w:r>
        <w:rPr>
          <w:rFonts w:hint="default" w:ascii="仿宋_GB2312" w:hAnsi="仿宋" w:eastAsia="仿宋_GB2312" w:cs="Times New Roman"/>
          <w:sz w:val="32"/>
          <w:szCs w:val="32"/>
        </w:rPr>
        <w:t>余次；组织抓好医疗服务、卫生应急和艾滋、乙肝等重大传染性疫病的防控工作；大力推进基本药物制度，推进村级卫生站建设，加强医疗保障制度建设；严格执行人口和计划生育政策，扎实做好省级计生监测点工作。</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default" w:ascii="仿宋_GB2312" w:hAnsi="仿宋" w:eastAsia="仿宋_GB2312" w:cs="Times New Roman"/>
          <w:b/>
          <w:bCs/>
          <w:sz w:val="32"/>
          <w:szCs w:val="32"/>
          <w:lang w:val="en-US" w:eastAsia="zh-CN"/>
        </w:rPr>
      </w:pPr>
      <w:r>
        <w:rPr>
          <w:rFonts w:hint="default" w:ascii="仿宋_GB2312" w:hAnsi="仿宋" w:eastAsia="仿宋_GB2312" w:cs="Times New Roman"/>
          <w:b/>
          <w:bCs/>
          <w:sz w:val="32"/>
          <w:szCs w:val="32"/>
          <w:lang w:val="en-US" w:eastAsia="zh-CN"/>
        </w:rPr>
        <w:t>（四）着力社会安全管理，维护安全稳定大局</w:t>
      </w:r>
    </w:p>
    <w:p>
      <w:pPr>
        <w:snapToGrid w:val="0"/>
        <w:spacing w:line="520" w:lineRule="exact"/>
        <w:ind w:firstLine="643" w:firstLineChars="200"/>
        <w:rPr>
          <w:rFonts w:hint="default" w:ascii="仿宋_GB2312" w:hAnsi="仿宋" w:eastAsia="仿宋_GB2312" w:cs="Times New Roman"/>
          <w:b/>
          <w:bCs/>
          <w:sz w:val="32"/>
          <w:szCs w:val="32"/>
        </w:rPr>
      </w:pPr>
      <w:r>
        <w:rPr>
          <w:rFonts w:hint="default" w:ascii="仿宋_GB2312" w:hAnsi="仿宋" w:eastAsia="仿宋_GB2312" w:cs="Times New Roman"/>
          <w:b/>
          <w:bCs/>
          <w:sz w:val="32"/>
          <w:szCs w:val="32"/>
          <w:lang w:val="en-US" w:eastAsia="zh-CN"/>
        </w:rPr>
        <w:t xml:space="preserve">1. </w:t>
      </w:r>
      <w:r>
        <w:rPr>
          <w:rFonts w:hint="default" w:ascii="仿宋_GB2312" w:hAnsi="仿宋" w:eastAsia="仿宋_GB2312" w:cs="Times New Roman"/>
          <w:b/>
          <w:bCs/>
          <w:sz w:val="32"/>
          <w:szCs w:val="32"/>
        </w:rPr>
        <w:t>安全生产警钟长鸣，保障社会安全有序</w:t>
      </w:r>
    </w:p>
    <w:p>
      <w:pPr>
        <w:snapToGrid w:val="0"/>
        <w:spacing w:line="520" w:lineRule="exact"/>
        <w:ind w:firstLine="640" w:firstLineChars="200"/>
        <w:rPr>
          <w:rFonts w:hint="default" w:ascii="仿宋_GB2312" w:hAnsi="仿宋" w:eastAsia="仿宋_GB2312" w:cs="Times New Roman"/>
          <w:sz w:val="32"/>
          <w:szCs w:val="32"/>
        </w:rPr>
      </w:pPr>
      <w:r>
        <w:rPr>
          <w:rFonts w:hint="default" w:ascii="仿宋_GB2312" w:hAnsi="仿宋" w:eastAsia="仿宋_GB2312" w:cs="Times New Roman"/>
          <w:sz w:val="32"/>
          <w:szCs w:val="32"/>
        </w:rPr>
        <w:t>强化安全生产管理，严格落实安全生产“党政同责、一岗双责”，积极开展安全生产大检查、事故隐患排查整改、安全生产宣传教育以及安全生产专项整治等活动，进一步加强对辖区内交通管理、防汛抗旱、森林防火、地灾预防、食品安全、消防安全的监督与管理工作，确保了安全生产“零”事故。</w:t>
      </w:r>
    </w:p>
    <w:p>
      <w:pPr>
        <w:snapToGrid w:val="0"/>
        <w:spacing w:line="520" w:lineRule="exact"/>
        <w:ind w:firstLine="643" w:firstLineChars="200"/>
        <w:rPr>
          <w:rFonts w:hint="default"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2.</w:t>
      </w:r>
      <w:r>
        <w:rPr>
          <w:rFonts w:hint="default" w:ascii="仿宋_GB2312" w:hAnsi="仿宋" w:eastAsia="仿宋_GB2312" w:cs="Times New Roman"/>
          <w:b/>
          <w:bCs/>
          <w:sz w:val="32"/>
          <w:szCs w:val="32"/>
          <w:lang w:val="en-US" w:eastAsia="zh-CN"/>
        </w:rPr>
        <w:t>加强社会维稳工作力度，营造和谐稳定社会环境</w:t>
      </w:r>
    </w:p>
    <w:p>
      <w:pPr>
        <w:snapToGrid w:val="0"/>
        <w:spacing w:line="520" w:lineRule="exact"/>
        <w:ind w:firstLine="640" w:firstLineChars="200"/>
        <w:rPr>
          <w:rFonts w:hint="default" w:ascii="仿宋_GB2312" w:hAnsi="仿宋" w:eastAsia="仿宋_GB2312" w:cs="Times New Roman"/>
          <w:sz w:val="32"/>
          <w:szCs w:val="32"/>
        </w:rPr>
      </w:pPr>
      <w:r>
        <w:rPr>
          <w:rFonts w:hint="default" w:ascii="华文细黑" w:hAnsi="华文细黑" w:eastAsia="华文细黑" w:cs="华文细黑"/>
          <w:b/>
          <w:bCs/>
          <w:sz w:val="32"/>
          <w:szCs w:val="32"/>
          <w:lang w:eastAsia="zh-CN"/>
        </w:rPr>
        <w:t>一是</w:t>
      </w:r>
      <w:r>
        <w:rPr>
          <w:rFonts w:hint="default" w:ascii="仿宋_GB2312" w:hAnsi="仿宋" w:eastAsia="仿宋_GB2312" w:cs="Times New Roman"/>
          <w:sz w:val="32"/>
          <w:szCs w:val="32"/>
        </w:rPr>
        <w:t>做好信访维稳工作。建立健全群众诉求接待制度，及时解决群众合理诉求，完善群体性事件应急处理方案，有效杜绝重大群体事件发生。坚持定期对村内开展矛盾纠纷隐患排查，发现苗头，及时化解，抓早抓小，把隐患消灭在萌芽状态，形成了动态排查机制，全镇未出现一起进京“非访”事件或集体上访事件。</w:t>
      </w:r>
      <w:r>
        <w:rPr>
          <w:rFonts w:hint="default" w:ascii="华文细黑" w:hAnsi="华文细黑" w:eastAsia="华文细黑" w:cs="华文细黑"/>
          <w:b/>
          <w:bCs/>
          <w:sz w:val="32"/>
          <w:szCs w:val="32"/>
          <w:lang w:eastAsia="zh-CN"/>
        </w:rPr>
        <w:t>二是</w:t>
      </w:r>
      <w:r>
        <w:rPr>
          <w:rFonts w:hint="default" w:ascii="仿宋_GB2312" w:hAnsi="仿宋" w:eastAsia="仿宋_GB2312" w:cs="Times New Roman"/>
          <w:sz w:val="32"/>
          <w:szCs w:val="32"/>
        </w:rPr>
        <w:t>做好扫黑除恶专项斗争工作。加强组织领导，明确责任分工，确保专项行动有序开展；全面发动，广泛宣传，动员全镇人民参与其中；加大摸排力度，深入排查涉黑涉恶势力侵害基层政权的现象；加强社会治安综合管理，排查化解矛盾纠纷，维护社会大局稳定。</w:t>
      </w:r>
    </w:p>
    <w:p>
      <w:pPr>
        <w:snapToGrid w:val="0"/>
        <w:spacing w:line="520" w:lineRule="exact"/>
        <w:ind w:firstLine="643" w:firstLineChars="200"/>
        <w:rPr>
          <w:rFonts w:hint="default"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3.</w:t>
      </w:r>
      <w:r>
        <w:rPr>
          <w:rFonts w:hint="default" w:ascii="仿宋_GB2312" w:hAnsi="仿宋" w:eastAsia="仿宋_GB2312" w:cs="Times New Roman"/>
          <w:b/>
          <w:bCs/>
          <w:sz w:val="32"/>
          <w:szCs w:val="32"/>
          <w:lang w:val="en-US" w:eastAsia="zh-CN"/>
        </w:rPr>
        <w:t>民主法治建设不断深化，社会治理工作全面开展</w:t>
      </w:r>
    </w:p>
    <w:p>
      <w:pPr>
        <w:snapToGrid w:val="0"/>
        <w:spacing w:line="520" w:lineRule="exact"/>
        <w:ind w:firstLine="640" w:firstLineChars="200"/>
        <w:rPr>
          <w:rFonts w:hint="default" w:ascii="Times New Roman" w:hAnsi="Times New Roman" w:eastAsia="方正仿宋简体" w:cs="Times New Roman"/>
          <w:b w:val="0"/>
          <w:bCs w:val="0"/>
          <w:sz w:val="32"/>
          <w:szCs w:val="32"/>
        </w:rPr>
      </w:pPr>
      <w:r>
        <w:rPr>
          <w:rFonts w:hint="default" w:ascii="华文细黑" w:hAnsi="华文细黑" w:eastAsia="华文细黑" w:cs="华文细黑"/>
          <w:b/>
          <w:bCs/>
          <w:sz w:val="32"/>
          <w:szCs w:val="32"/>
          <w:lang w:eastAsia="zh-CN"/>
        </w:rPr>
        <w:t>一是</w:t>
      </w:r>
      <w:r>
        <w:rPr>
          <w:rFonts w:hint="default" w:ascii="仿宋_GB2312" w:hAnsi="仿宋" w:eastAsia="仿宋_GB2312" w:cs="Times New Roman"/>
          <w:sz w:val="32"/>
          <w:szCs w:val="32"/>
        </w:rPr>
        <w:t>落实基层自治工作。大力推进村民自治规范化管理，全面完成村规民约，建立完善“四议两公开一监督”等民主监督制度，群众在基层治理中的主体作用得到充分发挥；基层民主不断健全，及时公开乡镇要务，村级财务收支情况，重点做好行政权力事项违规现象整治、全镇依法治理水平不断提高。</w:t>
      </w:r>
      <w:r>
        <w:rPr>
          <w:rFonts w:hint="eastAsia" w:ascii="华文细黑" w:hAnsi="华文细黑" w:eastAsia="华文细黑" w:cs="华文细黑"/>
          <w:b/>
          <w:bCs/>
          <w:sz w:val="32"/>
          <w:szCs w:val="32"/>
          <w:lang w:eastAsia="zh-CN"/>
        </w:rPr>
        <w:t>二是</w:t>
      </w:r>
      <w:r>
        <w:rPr>
          <w:rFonts w:hint="default" w:ascii="仿宋_GB2312" w:hAnsi="仿宋" w:eastAsia="仿宋_GB2312" w:cs="Times New Roman"/>
          <w:sz w:val="32"/>
          <w:szCs w:val="32"/>
        </w:rPr>
        <w:t>开展依法治市工作。建立健全责任机制，落实党政主要领导人法治建设职责；加强制度建设，健全学习、教育、法治建设、法治保障等相关制度；结合“法律七进”，开展宪法等相关法律宣传活动，全力推进依法治市进程。</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3" w:firstLineChars="200"/>
        <w:jc w:val="both"/>
        <w:textAlignment w:val="auto"/>
        <w:rPr>
          <w:rFonts w:hint="default" w:ascii="仿宋_GB2312" w:hAnsi="仿宋" w:eastAsia="仿宋_GB2312" w:cs="Times New Roman"/>
          <w:b/>
          <w:bCs/>
          <w:sz w:val="32"/>
          <w:szCs w:val="32"/>
          <w:lang w:val="en-US" w:eastAsia="zh-CN"/>
        </w:rPr>
      </w:pPr>
      <w:r>
        <w:rPr>
          <w:rFonts w:hint="default" w:ascii="仿宋_GB2312" w:hAnsi="仿宋" w:eastAsia="仿宋_GB2312" w:cs="Times New Roman"/>
          <w:b/>
          <w:bCs/>
          <w:sz w:val="32"/>
          <w:szCs w:val="32"/>
          <w:lang w:val="en-US" w:eastAsia="zh-CN"/>
        </w:rPr>
        <w:t>（五）着力基层党建工作，推动全面从严治党向纵深发展</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2021年以来，罗文镇党委以创建服务型党组织为目标，全面落实从严治党要求，健全组织体系，建设干部队伍，充分发挥基层党组织推动发展、服务群众、凝聚人心、促进和谐的作用，努力推动基层党建工作再上新台阶。</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val="0"/>
          <w:bCs w:val="0"/>
          <w:sz w:val="32"/>
          <w:szCs w:val="32"/>
          <w:lang w:eastAsia="zh-CN"/>
        </w:rPr>
      </w:pPr>
      <w:r>
        <w:rPr>
          <w:rFonts w:hint="default" w:ascii="仿宋_GB2312" w:hAnsi="仿宋" w:eastAsia="仿宋_GB2312" w:cs="Times New Roman"/>
          <w:b/>
          <w:bCs/>
          <w:sz w:val="32"/>
          <w:szCs w:val="32"/>
          <w:lang w:val="en-US" w:eastAsia="zh-CN"/>
        </w:rPr>
        <w:t>一是</w:t>
      </w:r>
      <w:r>
        <w:rPr>
          <w:rFonts w:hint="default" w:ascii="仿宋_GB2312" w:hAnsi="仿宋" w:eastAsia="仿宋_GB2312" w:cs="Times New Roman"/>
          <w:sz w:val="32"/>
          <w:szCs w:val="32"/>
          <w:lang w:val="en-US" w:eastAsia="zh-CN"/>
        </w:rPr>
        <w:t>继续抓好党员干部学习教育制度化、常态化。制定学习制度，出台学习计划，完善学习内容，明确学习要求，深入学习贯彻习近平新时代中国特色社会主义思想，认真落实习近平总书记对四川工作系列重要指示精神和党中央重大决策部署，学习贯彻党的十九届五中全会精神，深入开展“党史学习教育”等重要内容。</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b/>
          <w:bCs/>
          <w:sz w:val="32"/>
          <w:szCs w:val="32"/>
          <w:lang w:val="en-US" w:eastAsia="zh-CN"/>
        </w:rPr>
        <w:t>二是</w:t>
      </w:r>
      <w:r>
        <w:rPr>
          <w:rFonts w:hint="default" w:ascii="仿宋_GB2312" w:hAnsi="仿宋" w:eastAsia="仿宋_GB2312" w:cs="Times New Roman"/>
          <w:sz w:val="32"/>
          <w:szCs w:val="32"/>
          <w:lang w:val="en-US" w:eastAsia="zh-CN"/>
        </w:rPr>
        <w:t>培养后备力量，优化组织结构。通过教育培养优秀入党积极分子、发展吸收年轻预备党员、有序推进预备党员转正工作、大力选拔培养优秀后备力量等方式，有力改善、逐步解决了我镇基层村（社区）党组织队伍年龄结构老化、素质参差不齐、文化水平低下等问题。2021年全镇有入党积极分子30人，预备党员8人，培养农民工后备力量26人，进一步充实了后备人才队伍，优化了基层组织结构。</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val="0"/>
          <w:bCs w:val="0"/>
          <w:sz w:val="32"/>
          <w:szCs w:val="32"/>
          <w:lang w:eastAsia="zh-CN"/>
        </w:rPr>
      </w:pPr>
      <w:r>
        <w:rPr>
          <w:rFonts w:hint="default" w:ascii="仿宋_GB2312" w:hAnsi="仿宋" w:eastAsia="仿宋_GB2312" w:cs="Times New Roman"/>
          <w:b/>
          <w:bCs/>
          <w:sz w:val="32"/>
          <w:szCs w:val="32"/>
          <w:lang w:val="en-US" w:eastAsia="zh-CN"/>
        </w:rPr>
        <w:t>三是</w:t>
      </w:r>
      <w:r>
        <w:rPr>
          <w:rFonts w:hint="default" w:ascii="仿宋_GB2312" w:hAnsi="仿宋" w:eastAsia="仿宋_GB2312" w:cs="Times New Roman"/>
          <w:sz w:val="32"/>
          <w:szCs w:val="32"/>
          <w:lang w:val="en-US" w:eastAsia="zh-CN"/>
        </w:rPr>
        <w:t>全面开展党风廉政建设社会评价</w:t>
      </w:r>
      <w:r>
        <w:rPr>
          <w:rFonts w:hint="eastAsia" w:ascii="仿宋_GB2312" w:hAnsi="仿宋" w:eastAsia="仿宋_GB2312" w:cs="Times New Roman"/>
          <w:sz w:val="32"/>
          <w:szCs w:val="32"/>
          <w:lang w:val="en-US" w:eastAsia="zh-CN"/>
        </w:rPr>
        <w:t>及平安建设满意度测评</w:t>
      </w:r>
      <w:r>
        <w:rPr>
          <w:rFonts w:hint="default" w:ascii="仿宋_GB2312" w:hAnsi="仿宋" w:eastAsia="仿宋_GB2312" w:cs="Times New Roman"/>
          <w:sz w:val="32"/>
          <w:szCs w:val="32"/>
          <w:lang w:val="en-US" w:eastAsia="zh-CN"/>
        </w:rPr>
        <w:t>宣传工作。党委、政府全面发力，多措并举，全面推动我镇党风廉政建设社会评价工作。组织开展流动车</w:t>
      </w:r>
      <w:r>
        <w:rPr>
          <w:rFonts w:hint="eastAsia" w:ascii="仿宋_GB2312" w:hAnsi="仿宋" w:eastAsia="仿宋_GB2312" w:cs="Times New Roman"/>
          <w:sz w:val="32"/>
          <w:szCs w:val="32"/>
          <w:lang w:val="en-US" w:eastAsia="zh-CN"/>
        </w:rPr>
        <w:t>5辆</w:t>
      </w:r>
      <w:r>
        <w:rPr>
          <w:rFonts w:hint="default" w:ascii="仿宋_GB2312" w:hAnsi="仿宋" w:eastAsia="仿宋_GB2312" w:cs="Times New Roman"/>
          <w:sz w:val="32"/>
          <w:szCs w:val="32"/>
          <w:lang w:val="en-US" w:eastAsia="zh-CN"/>
        </w:rPr>
        <w:t>、走村入户、</w:t>
      </w:r>
      <w:r>
        <w:rPr>
          <w:rFonts w:hint="eastAsia" w:ascii="仿宋_GB2312" w:hAnsi="仿宋" w:eastAsia="仿宋_GB2312" w:cs="Times New Roman"/>
          <w:sz w:val="32"/>
          <w:szCs w:val="32"/>
          <w:lang w:val="en-US" w:eastAsia="zh-CN"/>
        </w:rPr>
        <w:t>LED宣传栏、院坝会</w:t>
      </w:r>
      <w:r>
        <w:rPr>
          <w:rFonts w:hint="default" w:ascii="仿宋_GB2312" w:hAnsi="仿宋" w:eastAsia="仿宋_GB2312" w:cs="Times New Roman"/>
          <w:sz w:val="32"/>
          <w:szCs w:val="32"/>
          <w:lang w:val="en-US" w:eastAsia="zh-CN"/>
        </w:rPr>
        <w:t>、宣传标语</w:t>
      </w:r>
      <w:r>
        <w:rPr>
          <w:rFonts w:hint="eastAsia" w:ascii="仿宋_GB2312" w:hAnsi="仿宋" w:eastAsia="仿宋_GB2312" w:cs="Times New Roman"/>
          <w:sz w:val="32"/>
          <w:szCs w:val="32"/>
          <w:lang w:val="en-US" w:eastAsia="zh-CN"/>
        </w:rPr>
        <w:t>50余幅</w:t>
      </w:r>
      <w:r>
        <w:rPr>
          <w:rFonts w:hint="default" w:ascii="仿宋_GB2312" w:hAnsi="仿宋" w:eastAsia="仿宋_GB2312" w:cs="Times New Roman"/>
          <w:sz w:val="32"/>
          <w:szCs w:val="32"/>
          <w:lang w:val="en-US" w:eastAsia="zh-CN"/>
        </w:rPr>
        <w:t>和</w:t>
      </w:r>
      <w:r>
        <w:rPr>
          <w:rFonts w:hint="eastAsia" w:ascii="仿宋_GB2312" w:hAnsi="仿宋" w:eastAsia="仿宋_GB2312" w:cs="Times New Roman"/>
          <w:sz w:val="32"/>
          <w:szCs w:val="32"/>
          <w:lang w:val="en-US" w:eastAsia="zh-CN"/>
        </w:rPr>
        <w:t>印发宣传</w:t>
      </w:r>
      <w:r>
        <w:rPr>
          <w:rFonts w:hint="default" w:ascii="仿宋_GB2312" w:hAnsi="仿宋" w:eastAsia="仿宋_GB2312" w:cs="Times New Roman"/>
          <w:sz w:val="32"/>
          <w:szCs w:val="32"/>
          <w:lang w:val="en-US" w:eastAsia="zh-CN"/>
        </w:rPr>
        <w:t>图文</w:t>
      </w:r>
      <w:r>
        <w:rPr>
          <w:rFonts w:hint="eastAsia" w:ascii="仿宋_GB2312" w:hAnsi="仿宋" w:eastAsia="仿宋_GB2312" w:cs="Times New Roman"/>
          <w:sz w:val="32"/>
          <w:szCs w:val="32"/>
          <w:lang w:val="en-US" w:eastAsia="zh-CN"/>
        </w:rPr>
        <w:t>资料5000余份</w:t>
      </w:r>
      <w:r>
        <w:rPr>
          <w:rFonts w:hint="default" w:ascii="仿宋_GB2312" w:hAnsi="仿宋" w:eastAsia="仿宋_GB2312" w:cs="Times New Roman"/>
          <w:sz w:val="32"/>
          <w:szCs w:val="32"/>
          <w:lang w:val="en-US" w:eastAsia="zh-CN"/>
        </w:rPr>
        <w:t>等多种宣传</w:t>
      </w:r>
      <w:r>
        <w:rPr>
          <w:rFonts w:hint="eastAsia" w:ascii="仿宋_GB2312" w:hAnsi="仿宋" w:eastAsia="仿宋_GB2312" w:cs="Times New Roman"/>
          <w:sz w:val="32"/>
          <w:szCs w:val="32"/>
          <w:lang w:val="en-US" w:eastAsia="zh-CN"/>
        </w:rPr>
        <w:t>方式</w:t>
      </w:r>
      <w:r>
        <w:rPr>
          <w:rFonts w:hint="default" w:ascii="仿宋_GB2312" w:hAnsi="仿宋" w:eastAsia="仿宋_GB2312" w:cs="Times New Roman"/>
          <w:sz w:val="32"/>
          <w:szCs w:val="32"/>
          <w:lang w:val="en-US" w:eastAsia="zh-CN"/>
        </w:rPr>
        <w:t>，推动了我镇党风廉政建设</w:t>
      </w:r>
      <w:r>
        <w:rPr>
          <w:rFonts w:hint="eastAsia" w:ascii="仿宋_GB2312" w:hAnsi="仿宋" w:eastAsia="仿宋_GB2312" w:cs="Times New Roman"/>
          <w:sz w:val="32"/>
          <w:szCs w:val="32"/>
          <w:lang w:val="en-US" w:eastAsia="zh-CN"/>
        </w:rPr>
        <w:t>和平安建设</w:t>
      </w:r>
      <w:r>
        <w:rPr>
          <w:rFonts w:hint="default" w:ascii="仿宋_GB2312" w:hAnsi="仿宋" w:eastAsia="仿宋_GB2312" w:cs="Times New Roman"/>
          <w:sz w:val="32"/>
          <w:szCs w:val="32"/>
          <w:lang w:val="en-US" w:eastAsia="zh-CN"/>
        </w:rPr>
        <w:t>提档升位，营造了风清气正的政治生态。</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val="0"/>
          <w:bCs w:val="0"/>
          <w:kern w:val="0"/>
          <w:sz w:val="32"/>
          <w:szCs w:val="32"/>
        </w:rPr>
      </w:pPr>
      <w:r>
        <w:rPr>
          <w:rFonts w:hint="default" w:ascii="仿宋_GB2312" w:hAnsi="仿宋" w:eastAsia="仿宋_GB2312" w:cs="Times New Roman"/>
          <w:b/>
          <w:bCs/>
          <w:sz w:val="32"/>
          <w:szCs w:val="32"/>
          <w:lang w:val="en-US" w:eastAsia="zh-CN"/>
        </w:rPr>
        <w:t>四是</w:t>
      </w:r>
      <w:r>
        <w:rPr>
          <w:rFonts w:hint="default" w:ascii="仿宋_GB2312" w:hAnsi="仿宋" w:eastAsia="仿宋_GB2312" w:cs="Times New Roman"/>
          <w:sz w:val="32"/>
          <w:szCs w:val="32"/>
          <w:lang w:val="en-US" w:eastAsia="zh-CN"/>
        </w:rPr>
        <w:t>强力正风肃纪，筑牢拒腐防变思想防线。组织开展镇村干部党风廉政建设学习会、推进会1</w:t>
      </w:r>
      <w:r>
        <w:rPr>
          <w:rFonts w:hint="eastAsia" w:ascii="仿宋_GB2312" w:hAnsi="仿宋" w:eastAsia="仿宋_GB2312" w:cs="Times New Roman"/>
          <w:sz w:val="32"/>
          <w:szCs w:val="32"/>
          <w:lang w:val="en-US" w:eastAsia="zh-CN"/>
        </w:rPr>
        <w:t>2</w:t>
      </w:r>
      <w:r>
        <w:rPr>
          <w:rFonts w:hint="default" w:ascii="仿宋_GB2312" w:hAnsi="仿宋" w:eastAsia="仿宋_GB2312" w:cs="Times New Roman"/>
          <w:sz w:val="32"/>
          <w:szCs w:val="32"/>
          <w:lang w:val="en-US" w:eastAsia="zh-CN"/>
        </w:rPr>
        <w:t xml:space="preserve">余次，深入学习党纪政纪条例规定，学习违反党风廉政建设典型案例，准确把握党风廉政建设和反腐败工作的新形势、新任务、新要求，党员干部的思想不断解放，政治素养日益提升，进一步增强了思想自觉和行动自觉。 </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val="0"/>
          <w:bCs w:val="0"/>
          <w:kern w:val="0"/>
          <w:sz w:val="32"/>
          <w:szCs w:val="32"/>
          <w:shd w:val="clear" w:color="auto" w:fill="FFFFFF"/>
        </w:rPr>
      </w:pPr>
      <w:r>
        <w:rPr>
          <w:rFonts w:hint="default" w:ascii="仿宋_GB2312" w:hAnsi="仿宋" w:eastAsia="仿宋_GB2312" w:cs="Times New Roman"/>
          <w:b/>
          <w:bCs/>
          <w:sz w:val="32"/>
          <w:szCs w:val="32"/>
          <w:lang w:val="en-US" w:eastAsia="zh-CN"/>
        </w:rPr>
        <w:t>五是</w:t>
      </w:r>
      <w:r>
        <w:rPr>
          <w:rFonts w:hint="default" w:ascii="仿宋_GB2312" w:hAnsi="仿宋" w:eastAsia="仿宋_GB2312" w:cs="Times New Roman"/>
          <w:sz w:val="32"/>
          <w:szCs w:val="32"/>
          <w:lang w:val="en-US" w:eastAsia="zh-CN"/>
        </w:rPr>
        <w:t>恪尽职守，严格落实党风廉政建设责任制。严格落实党风廉政建设责任制各项规定，认真履行“一岗双责”，健全完善“一把手负总责，分管领导各负其责，班子成员齐抓共管”的领导机制，坚持“谁主管、谁负责”的原则，做到重要工作亲自部署、重大问题亲自过问、重点环节亲自协调、重要案件亲自督办，切实把党风廉政建设责任落到实处。</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default" w:ascii="仿宋_GB2312" w:hAnsi="仿宋" w:eastAsia="仿宋_GB2312" w:cs="Times New Roman"/>
          <w:b/>
          <w:bCs/>
          <w:sz w:val="32"/>
          <w:szCs w:val="32"/>
          <w:lang w:val="en-US" w:eastAsia="zh-CN"/>
        </w:rPr>
      </w:pPr>
      <w:r>
        <w:rPr>
          <w:rFonts w:hint="default" w:ascii="仿宋_GB2312" w:hAnsi="仿宋" w:eastAsia="仿宋_GB2312" w:cs="Times New Roman"/>
          <w:b/>
          <w:bCs/>
          <w:sz w:val="32"/>
          <w:szCs w:val="32"/>
          <w:lang w:val="en-US" w:eastAsia="zh-CN"/>
        </w:rPr>
        <w:t>（六）着力强化意识形态，做好舆论引导传播正能量</w:t>
      </w:r>
    </w:p>
    <w:p>
      <w:pPr>
        <w:spacing w:line="578" w:lineRule="exact"/>
        <w:ind w:firstLine="640" w:firstLineChars="200"/>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一是把握宣传思想工作的主动性。建立健全镇党委意识形态工作会议制度、舆情事件应急处置机制和问责机制，级级传导压力，层层压实责任。特别是在村（社区）“两委”换届和县乡领导班子换届过程中，加强对全镇党员干部群众的思想教育工作，宣传思想工作不断引向深入，全镇无1例群体性事件发生。二是加强看齐意识和职责意识。牢牢把握好正确的政治方向，向党中央看齐，向党的理论路线方针政策看齐，向党中央各项决策部署看齐，并把意识形态工作纳入到工作报告、纪律检查、干部考核，以及平安建设考核当中去。</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4"/>
        <w:ind w:right="440"/>
        <w:jc w:val="center"/>
        <w:rPr>
          <w:rStyle w:val="26"/>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16"/>
      <w:bookmarkEnd w:id="17"/>
    </w:p>
    <w:p>
      <w:pPr>
        <w:rPr>
          <w:color w:val="auto"/>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2831.54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1694.14</w:t>
      </w:r>
      <w:r>
        <w:rPr>
          <w:rFonts w:hint="eastAsia" w:ascii="仿宋" w:hAnsi="仿宋" w:eastAsia="仿宋"/>
          <w:color w:val="000000"/>
          <w:sz w:val="32"/>
          <w:szCs w:val="32"/>
        </w:rPr>
        <w:t>万</w:t>
      </w:r>
      <w:r>
        <w:rPr>
          <w:rFonts w:hint="eastAsia" w:ascii="仿宋" w:hAnsi="仿宋" w:eastAsia="仿宋"/>
          <w:color w:val="000000"/>
          <w:sz w:val="32"/>
          <w:szCs w:val="32"/>
          <w:lang w:val="en-US" w:eastAsia="zh-CN"/>
        </w:rPr>
        <w:t>2020年的2977.97万元减少了146.43万元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5</w:t>
      </w:r>
      <w:r>
        <w:rPr>
          <w:rFonts w:ascii="仿宋" w:hAnsi="仿宋" w:eastAsia="仿宋"/>
          <w:color w:val="000000"/>
          <w:sz w:val="32"/>
          <w:szCs w:val="32"/>
        </w:rPr>
        <w:t>%</w:t>
      </w:r>
      <w:r>
        <w:rPr>
          <w:rFonts w:hint="eastAsia" w:ascii="仿宋" w:hAnsi="仿宋" w:eastAsia="仿宋"/>
          <w:color w:val="000000"/>
          <w:sz w:val="32"/>
          <w:szCs w:val="32"/>
          <w:lang w:eastAsia="zh-CN"/>
        </w:rPr>
        <w:t>；支出比</w:t>
      </w:r>
      <w:r>
        <w:rPr>
          <w:rFonts w:hint="eastAsia" w:ascii="仿宋" w:hAnsi="仿宋" w:eastAsia="仿宋"/>
          <w:color w:val="000000"/>
          <w:sz w:val="32"/>
          <w:szCs w:val="32"/>
          <w:lang w:val="en-US" w:eastAsia="zh-CN"/>
        </w:rPr>
        <w:t>2020年的1567.11万元增加了127.03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增加8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hint="eastAsia" w:ascii="仿宋_GB2312" w:eastAsia="仿宋_GB2312"/>
          <w:color w:val="auto"/>
          <w:sz w:val="32"/>
          <w:szCs w:val="32"/>
          <w:highlight w:val="none"/>
          <w:lang w:eastAsia="zh-CN"/>
        </w:rPr>
      </w:pPr>
    </w:p>
    <w:p>
      <w:pPr>
        <w:pStyle w:val="2"/>
        <w:rPr>
          <w:rFonts w:ascii="仿宋_GB2312" w:eastAsia="仿宋_GB2312"/>
          <w:color w:val="auto"/>
          <w:sz w:val="32"/>
          <w:szCs w:val="32"/>
          <w:highlight w:val="none"/>
        </w:rPr>
      </w:pPr>
      <w:r>
        <w:drawing>
          <wp:inline distT="0" distB="0" distL="114300" distR="114300">
            <wp:extent cx="5271135" cy="2693670"/>
            <wp:effectExtent l="4445" t="4445" r="20320" b="698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000000"/>
          <w:sz w:val="32"/>
          <w:szCs w:val="32"/>
          <w:lang w:val="en-US" w:eastAsia="zh-CN"/>
        </w:rPr>
        <w:t>2831.54</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2831.54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pStyle w:val="2"/>
        <w:rPr>
          <w:rFonts w:ascii="仿宋_GB2312" w:eastAsia="仿宋_GB2312"/>
          <w:color w:val="auto"/>
          <w:sz w:val="32"/>
          <w:szCs w:val="32"/>
          <w:highlight w:val="none"/>
        </w:rPr>
      </w:pP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1694.14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1197.27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496.87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Style w:val="2"/>
        <w:rPr>
          <w:rFonts w:ascii="仿宋_GB2312" w:eastAsia="仿宋_GB2312"/>
          <w:color w:val="auto"/>
          <w:sz w:val="32"/>
          <w:szCs w:val="32"/>
          <w:highlight w:val="none"/>
        </w:rPr>
      </w:pPr>
      <w:r>
        <w:drawing>
          <wp:inline distT="0" distB="0" distL="114300" distR="114300">
            <wp:extent cx="4572000" cy="2743200"/>
            <wp:effectExtent l="4445" t="4445" r="14605" b="14605"/>
            <wp:docPr id="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7"/>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hint="default" w:ascii="仿宋" w:hAnsi="仿宋" w:eastAsia="仿宋"/>
          <w:color w:val="000000"/>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2831.54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1694.14</w:t>
      </w:r>
      <w:r>
        <w:rPr>
          <w:rFonts w:hint="eastAsia" w:ascii="仿宋" w:hAnsi="仿宋" w:eastAsia="仿宋"/>
          <w:color w:val="000000"/>
          <w:sz w:val="32"/>
          <w:szCs w:val="32"/>
        </w:rPr>
        <w:t>万</w:t>
      </w:r>
      <w:r>
        <w:rPr>
          <w:rFonts w:hint="eastAsia" w:ascii="仿宋" w:hAnsi="仿宋" w:eastAsia="仿宋"/>
          <w:color w:val="000000"/>
          <w:sz w:val="32"/>
          <w:szCs w:val="32"/>
          <w:lang w:val="en-US" w:eastAsia="zh-CN"/>
        </w:rPr>
        <w:t>2020年的2977.97万元减少了146.43万元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5</w:t>
      </w:r>
      <w:r>
        <w:rPr>
          <w:rFonts w:ascii="仿宋" w:hAnsi="仿宋" w:eastAsia="仿宋"/>
          <w:color w:val="000000"/>
          <w:sz w:val="32"/>
          <w:szCs w:val="32"/>
        </w:rPr>
        <w:t>%</w:t>
      </w:r>
      <w:r>
        <w:rPr>
          <w:rFonts w:hint="eastAsia" w:ascii="仿宋" w:hAnsi="仿宋" w:eastAsia="仿宋"/>
          <w:color w:val="000000"/>
          <w:sz w:val="32"/>
          <w:szCs w:val="32"/>
          <w:lang w:eastAsia="zh-CN"/>
        </w:rPr>
        <w:t>；支出比</w:t>
      </w:r>
      <w:r>
        <w:rPr>
          <w:rFonts w:hint="eastAsia" w:ascii="仿宋" w:hAnsi="仿宋" w:eastAsia="仿宋"/>
          <w:color w:val="000000"/>
          <w:sz w:val="32"/>
          <w:szCs w:val="32"/>
          <w:lang w:val="en-US" w:eastAsia="zh-CN"/>
        </w:rPr>
        <w:t>2020年的1567.11万元增加了127.03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增加8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总收入减少是由于</w:t>
      </w:r>
      <w:r>
        <w:rPr>
          <w:rFonts w:hint="eastAsia" w:ascii="仿宋" w:hAnsi="仿宋" w:eastAsia="仿宋"/>
          <w:color w:val="000000"/>
          <w:sz w:val="32"/>
          <w:szCs w:val="32"/>
          <w:lang w:val="en-US" w:eastAsia="zh-CN"/>
        </w:rPr>
        <w:t>2020年行政区划调整含原罗文镇花楼乡两个乡镇的收入，支出增加是因2020年项目资金在2021年完成报账并支付。</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r>
        <w:drawing>
          <wp:anchor distT="0" distB="0" distL="114300" distR="114300" simplePos="0" relativeHeight="251659264" behindDoc="0" locked="0" layoutInCell="1" allowOverlap="1">
            <wp:simplePos x="0" y="0"/>
            <wp:positionH relativeFrom="column">
              <wp:posOffset>-48895</wp:posOffset>
            </wp:positionH>
            <wp:positionV relativeFrom="paragraph">
              <wp:posOffset>200025</wp:posOffset>
            </wp:positionV>
            <wp:extent cx="5469890" cy="3292475"/>
            <wp:effectExtent l="5080" t="4445" r="11430" b="17780"/>
            <wp:wrapNone/>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eastAsia" w:ascii="黑体" w:hAnsi="黑体" w:eastAsia="黑体"/>
          <w:color w:val="auto"/>
          <w:sz w:val="32"/>
          <w:szCs w:val="32"/>
          <w:highlight w:val="none"/>
        </w:rPr>
      </w:pPr>
      <w:bookmarkStart w:id="26" w:name="_Toc15377209"/>
      <w:bookmarkStart w:id="27" w:name="_Toc15396607"/>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420" w:firstLineChars="200"/>
        <w:outlineLvl w:val="1"/>
        <w:rPr>
          <w:rFonts w:hint="eastAsia" w:ascii="黑体" w:hAnsi="黑体" w:eastAsia="黑体"/>
          <w:color w:val="auto"/>
          <w:sz w:val="32"/>
          <w:szCs w:val="32"/>
          <w:highlight w:val="none"/>
        </w:rPr>
      </w:pPr>
      <w:r>
        <w:drawing>
          <wp:anchor distT="0" distB="0" distL="114300" distR="114300" simplePos="0" relativeHeight="251660288" behindDoc="0" locked="0" layoutInCell="1" allowOverlap="1">
            <wp:simplePos x="0" y="0"/>
            <wp:positionH relativeFrom="column">
              <wp:posOffset>8183880</wp:posOffset>
            </wp:positionH>
            <wp:positionV relativeFrom="paragraph">
              <wp:posOffset>125095</wp:posOffset>
            </wp:positionV>
            <wp:extent cx="3382645" cy="1985645"/>
            <wp:effectExtent l="4445" t="4445" r="22860" b="10160"/>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Style w:val="27"/>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1694.14</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153.08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2020年项目支出余2021年支付。</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pStyle w:val="2"/>
        <w:rPr>
          <w:rFonts w:ascii="仿宋" w:hAnsi="仿宋" w:eastAsia="仿宋"/>
          <w:color w:val="auto"/>
          <w:sz w:val="32"/>
          <w:szCs w:val="32"/>
          <w:highlight w:val="none"/>
        </w:rPr>
      </w:pPr>
      <w:r>
        <w:drawing>
          <wp:inline distT="0" distB="0" distL="114300" distR="114300">
            <wp:extent cx="5271135" cy="3243580"/>
            <wp:effectExtent l="4445" t="4445" r="20320" b="9525"/>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1694.14</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452.12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eastAsia="zh-CN"/>
        </w:rPr>
        <w:t>公共安全支出</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329.88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19.4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30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节能环保支出</w:t>
      </w:r>
      <w:r>
        <w:rPr>
          <w:rFonts w:hint="eastAsia" w:ascii="仿宋" w:hAnsi="仿宋" w:eastAsia="仿宋"/>
          <w:color w:val="auto"/>
          <w:sz w:val="32"/>
          <w:szCs w:val="32"/>
          <w:highlight w:val="none"/>
          <w:lang w:val="en-US" w:eastAsia="zh-CN"/>
        </w:rPr>
        <w:t>5万，占0.3%；农林水支出785.33万，占46%；交通运输支出42.4万元，占2.5%；</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43.4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2.65%</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全部功能分类科目，至类级。）</w:t>
      </w:r>
    </w:p>
    <w:p>
      <w:pPr>
        <w:spacing w:line="600" w:lineRule="exact"/>
        <w:ind w:firstLine="64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Style w:val="2"/>
        <w:rPr>
          <w:rFonts w:ascii="仿宋" w:hAnsi="仿宋" w:eastAsia="仿宋"/>
          <w:color w:val="auto"/>
          <w:sz w:val="32"/>
          <w:szCs w:val="32"/>
          <w:highlight w:val="none"/>
        </w:rPr>
      </w:pPr>
      <w:r>
        <w:drawing>
          <wp:inline distT="0" distB="0" distL="114300" distR="114300">
            <wp:extent cx="4591050" cy="3752215"/>
            <wp:effectExtent l="4445" t="4445" r="14605" b="15240"/>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7213"/>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1694.14</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60.6</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31"/>
      <w:bookmarkEnd w:id="32"/>
      <w:bookmarkEnd w:id="33"/>
    </w:p>
    <w:p>
      <w:pPr>
        <w:keepNext w:val="0"/>
        <w:keepLines w:val="0"/>
        <w:pageBreakBefore w:val="0"/>
        <w:numPr>
          <w:ilvl w:val="0"/>
          <w:numId w:val="3"/>
        </w:numPr>
        <w:kinsoku/>
        <w:wordWrap/>
        <w:overflowPunct/>
        <w:topLinePunct w:val="0"/>
        <w:autoSpaceDE/>
        <w:autoSpaceDN/>
        <w:bidi w:val="0"/>
        <w:spacing w:line="578" w:lineRule="exact"/>
        <w:ind w:firstLine="643"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b/>
          <w:bCs/>
          <w:color w:val="auto"/>
          <w:sz w:val="32"/>
          <w:szCs w:val="32"/>
        </w:rPr>
        <w:t>一般公共服务</w:t>
      </w:r>
      <w:r>
        <w:rPr>
          <w:rFonts w:hint="eastAsia" w:ascii="仿宋_GB2312" w:eastAsia="仿宋_GB2312"/>
          <w:b/>
          <w:bCs/>
          <w:color w:val="auto"/>
          <w:sz w:val="32"/>
          <w:szCs w:val="32"/>
          <w:lang w:eastAsia="zh-CN"/>
        </w:rPr>
        <w:t>支出（</w:t>
      </w:r>
      <w:r>
        <w:rPr>
          <w:rFonts w:hint="eastAsia" w:ascii="仿宋_GB2312" w:eastAsia="仿宋_GB2312"/>
          <w:b/>
          <w:bCs/>
          <w:color w:val="auto"/>
          <w:sz w:val="32"/>
          <w:szCs w:val="32"/>
        </w:rPr>
        <w:t>类）</w:t>
      </w:r>
      <w:r>
        <w:rPr>
          <w:rFonts w:hint="eastAsia" w:ascii="仿宋_GB2312" w:eastAsia="仿宋_GB2312"/>
          <w:b/>
          <w:bCs/>
          <w:color w:val="auto"/>
          <w:sz w:val="32"/>
          <w:szCs w:val="32"/>
          <w:lang w:eastAsia="zh-CN"/>
        </w:rPr>
        <w:t>人大事务</w:t>
      </w:r>
      <w:r>
        <w:rPr>
          <w:rFonts w:hint="eastAsia" w:ascii="仿宋_GB2312" w:eastAsia="仿宋_GB2312"/>
          <w:b/>
          <w:bCs/>
          <w:color w:val="auto"/>
          <w:sz w:val="32"/>
          <w:szCs w:val="32"/>
        </w:rPr>
        <w:t>（款）</w:t>
      </w:r>
      <w:r>
        <w:rPr>
          <w:rFonts w:hint="eastAsia" w:ascii="仿宋_GB2312" w:eastAsia="仿宋_GB2312"/>
          <w:b/>
          <w:bCs/>
          <w:color w:val="auto"/>
          <w:sz w:val="32"/>
          <w:szCs w:val="32"/>
          <w:lang w:eastAsia="zh-CN"/>
        </w:rPr>
        <w:t>行政运行</w:t>
      </w:r>
      <w:r>
        <w:rPr>
          <w:rFonts w:hint="eastAsia" w:ascii="仿宋_GB2312" w:eastAsia="仿宋_GB2312"/>
          <w:b/>
          <w:bCs/>
          <w:color w:val="auto"/>
          <w:sz w:val="32"/>
          <w:szCs w:val="32"/>
        </w:rPr>
        <w:t>（项）</w:t>
      </w:r>
      <w:r>
        <w:rPr>
          <w:rFonts w:hint="eastAsia" w:ascii="仿宋_GB2312" w:eastAsia="仿宋_GB2312"/>
          <w:color w:val="auto"/>
          <w:sz w:val="32"/>
          <w:szCs w:val="32"/>
        </w:rPr>
        <w:t>:</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4.2</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eastAsia="zh-CN"/>
        </w:rPr>
        <w:t>；</w:t>
      </w:r>
      <w:r>
        <w:rPr>
          <w:rFonts w:hint="eastAsia" w:ascii="仿宋_GB2312" w:eastAsia="仿宋_GB2312"/>
          <w:b/>
          <w:bCs/>
          <w:color w:val="auto"/>
          <w:sz w:val="32"/>
          <w:szCs w:val="32"/>
        </w:rPr>
        <w:t>一般公共服务</w:t>
      </w:r>
      <w:r>
        <w:rPr>
          <w:rFonts w:hint="eastAsia" w:ascii="仿宋_GB2312" w:eastAsia="仿宋_GB2312"/>
          <w:b/>
          <w:bCs/>
          <w:color w:val="auto"/>
          <w:sz w:val="32"/>
          <w:szCs w:val="32"/>
          <w:lang w:eastAsia="zh-CN"/>
        </w:rPr>
        <w:t>支出（</w:t>
      </w:r>
      <w:r>
        <w:rPr>
          <w:rFonts w:hint="eastAsia" w:ascii="仿宋_GB2312" w:eastAsia="仿宋_GB2312"/>
          <w:b/>
          <w:bCs/>
          <w:color w:val="auto"/>
          <w:sz w:val="32"/>
          <w:szCs w:val="32"/>
        </w:rPr>
        <w:t>类）</w:t>
      </w:r>
      <w:r>
        <w:rPr>
          <w:rFonts w:hint="eastAsia" w:ascii="仿宋_GB2312" w:eastAsia="仿宋_GB2312"/>
          <w:b/>
          <w:bCs/>
          <w:color w:val="auto"/>
          <w:sz w:val="32"/>
          <w:szCs w:val="32"/>
          <w:lang w:eastAsia="zh-CN"/>
        </w:rPr>
        <w:t>政府办公厅（室）及相关机构事务</w:t>
      </w:r>
      <w:r>
        <w:rPr>
          <w:rFonts w:hint="eastAsia" w:ascii="仿宋_GB2312" w:eastAsia="仿宋_GB2312"/>
          <w:b/>
          <w:bCs/>
          <w:color w:val="auto"/>
          <w:sz w:val="32"/>
          <w:szCs w:val="32"/>
        </w:rPr>
        <w:t>（款）行政运行（项）</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303.84</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，主要用于基本工资、津贴补贴、奖金、机关事业单位养老保险、办公费、差旅费等；</w:t>
      </w:r>
      <w:r>
        <w:rPr>
          <w:rFonts w:hint="eastAsia" w:ascii="仿宋_GB2312" w:eastAsia="仿宋_GB2312"/>
          <w:b/>
          <w:bCs/>
          <w:color w:val="auto"/>
          <w:sz w:val="32"/>
          <w:szCs w:val="32"/>
        </w:rPr>
        <w:t>一般公共服务</w:t>
      </w:r>
      <w:r>
        <w:rPr>
          <w:rFonts w:hint="eastAsia" w:ascii="仿宋_GB2312" w:eastAsia="仿宋_GB2312"/>
          <w:b/>
          <w:bCs/>
          <w:color w:val="auto"/>
          <w:sz w:val="32"/>
          <w:szCs w:val="32"/>
          <w:lang w:eastAsia="zh-CN"/>
        </w:rPr>
        <w:t>支出（</w:t>
      </w:r>
      <w:r>
        <w:rPr>
          <w:rFonts w:hint="eastAsia" w:ascii="仿宋_GB2312" w:eastAsia="仿宋_GB2312"/>
          <w:b/>
          <w:bCs/>
          <w:color w:val="auto"/>
          <w:sz w:val="32"/>
          <w:szCs w:val="32"/>
        </w:rPr>
        <w:t>类）</w:t>
      </w:r>
      <w:r>
        <w:rPr>
          <w:rFonts w:hint="eastAsia" w:ascii="仿宋_GB2312" w:eastAsia="仿宋_GB2312"/>
          <w:b/>
          <w:bCs/>
          <w:color w:val="auto"/>
          <w:sz w:val="32"/>
          <w:szCs w:val="32"/>
          <w:lang w:eastAsia="zh-CN"/>
        </w:rPr>
        <w:t>政府办公厅（室）及相关机构事务</w:t>
      </w:r>
      <w:r>
        <w:rPr>
          <w:rFonts w:hint="eastAsia" w:ascii="仿宋_GB2312" w:eastAsia="仿宋_GB2312"/>
          <w:b/>
          <w:bCs/>
          <w:color w:val="auto"/>
          <w:sz w:val="32"/>
          <w:szCs w:val="32"/>
        </w:rPr>
        <w:t>（款）</w:t>
      </w:r>
      <w:r>
        <w:rPr>
          <w:rFonts w:hint="eastAsia" w:ascii="仿宋_GB2312" w:eastAsia="仿宋_GB2312"/>
          <w:b/>
          <w:bCs/>
          <w:color w:val="auto"/>
          <w:sz w:val="32"/>
          <w:szCs w:val="32"/>
          <w:lang w:eastAsia="zh-CN"/>
        </w:rPr>
        <w:t>一般行政管理事务（项）</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113.68</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，主要用于劳务费和维修（护）费；</w:t>
      </w:r>
      <w:r>
        <w:rPr>
          <w:rFonts w:hint="eastAsia" w:ascii="仿宋_GB2312" w:eastAsia="仿宋_GB2312"/>
          <w:b/>
          <w:bCs/>
          <w:color w:val="auto"/>
          <w:sz w:val="32"/>
          <w:szCs w:val="32"/>
        </w:rPr>
        <w:t>一般公共服务</w:t>
      </w:r>
      <w:r>
        <w:rPr>
          <w:rFonts w:hint="eastAsia" w:ascii="仿宋_GB2312" w:eastAsia="仿宋_GB2312"/>
          <w:b/>
          <w:bCs/>
          <w:color w:val="auto"/>
          <w:sz w:val="32"/>
          <w:szCs w:val="32"/>
          <w:lang w:eastAsia="zh-CN"/>
        </w:rPr>
        <w:t>支出（</w:t>
      </w:r>
      <w:r>
        <w:rPr>
          <w:rFonts w:hint="eastAsia" w:ascii="仿宋_GB2312" w:eastAsia="仿宋_GB2312"/>
          <w:b/>
          <w:bCs/>
          <w:color w:val="auto"/>
          <w:sz w:val="32"/>
          <w:szCs w:val="32"/>
        </w:rPr>
        <w:t>类）</w:t>
      </w:r>
      <w:r>
        <w:rPr>
          <w:rFonts w:hint="eastAsia" w:ascii="仿宋_GB2312" w:eastAsia="仿宋_GB2312"/>
          <w:b/>
          <w:bCs/>
          <w:color w:val="auto"/>
          <w:sz w:val="32"/>
          <w:szCs w:val="32"/>
          <w:lang w:eastAsia="zh-CN"/>
        </w:rPr>
        <w:t>政府办公厅（室）及相关机构事务</w:t>
      </w:r>
      <w:r>
        <w:rPr>
          <w:rFonts w:hint="eastAsia" w:ascii="仿宋_GB2312" w:eastAsia="仿宋_GB2312"/>
          <w:b/>
          <w:bCs/>
          <w:color w:val="auto"/>
          <w:sz w:val="32"/>
          <w:szCs w:val="32"/>
        </w:rPr>
        <w:t>（款）其他政府办公厅（室）及相关机构事务支出</w:t>
      </w:r>
      <w:r>
        <w:rPr>
          <w:rFonts w:hint="eastAsia" w:ascii="仿宋_GB2312" w:eastAsia="仿宋_GB2312"/>
          <w:b/>
          <w:bCs/>
          <w:color w:val="auto"/>
          <w:sz w:val="32"/>
          <w:szCs w:val="32"/>
          <w:lang w:eastAsia="zh-CN"/>
        </w:rPr>
        <w:t>（项）：</w:t>
      </w:r>
      <w:r>
        <w:rPr>
          <w:rFonts w:hint="eastAsia" w:ascii="仿宋_GB2312" w:eastAsia="仿宋_GB2312"/>
          <w:color w:val="auto"/>
          <w:sz w:val="32"/>
          <w:szCs w:val="32"/>
          <w:lang w:val="en-US" w:eastAsia="zh-CN"/>
        </w:rPr>
        <w:t>支出决算10万</w:t>
      </w:r>
      <w:r>
        <w:rPr>
          <w:rStyle w:val="16"/>
          <w:rFonts w:hint="eastAsia" w:ascii="仿宋" w:hAnsi="仿宋" w:eastAsia="仿宋"/>
          <w:b w:val="0"/>
          <w:bCs/>
          <w:color w:val="000000"/>
          <w:sz w:val="32"/>
          <w:szCs w:val="32"/>
          <w:lang w:val="en-US" w:eastAsia="zh-CN"/>
        </w:rPr>
        <w:t>，主要用于办公费、差旅费、电费等；</w:t>
      </w:r>
      <w:r>
        <w:rPr>
          <w:rFonts w:hint="eastAsia" w:ascii="仿宋_GB2312" w:eastAsia="仿宋_GB2312"/>
          <w:b/>
          <w:bCs/>
          <w:color w:val="auto"/>
          <w:sz w:val="32"/>
          <w:szCs w:val="32"/>
        </w:rPr>
        <w:t>一般公共服务</w:t>
      </w:r>
      <w:r>
        <w:rPr>
          <w:rFonts w:hint="eastAsia" w:ascii="仿宋_GB2312" w:eastAsia="仿宋_GB2312"/>
          <w:b/>
          <w:bCs/>
          <w:color w:val="auto"/>
          <w:sz w:val="32"/>
          <w:szCs w:val="32"/>
          <w:lang w:eastAsia="zh-CN"/>
        </w:rPr>
        <w:t>支出（</w:t>
      </w:r>
      <w:r>
        <w:rPr>
          <w:rFonts w:hint="eastAsia" w:ascii="仿宋_GB2312" w:eastAsia="仿宋_GB2312"/>
          <w:b/>
          <w:bCs/>
          <w:color w:val="auto"/>
          <w:sz w:val="32"/>
          <w:szCs w:val="32"/>
        </w:rPr>
        <w:t>类）</w:t>
      </w:r>
      <w:r>
        <w:rPr>
          <w:rFonts w:hint="eastAsia" w:ascii="仿宋_GB2312" w:eastAsia="仿宋_GB2312"/>
          <w:b/>
          <w:bCs/>
          <w:color w:val="auto"/>
          <w:sz w:val="32"/>
          <w:szCs w:val="32"/>
          <w:lang w:eastAsia="zh-CN"/>
        </w:rPr>
        <w:t>纪检监察事务（款）行政运行（项）</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，主要用于办公费和差旅费；</w:t>
      </w:r>
      <w:r>
        <w:rPr>
          <w:rFonts w:hint="eastAsia" w:ascii="仿宋_GB2312" w:eastAsia="仿宋_GB2312"/>
          <w:b/>
          <w:bCs/>
          <w:color w:val="auto"/>
          <w:sz w:val="32"/>
          <w:szCs w:val="32"/>
        </w:rPr>
        <w:t>一般公共服务</w:t>
      </w:r>
      <w:r>
        <w:rPr>
          <w:rFonts w:hint="eastAsia" w:ascii="仿宋_GB2312" w:eastAsia="仿宋_GB2312"/>
          <w:b/>
          <w:bCs/>
          <w:color w:val="auto"/>
          <w:sz w:val="32"/>
          <w:szCs w:val="32"/>
          <w:lang w:eastAsia="zh-CN"/>
        </w:rPr>
        <w:t>支出（</w:t>
      </w:r>
      <w:r>
        <w:rPr>
          <w:rFonts w:hint="eastAsia" w:ascii="仿宋_GB2312" w:eastAsia="仿宋_GB2312"/>
          <w:b/>
          <w:bCs/>
          <w:color w:val="auto"/>
          <w:sz w:val="32"/>
          <w:szCs w:val="32"/>
        </w:rPr>
        <w:t>类）党委办公厅（室）及相关机构事务</w:t>
      </w:r>
      <w:r>
        <w:rPr>
          <w:rFonts w:hint="eastAsia" w:ascii="仿宋_GB2312" w:eastAsia="仿宋_GB2312"/>
          <w:b/>
          <w:bCs/>
          <w:color w:val="auto"/>
          <w:sz w:val="32"/>
          <w:szCs w:val="32"/>
          <w:lang w:eastAsia="zh-CN"/>
        </w:rPr>
        <w:t>（款）行政运行（项）</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12.4</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r>
        <w:rPr>
          <w:rFonts w:hint="eastAsia" w:ascii="仿宋_GB2312" w:eastAsia="仿宋_GB2312"/>
          <w:color w:val="auto"/>
          <w:sz w:val="32"/>
          <w:szCs w:val="32"/>
          <w:lang w:val="en-US" w:eastAsia="zh-CN"/>
        </w:rPr>
        <w:t>主要用于基本工资、津贴补贴、奖金和办公费；</w:t>
      </w:r>
      <w:r>
        <w:rPr>
          <w:rFonts w:hint="eastAsia" w:ascii="仿宋_GB2312" w:eastAsia="仿宋_GB2312"/>
          <w:b/>
          <w:bCs/>
          <w:color w:val="auto"/>
          <w:sz w:val="32"/>
          <w:szCs w:val="32"/>
        </w:rPr>
        <w:t>一般公共服务</w:t>
      </w:r>
      <w:r>
        <w:rPr>
          <w:rFonts w:hint="eastAsia" w:ascii="仿宋_GB2312" w:eastAsia="仿宋_GB2312"/>
          <w:b/>
          <w:bCs/>
          <w:color w:val="auto"/>
          <w:sz w:val="32"/>
          <w:szCs w:val="32"/>
          <w:lang w:eastAsia="zh-CN"/>
        </w:rPr>
        <w:t>支出（</w:t>
      </w:r>
      <w:r>
        <w:rPr>
          <w:rFonts w:hint="eastAsia" w:ascii="仿宋_GB2312" w:eastAsia="仿宋_GB2312"/>
          <w:b/>
          <w:bCs/>
          <w:color w:val="auto"/>
          <w:sz w:val="32"/>
          <w:szCs w:val="32"/>
        </w:rPr>
        <w:t>类）</w:t>
      </w:r>
      <w:r>
        <w:rPr>
          <w:rFonts w:hint="eastAsia" w:ascii="仿宋_GB2312" w:eastAsia="仿宋_GB2312"/>
          <w:b/>
          <w:bCs/>
          <w:color w:val="auto"/>
          <w:sz w:val="32"/>
          <w:szCs w:val="32"/>
          <w:lang w:eastAsia="zh-CN"/>
        </w:rPr>
        <w:t>其他一般公共服务支出（款）其他一般公共服务支出（项）</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，主要用于办公费。</w:t>
      </w:r>
    </w:p>
    <w:p>
      <w:pPr>
        <w:pStyle w:val="2"/>
        <w:numPr>
          <w:ilvl w:val="0"/>
          <w:numId w:val="0"/>
        </w:numPr>
        <w:rPr>
          <w:rFonts w:hint="default" w:ascii="仿宋_GB2312" w:hAnsi="Times New Roman" w:eastAsia="仿宋_GB2312" w:cs="Times New Roman"/>
          <w:color w:val="auto"/>
          <w:kern w:val="2"/>
          <w:sz w:val="32"/>
          <w:szCs w:val="32"/>
          <w:lang w:val="en-US" w:eastAsia="zh-CN" w:bidi="ar-SA"/>
        </w:rPr>
      </w:pPr>
      <w:r>
        <w:rPr>
          <w:rFonts w:hint="eastAsia"/>
          <w:lang w:val="en-US" w:eastAsia="zh-CN"/>
        </w:rPr>
        <w:t xml:space="preserve">     </w:t>
      </w:r>
      <w:r>
        <w:rPr>
          <w:rFonts w:hint="eastAsia" w:ascii="仿宋_GB2312" w:hAnsi="Times New Roman" w:eastAsia="仿宋_GB2312" w:cs="Times New Roman"/>
          <w:color w:val="auto"/>
          <w:kern w:val="2"/>
          <w:sz w:val="32"/>
          <w:szCs w:val="32"/>
          <w:lang w:val="en-US" w:eastAsia="zh-CN" w:bidi="ar-SA"/>
        </w:rPr>
        <w:t>2.</w:t>
      </w:r>
      <w:r>
        <w:rPr>
          <w:rFonts w:hint="eastAsia" w:ascii="仿宋_GB2312" w:hAnsi="Times New Roman" w:eastAsia="仿宋_GB2312" w:cs="Times New Roman"/>
          <w:b/>
          <w:bCs/>
          <w:color w:val="auto"/>
          <w:kern w:val="2"/>
          <w:sz w:val="32"/>
          <w:szCs w:val="32"/>
          <w:lang w:val="en-US" w:eastAsia="zh-CN" w:bidi="ar-SA"/>
        </w:rPr>
        <w:t>公共安全（类）其他公共安全支出（款）其他公共安</w:t>
      </w:r>
      <w:r>
        <w:rPr>
          <w:rFonts w:hint="eastAsia" w:ascii="仿宋_GB2312" w:hAnsi="Times New Roman" w:eastAsia="仿宋_GB2312" w:cs="Times New Roman"/>
          <w:color w:val="auto"/>
          <w:kern w:val="2"/>
          <w:sz w:val="32"/>
          <w:szCs w:val="32"/>
          <w:lang w:val="en-US" w:eastAsia="zh-CN" w:bidi="ar-SA"/>
        </w:rPr>
        <w:t>全支出（项）：支出决算数6万元，完成预算100%</w:t>
      </w:r>
    </w:p>
    <w:p>
      <w:pPr>
        <w:keepNext w:val="0"/>
        <w:keepLines w:val="0"/>
        <w:pageBreakBefore w:val="0"/>
        <w:kinsoku/>
        <w:wordWrap/>
        <w:overflowPunct/>
        <w:topLinePunct w:val="0"/>
        <w:autoSpaceDE/>
        <w:autoSpaceDN/>
        <w:bidi w:val="0"/>
        <w:spacing w:line="578" w:lineRule="exact"/>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w:t>
      </w:r>
      <w:r>
        <w:rPr>
          <w:rFonts w:hint="eastAsia" w:ascii="仿宋_GB2312" w:eastAsia="仿宋_GB2312"/>
          <w:b/>
          <w:bCs/>
          <w:color w:val="auto"/>
          <w:sz w:val="32"/>
          <w:szCs w:val="32"/>
          <w:lang w:val="en-US" w:eastAsia="zh-CN"/>
        </w:rPr>
        <w:t>社会保障和就业支出（类）人力资源和社会保障管理事务（款）其他人力资源和社会保障管理事务支出（项）</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228.53</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，主要用于基本工资、绩效工资、机关事业单位基本养老保险和办公费等；</w:t>
      </w:r>
      <w:r>
        <w:rPr>
          <w:rFonts w:hint="eastAsia" w:ascii="仿宋_GB2312" w:eastAsia="仿宋_GB2312"/>
          <w:b/>
          <w:bCs/>
          <w:color w:val="auto"/>
          <w:sz w:val="32"/>
          <w:szCs w:val="32"/>
          <w:lang w:val="en-US" w:eastAsia="zh-CN"/>
        </w:rPr>
        <w:t>社会保障和就业支出（类）行政事业单位养老支出（款）机关事业单位基本养老保险缴费支出（项）：</w:t>
      </w:r>
      <w:r>
        <w:rPr>
          <w:rStyle w:val="16"/>
          <w:rFonts w:hint="eastAsia" w:ascii="仿宋" w:hAnsi="仿宋" w:eastAsia="仿宋" w:cstheme="minorBidi"/>
          <w:b w:val="0"/>
          <w:bCs/>
          <w:color w:val="000000"/>
          <w:sz w:val="32"/>
          <w:szCs w:val="32"/>
          <w:lang w:val="en-US" w:eastAsia="zh-CN"/>
        </w:rPr>
        <w:t>支出决算数79.07万元，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，主要用于养老保险缴纳；</w:t>
      </w:r>
      <w:r>
        <w:rPr>
          <w:rFonts w:hint="eastAsia" w:ascii="仿宋_GB2312" w:eastAsia="仿宋_GB2312"/>
          <w:b/>
          <w:bCs/>
          <w:color w:val="auto"/>
          <w:sz w:val="32"/>
          <w:szCs w:val="32"/>
          <w:lang w:val="en-US" w:eastAsia="zh-CN"/>
        </w:rPr>
        <w:t>社会保障和就业支出（类）抚恤（款）死亡抚恤（项）</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12.05</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，主要用于生活补助；</w:t>
      </w:r>
      <w:r>
        <w:rPr>
          <w:rFonts w:hint="eastAsia" w:ascii="仿宋_GB2312" w:eastAsia="仿宋_GB2312"/>
          <w:b/>
          <w:bCs/>
          <w:color w:val="auto"/>
          <w:sz w:val="32"/>
          <w:szCs w:val="32"/>
          <w:lang w:val="en-US" w:eastAsia="zh-CN"/>
        </w:rPr>
        <w:t>社会保障和就业支出（类）抚恤（款）义务兵优待（项）</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10.23</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，主要用于生活补助。</w:t>
      </w:r>
    </w:p>
    <w:p>
      <w:pPr>
        <w:keepNext w:val="0"/>
        <w:keepLines w:val="0"/>
        <w:pageBreakBefore w:val="0"/>
        <w:kinsoku/>
        <w:wordWrap/>
        <w:overflowPunct/>
        <w:topLinePunct w:val="0"/>
        <w:autoSpaceDE/>
        <w:autoSpaceDN/>
        <w:bidi w:val="0"/>
        <w:spacing w:line="578" w:lineRule="exact"/>
        <w:ind w:firstLine="320" w:firstLineChars="100"/>
        <w:textAlignment w:val="auto"/>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3.</w:t>
      </w:r>
      <w:r>
        <w:rPr>
          <w:rFonts w:hint="eastAsia" w:ascii="仿宋_GB2312" w:eastAsia="仿宋_GB2312"/>
          <w:b/>
          <w:bCs/>
          <w:color w:val="auto"/>
          <w:sz w:val="32"/>
          <w:szCs w:val="32"/>
          <w:lang w:val="en-US" w:eastAsia="zh-CN"/>
        </w:rPr>
        <w:t>卫生健康支出（类）行政事业单位医疗（款）行政单位医疗（项）</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12.39</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，主要用于职工基本医疗保险缴费；</w:t>
      </w:r>
      <w:r>
        <w:rPr>
          <w:rFonts w:hint="eastAsia" w:ascii="仿宋_GB2312" w:eastAsia="仿宋_GB2312"/>
          <w:b/>
          <w:bCs/>
          <w:color w:val="auto"/>
          <w:sz w:val="32"/>
          <w:szCs w:val="32"/>
          <w:lang w:val="en-US" w:eastAsia="zh-CN"/>
        </w:rPr>
        <w:t>卫生健康支出（类）行政事业单位医疗（款）事业单位医疗（项）</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11.62</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，主要用于职工医疗保险缴费；</w:t>
      </w:r>
      <w:r>
        <w:rPr>
          <w:rFonts w:hint="eastAsia" w:ascii="仿宋_GB2312" w:eastAsia="仿宋_GB2312"/>
          <w:b/>
          <w:bCs/>
          <w:color w:val="auto"/>
          <w:sz w:val="32"/>
          <w:szCs w:val="32"/>
          <w:lang w:val="en-US" w:eastAsia="zh-CN"/>
        </w:rPr>
        <w:t>卫生健康支出（类）公共卫生（款）重大公共卫生服务（项）</w:t>
      </w:r>
      <w:r>
        <w:rPr>
          <w:rFonts w:hint="eastAsia" w:ascii="仿宋_GB2312" w:eastAsia="仿宋_GB2312"/>
          <w:color w:val="auto"/>
          <w:sz w:val="32"/>
          <w:szCs w:val="32"/>
          <w:lang w:val="en-US" w:eastAsia="zh-CN"/>
        </w:rPr>
        <w:t>：支出决算6万元，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，主要用于公共卫生安全服务费用。</w:t>
      </w:r>
    </w:p>
    <w:p>
      <w:pPr>
        <w:keepNext w:val="0"/>
        <w:keepLines w:val="0"/>
        <w:pageBreakBefore w:val="0"/>
        <w:numPr>
          <w:ilvl w:val="0"/>
          <w:numId w:val="0"/>
        </w:numPr>
        <w:kinsoku/>
        <w:wordWrap/>
        <w:overflowPunct/>
        <w:topLinePunct w:val="0"/>
        <w:autoSpaceDE/>
        <w:autoSpaceDN/>
        <w:bidi w:val="0"/>
        <w:spacing w:line="578" w:lineRule="exact"/>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w:t>
      </w:r>
      <w:r>
        <w:rPr>
          <w:rFonts w:hint="eastAsia" w:ascii="仿宋_GB2312" w:eastAsia="仿宋_GB2312"/>
          <w:b/>
          <w:bCs/>
          <w:color w:val="auto"/>
          <w:sz w:val="32"/>
          <w:szCs w:val="32"/>
          <w:lang w:val="en-US" w:eastAsia="zh-CN"/>
        </w:rPr>
        <w:t>节能环保支出（类）污染防治（款）水体（项）</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，主要用于环境治理劳务费。</w:t>
      </w:r>
    </w:p>
    <w:p>
      <w:pPr>
        <w:keepNext w:val="0"/>
        <w:keepLines w:val="0"/>
        <w:pageBreakBefore w:val="0"/>
        <w:numPr>
          <w:ilvl w:val="0"/>
          <w:numId w:val="0"/>
        </w:numPr>
        <w:kinsoku/>
        <w:wordWrap/>
        <w:overflowPunct/>
        <w:topLinePunct w:val="0"/>
        <w:autoSpaceDE/>
        <w:autoSpaceDN/>
        <w:bidi w:val="0"/>
        <w:spacing w:line="578" w:lineRule="exact"/>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w:t>
      </w:r>
      <w:r>
        <w:rPr>
          <w:rFonts w:hint="eastAsia" w:ascii="仿宋_GB2312" w:eastAsia="仿宋_GB2312"/>
          <w:b/>
          <w:bCs/>
          <w:color w:val="auto"/>
          <w:sz w:val="32"/>
          <w:szCs w:val="32"/>
          <w:lang w:val="en-US" w:eastAsia="zh-CN"/>
        </w:rPr>
        <w:t>农林水支出（类）扶贫（款）农村基础设施建设（项）</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256.34</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18.86</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，未完成部分是由于项目待决算报账，</w:t>
      </w:r>
      <w:r>
        <w:rPr>
          <w:rFonts w:hint="eastAsia" w:ascii="仿宋_GB2312" w:eastAsia="仿宋_GB2312"/>
          <w:color w:val="auto"/>
          <w:sz w:val="32"/>
          <w:szCs w:val="32"/>
          <w:lang w:val="en-US" w:eastAsia="zh-CN"/>
        </w:rPr>
        <w:t>主要用于马蹄坝村、杨家坪村等扶贫基础设施建设；</w:t>
      </w:r>
      <w:r>
        <w:rPr>
          <w:rFonts w:hint="eastAsia" w:ascii="仿宋_GB2312" w:eastAsia="仿宋_GB2312"/>
          <w:b/>
          <w:bCs/>
          <w:color w:val="auto"/>
          <w:sz w:val="32"/>
          <w:szCs w:val="32"/>
          <w:lang w:val="en-US" w:eastAsia="zh-CN"/>
        </w:rPr>
        <w:t>农林水支出（类）扶贫（款）其他扶贫支出（项）</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66.94</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w:t>
      </w:r>
      <w:r>
        <w:rPr>
          <w:rFonts w:hint="eastAsia" w:ascii="仿宋_GB2312" w:eastAsia="仿宋_GB2312"/>
          <w:b/>
          <w:bCs/>
          <w:color w:val="auto"/>
          <w:sz w:val="32"/>
          <w:szCs w:val="32"/>
          <w:lang w:val="en-US" w:eastAsia="zh-CN"/>
        </w:rPr>
        <w:t>农林水支出（类）农村综合改革（款）对村民委员会和村党支部的补助（项）</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422.05</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，主要用于村干部生活补助及村办公费开支。</w:t>
      </w:r>
    </w:p>
    <w:p>
      <w:pPr>
        <w:keepNext w:val="0"/>
        <w:keepLines w:val="0"/>
        <w:pageBreakBefore w:val="0"/>
        <w:numPr>
          <w:ilvl w:val="0"/>
          <w:numId w:val="0"/>
        </w:numPr>
        <w:kinsoku/>
        <w:wordWrap/>
        <w:overflowPunct/>
        <w:topLinePunct w:val="0"/>
        <w:autoSpaceDE/>
        <w:autoSpaceDN/>
        <w:bidi w:val="0"/>
        <w:spacing w:line="578" w:lineRule="exact"/>
        <w:ind w:firstLine="640" w:firstLineChars="200"/>
        <w:textAlignment w:val="auto"/>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6.</w:t>
      </w:r>
      <w:r>
        <w:rPr>
          <w:rFonts w:hint="eastAsia" w:ascii="仿宋_GB2312" w:eastAsia="仿宋_GB2312"/>
          <w:b/>
          <w:bCs/>
          <w:color w:val="auto"/>
          <w:sz w:val="32"/>
          <w:szCs w:val="32"/>
          <w:lang w:val="en-US" w:eastAsia="zh-CN"/>
        </w:rPr>
        <w:t>交通运输支出（类）公路水路运输（款）公路建设管理（项）:</w:t>
      </w:r>
      <w:r>
        <w:rPr>
          <w:rStyle w:val="16"/>
          <w:rFonts w:hint="eastAsia" w:ascii="仿宋" w:hAnsi="仿宋" w:eastAsia="仿宋" w:cstheme="minorBidi"/>
          <w:b w:val="0"/>
          <w:bCs/>
          <w:color w:val="000000"/>
          <w:sz w:val="32"/>
          <w:szCs w:val="32"/>
          <w:lang w:val="en-US" w:eastAsia="zh-CN"/>
        </w:rPr>
        <w:t>支出决算为16.4万元，完成预算100%</w:t>
      </w:r>
      <w:r>
        <w:rPr>
          <w:rFonts w:hint="eastAsia" w:ascii="仿宋_GB2312" w:eastAsia="仿宋_GB2312"/>
          <w:b/>
          <w:bCs/>
          <w:color w:val="auto"/>
          <w:sz w:val="32"/>
          <w:szCs w:val="32"/>
          <w:lang w:val="en-US" w:eastAsia="zh-CN"/>
        </w:rPr>
        <w:t>；交通运输支出（类）公路水路运输（款）公路运输管理（项）</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，主要用于办公费；</w:t>
      </w:r>
      <w:r>
        <w:rPr>
          <w:rFonts w:hint="eastAsia" w:ascii="仿宋_GB2312" w:eastAsia="仿宋_GB2312"/>
          <w:b/>
          <w:bCs/>
          <w:color w:val="auto"/>
          <w:sz w:val="32"/>
          <w:szCs w:val="32"/>
          <w:lang w:val="en-US" w:eastAsia="zh-CN"/>
        </w:rPr>
        <w:t>交通运输支出（类）公路水路运输（款）其他公路水路运输支出（项）：</w:t>
      </w:r>
      <w:r>
        <w:rPr>
          <w:rFonts w:hint="eastAsia" w:ascii="仿宋_GB2312" w:hAnsi="Times New Roman" w:eastAsia="仿宋_GB2312" w:cs="Times New Roman"/>
          <w:color w:val="auto"/>
          <w:sz w:val="32"/>
          <w:szCs w:val="32"/>
          <w:lang w:val="en-US" w:eastAsia="zh-CN"/>
        </w:rPr>
        <w:t>支出决算为20万元，完成预算100%。</w:t>
      </w:r>
    </w:p>
    <w:p>
      <w:pPr>
        <w:keepNext w:val="0"/>
        <w:keepLines w:val="0"/>
        <w:pageBreakBefore w:val="0"/>
        <w:numPr>
          <w:ilvl w:val="0"/>
          <w:numId w:val="0"/>
        </w:numPr>
        <w:kinsoku/>
        <w:wordWrap/>
        <w:overflowPunct/>
        <w:topLinePunct w:val="0"/>
        <w:autoSpaceDE/>
        <w:autoSpaceDN/>
        <w:bidi w:val="0"/>
        <w:spacing w:line="578" w:lineRule="exact"/>
        <w:ind w:firstLine="643" w:firstLineChars="200"/>
        <w:textAlignment w:val="auto"/>
        <w:outlineLvl w:val="9"/>
        <w:rPr>
          <w:rFonts w:ascii="仿宋" w:hAnsi="仿宋" w:eastAsia="仿宋"/>
          <w:b/>
          <w:color w:val="000000"/>
          <w:sz w:val="32"/>
          <w:szCs w:val="32"/>
        </w:rPr>
      </w:pPr>
      <w:r>
        <w:rPr>
          <w:rFonts w:hint="eastAsia" w:ascii="仿宋_GB2312" w:eastAsia="仿宋_GB2312"/>
          <w:b/>
          <w:bCs/>
          <w:color w:val="auto"/>
          <w:sz w:val="32"/>
          <w:szCs w:val="32"/>
          <w:lang w:val="en-US" w:eastAsia="zh-CN"/>
        </w:rPr>
        <w:t>7.住房保障支出（类）住房改革支出（款）住房公积金（项）</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支出决算</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43.4</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Fonts w:hint="eastAsia" w:ascii="仿宋_GB2312" w:eastAsia="仿宋_GB2312"/>
          <w:color w:val="auto"/>
          <w:sz w:val="32"/>
          <w:szCs w:val="32"/>
          <w:lang w:val="en-US" w:eastAsia="zh-CN"/>
        </w:rPr>
        <w:t>，主要用于住房公积金。</w:t>
      </w:r>
    </w:p>
    <w:p>
      <w:pPr>
        <w:tabs>
          <w:tab w:val="right" w:pos="8306"/>
        </w:tabs>
        <w:spacing w:line="600" w:lineRule="exact"/>
        <w:ind w:firstLine="640"/>
        <w:outlineLvl w:val="1"/>
        <w:rPr>
          <w:rStyle w:val="27"/>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34"/>
      <w:bookmarkEnd w:id="35"/>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1197.27</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844.53</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352.74</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3.8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76</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，决算数小于预算数（或与预算数持平）的主要原因是</w:t>
      </w:r>
      <w:r>
        <w:rPr>
          <w:rFonts w:hint="eastAsia" w:ascii="仿宋" w:hAnsi="仿宋" w:eastAsia="仿宋"/>
          <w:color w:val="auto"/>
          <w:sz w:val="32"/>
          <w:szCs w:val="32"/>
          <w:highlight w:val="none"/>
          <w:lang w:eastAsia="zh-CN"/>
        </w:rPr>
        <w:t>按照上级要求严格控制三公经费，逐年压减经费</w:t>
      </w:r>
      <w:r>
        <w:rPr>
          <w:rFonts w:hint="eastAsia" w:ascii="仿宋" w:hAnsi="仿宋" w:eastAsia="仿宋"/>
          <w:color w:val="auto"/>
          <w:sz w:val="32"/>
          <w:szCs w:val="32"/>
          <w:highlight w:val="none"/>
        </w:rPr>
        <w:t>。</w:t>
      </w:r>
    </w:p>
    <w:p>
      <w:pPr>
        <w:spacing w:line="600" w:lineRule="exact"/>
        <w:ind w:firstLine="640"/>
        <w:rPr>
          <w:rFonts w:ascii="仿宋" w:hAnsi="仿宋" w:eastAsia="仿宋"/>
          <w:b/>
          <w:color w:val="auto"/>
          <w:sz w:val="32"/>
          <w:szCs w:val="32"/>
          <w:highlight w:val="none"/>
        </w:rPr>
      </w:pP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pStyle w:val="2"/>
        <w:rPr>
          <w:rFonts w:hint="eastAsia" w:ascii="仿宋" w:hAnsi="仿宋" w:eastAsia="仿宋"/>
          <w:color w:val="auto"/>
          <w:sz w:val="32"/>
          <w:szCs w:val="32"/>
          <w:highlight w:val="none"/>
        </w:rPr>
      </w:pPr>
      <w:r>
        <w:drawing>
          <wp:anchor distT="0" distB="0" distL="114300" distR="114300" simplePos="0" relativeHeight="251661312" behindDoc="0" locked="0" layoutInCell="1" allowOverlap="1">
            <wp:simplePos x="0" y="0"/>
            <wp:positionH relativeFrom="column">
              <wp:posOffset>156845</wp:posOffset>
            </wp:positionH>
            <wp:positionV relativeFrom="paragraph">
              <wp:posOffset>981075</wp:posOffset>
            </wp:positionV>
            <wp:extent cx="5270500" cy="2644140"/>
            <wp:effectExtent l="4445" t="4445" r="20955" b="56515"/>
            <wp:wrapSquare wrapText="bothSides"/>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hint="eastAsia" w:ascii="仿宋_GB2312" w:hAnsi="Times New Roman" w:eastAsia="仿宋_GB2312" w:cs="Times New Roman"/>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，我单位无</w:t>
      </w:r>
      <w:r>
        <w:rPr>
          <w:rFonts w:hint="eastAsia" w:ascii="仿宋_GB2312" w:hAnsi="Times New Roman" w:eastAsia="仿宋_GB2312" w:cs="Times New Roman"/>
          <w:color w:val="auto"/>
          <w:sz w:val="32"/>
          <w:szCs w:val="32"/>
          <w:highlight w:val="none"/>
          <w:lang w:eastAsia="zh-CN"/>
        </w:rPr>
        <w:t>因公出国（境）情况</w:t>
      </w:r>
    </w:p>
    <w:p>
      <w:pPr>
        <w:spacing w:line="600" w:lineRule="exact"/>
        <w:ind w:firstLine="640"/>
        <w:rPr>
          <w:rFonts w:hint="eastAsia" w:ascii="仿宋_GB2312" w:eastAsia="仿宋_GB2312"/>
          <w:b/>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，我单位无公车。</w:t>
      </w:r>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3.8</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76</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w:t>
      </w:r>
      <w:r>
        <w:rPr>
          <w:rFonts w:hint="eastAsia" w:ascii="仿宋_GB2312" w:eastAsia="仿宋_GB2312"/>
          <w:color w:val="auto"/>
          <w:sz w:val="32"/>
          <w:szCs w:val="32"/>
          <w:highlight w:val="none"/>
          <w:lang w:eastAsia="zh-CN"/>
        </w:rPr>
        <w:t>节约开支。</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3.8</w:t>
      </w:r>
      <w:r>
        <w:rPr>
          <w:rFonts w:hint="eastAsia" w:ascii="仿宋_GB2312" w:eastAsia="仿宋_GB2312"/>
          <w:color w:val="auto"/>
          <w:sz w:val="32"/>
          <w:szCs w:val="32"/>
          <w:highlight w:val="none"/>
        </w:rPr>
        <w:t>万元，</w:t>
      </w:r>
      <w:r>
        <w:rPr>
          <w:rFonts w:hint="eastAsia" w:ascii="仿宋_GB2312" w:eastAsia="仿宋_GB2312"/>
          <w:color w:val="000000"/>
          <w:sz w:val="32"/>
          <w:szCs w:val="32"/>
        </w:rPr>
        <w:t>主要用于执行公务、开展业务活动开支的交通费、住宿费、用餐费等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125</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1275</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3.8</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lang w:val="en-US" w:eastAsia="zh-CN"/>
        </w:rPr>
        <w:t>接待上级部门检查指导工作人员用餐费</w:t>
      </w:r>
      <w:r>
        <w:rPr>
          <w:rFonts w:hint="eastAsia" w:ascii="仿宋_GB2312" w:eastAsia="仿宋_GB2312"/>
          <w:color w:val="auto"/>
          <w:sz w:val="32"/>
          <w:szCs w:val="32"/>
          <w:highlight w:val="none"/>
        </w:rPr>
        <w:t>。</w:t>
      </w:r>
    </w:p>
    <w:p>
      <w:pPr>
        <w:spacing w:line="600" w:lineRule="exact"/>
        <w:ind w:firstLine="643" w:firstLineChars="200"/>
        <w:rPr>
          <w:rFonts w:hint="eastAsia" w:ascii="仿宋_GB2312" w:eastAsia="仿宋_GB2312"/>
          <w:color w:val="auto"/>
          <w:sz w:val="32"/>
          <w:szCs w:val="32"/>
          <w:highlight w:val="none"/>
          <w:lang w:val="en-US"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w:t>
      </w:r>
    </w:p>
    <w:p>
      <w:pPr>
        <w:spacing w:line="600" w:lineRule="exact"/>
        <w:ind w:firstLine="640"/>
        <w:outlineLvl w:val="1"/>
        <w:rPr>
          <w:rStyle w:val="27"/>
          <w:rFonts w:ascii="黑体" w:hAnsi="黑体" w:eastAsia="黑体"/>
          <w:color w:val="auto"/>
          <w:highlight w:val="none"/>
        </w:rPr>
      </w:pPr>
      <w:bookmarkStart w:id="40" w:name="_Toc15396610"/>
      <w:bookmarkStart w:id="41" w:name="_Toc15377218"/>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7"/>
          <w:rFonts w:ascii="黑体" w:hAnsi="黑体" w:eastAsia="黑体"/>
          <w:b w:val="0"/>
          <w:color w:val="auto"/>
          <w:highlight w:val="none"/>
        </w:rPr>
      </w:pPr>
      <w:bookmarkStart w:id="42" w:name="_Toc15377219"/>
      <w:bookmarkStart w:id="43" w:name="_Toc15396611"/>
      <w:r>
        <w:rPr>
          <w:rStyle w:val="27"/>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7"/>
          <w:rFonts w:hint="eastAsia" w:ascii="黑体" w:hAnsi="黑体" w:eastAsia="黑体"/>
          <w:b w:val="0"/>
          <w:color w:val="auto"/>
          <w:highlight w:val="none"/>
        </w:rPr>
      </w:pPr>
      <w:bookmarkStart w:id="44" w:name="_Toc15396612"/>
      <w:bookmarkStart w:id="45" w:name="_Toc15377221"/>
      <w:r>
        <w:rPr>
          <w:rStyle w:val="27"/>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罗文</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363.14</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2.36</w:t>
      </w:r>
      <w:r>
        <w:rPr>
          <w:rFonts w:hint="eastAsia" w:ascii="仿宋_GB2312" w:eastAsia="仿宋_GB2312"/>
          <w:color w:val="auto"/>
          <w:sz w:val="32"/>
          <w:szCs w:val="32"/>
          <w:highlight w:val="none"/>
        </w:rPr>
        <w:t>万元。主要用于</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（具体工作）。授予中小企业合同金额</w:t>
      </w:r>
      <w:r>
        <w:rPr>
          <w:rFonts w:hint="eastAsia" w:ascii="仿宋_GB2312" w:eastAsia="仿宋_GB2312"/>
          <w:color w:val="auto"/>
          <w:sz w:val="32"/>
          <w:szCs w:val="32"/>
          <w:highlight w:val="none"/>
          <w:lang w:val="en-US" w:eastAsia="zh-CN"/>
        </w:rPr>
        <w:t>360.78</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99.35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罗文镇</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eastAsia="zh-CN"/>
        </w:rPr>
        <w:t>消防洒水。</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2021年民生资金1个项目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autoSpaceDE w:val="0"/>
        <w:autoSpaceDN w:val="0"/>
        <w:adjustRightInd w:val="0"/>
        <w:spacing w:line="600" w:lineRule="exact"/>
        <w:ind w:firstLine="643" w:firstLineChars="200"/>
        <w:jc w:val="both"/>
        <w:rPr>
          <w:rFonts w:ascii="仿宋" w:hAnsi="仿宋" w:eastAsia="仿宋"/>
          <w:b/>
          <w:bCs w:val="0"/>
          <w:color w:val="auto"/>
          <w:sz w:val="32"/>
          <w:szCs w:val="32"/>
          <w:highlight w:val="none"/>
        </w:rPr>
      </w:pPr>
      <w:r>
        <w:rPr>
          <w:rFonts w:hint="eastAsia" w:ascii="仿宋" w:hAnsi="仿宋" w:eastAsia="仿宋"/>
          <w:b/>
          <w:bCs w:val="0"/>
          <w:color w:val="auto"/>
          <w:sz w:val="32"/>
          <w:szCs w:val="32"/>
          <w:highlight w:val="none"/>
        </w:rPr>
        <w:t>（注：</w:t>
      </w:r>
      <w:r>
        <w:rPr>
          <w:rFonts w:hint="eastAsia" w:ascii="仿宋" w:hAnsi="仿宋" w:eastAsia="仿宋"/>
          <w:b/>
          <w:bCs w:val="0"/>
          <w:color w:val="auto"/>
          <w:sz w:val="32"/>
          <w:szCs w:val="32"/>
          <w:highlight w:val="none"/>
          <w:lang w:eastAsia="zh-CN"/>
        </w:rPr>
        <w:t>单位</w:t>
      </w:r>
      <w:r>
        <w:rPr>
          <w:rFonts w:hint="eastAsia" w:ascii="仿宋_GB2312" w:hAnsi="仿宋_GB2312" w:eastAsia="仿宋_GB2312" w:cs="仿宋_GB2312"/>
          <w:b/>
          <w:bCs w:val="0"/>
          <w:color w:val="auto"/>
          <w:sz w:val="32"/>
          <w:szCs w:val="32"/>
          <w:highlight w:val="none"/>
          <w:lang w:val="en-US" w:eastAsia="zh-CN"/>
        </w:rPr>
        <w:t>2021年特定目标类部门预算项目绩效目标自评表为本部门2021年部门整体支出绩效评价报告中涉及本单位的附表</w:t>
      </w:r>
      <w:r>
        <w:rPr>
          <w:rFonts w:hint="eastAsia" w:ascii="仿宋" w:hAnsi="仿宋" w:eastAsia="仿宋"/>
          <w:b/>
          <w:bCs w:val="0"/>
          <w:color w:val="auto"/>
          <w:sz w:val="32"/>
          <w:szCs w:val="32"/>
          <w:highlight w:val="none"/>
        </w:rPr>
        <w:t>）</w:t>
      </w:r>
    </w:p>
    <w:p>
      <w:pPr>
        <w:pStyle w:val="7"/>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6"/>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10.</w:t>
      </w:r>
      <w:r>
        <w:rPr>
          <w:rFonts w:hint="eastAsia" w:ascii="仿宋_GB2312" w:eastAsia="仿宋_GB2312"/>
          <w:color w:val="auto"/>
          <w:sz w:val="32"/>
          <w:szCs w:val="32"/>
          <w:highlight w:val="none"/>
        </w:rPr>
        <w:t>外交（类）…（款）…（项）：指……。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11.</w:t>
      </w:r>
      <w:r>
        <w:rPr>
          <w:rFonts w:hint="eastAsia" w:ascii="仿宋_GB2312" w:eastAsia="仿宋_GB2312"/>
          <w:color w:val="auto"/>
          <w:sz w:val="32"/>
          <w:szCs w:val="32"/>
          <w:highlight w:val="none"/>
        </w:rPr>
        <w:t>公共安全（类）…（款）…（项）：指……。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12.</w:t>
      </w:r>
      <w:r>
        <w:rPr>
          <w:rFonts w:hint="eastAsia" w:ascii="仿宋_GB2312" w:eastAsia="仿宋_GB2312"/>
          <w:color w:val="auto"/>
          <w:sz w:val="32"/>
          <w:szCs w:val="32"/>
          <w:highlight w:val="none"/>
        </w:rPr>
        <w:t>教育（类）…（款）…（项）：指……。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13.</w:t>
      </w:r>
      <w:r>
        <w:rPr>
          <w:rFonts w:hint="eastAsia" w:ascii="仿宋_GB2312" w:eastAsia="仿宋_GB2312"/>
          <w:color w:val="auto"/>
          <w:sz w:val="32"/>
          <w:szCs w:val="32"/>
          <w:highlight w:val="none"/>
        </w:rPr>
        <w:t>科学技术（类）…（款）…（项）：指……。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14.</w:t>
      </w:r>
      <w:r>
        <w:rPr>
          <w:rFonts w:hint="eastAsia" w:ascii="仿宋_GB2312" w:eastAsia="仿宋_GB2312"/>
          <w:color w:val="auto"/>
          <w:sz w:val="32"/>
          <w:szCs w:val="32"/>
          <w:highlight w:val="none"/>
        </w:rPr>
        <w:t>文化体育与传媒（类）…（款）…（项）：指……。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15.</w:t>
      </w:r>
      <w:r>
        <w:rPr>
          <w:rFonts w:hint="eastAsia" w:ascii="仿宋_GB2312" w:eastAsia="仿宋_GB2312"/>
          <w:color w:val="auto"/>
          <w:sz w:val="32"/>
          <w:szCs w:val="32"/>
          <w:highlight w:val="none"/>
        </w:rPr>
        <w:t>社会保障和就业（类）…（款）…（项）：指……。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16.</w:t>
      </w:r>
      <w:r>
        <w:rPr>
          <w:rFonts w:hint="eastAsia" w:ascii="仿宋_GB2312" w:eastAsia="仿宋_GB2312"/>
          <w:color w:val="auto"/>
          <w:sz w:val="32"/>
          <w:szCs w:val="32"/>
          <w:highlight w:val="none"/>
        </w:rPr>
        <w:t>医疗卫生与计划生育（类）…（款）…（项）：指……。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17.</w:t>
      </w:r>
      <w:r>
        <w:rPr>
          <w:rFonts w:hint="eastAsia" w:ascii="仿宋_GB2312" w:eastAsia="仿宋_GB2312"/>
          <w:color w:val="auto"/>
          <w:sz w:val="32"/>
          <w:szCs w:val="32"/>
          <w:highlight w:val="none"/>
        </w:rPr>
        <w:t>节能环保（类）…（款）…（项）：指……。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18.</w:t>
      </w:r>
      <w:r>
        <w:rPr>
          <w:rFonts w:hint="eastAsia" w:ascii="仿宋_GB2312" w:eastAsia="仿宋_GB2312"/>
          <w:color w:val="auto"/>
          <w:sz w:val="32"/>
          <w:szCs w:val="32"/>
          <w:highlight w:val="none"/>
        </w:rPr>
        <w:t>城乡社区（类）…（款）…（项）：指……。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19.</w:t>
      </w:r>
      <w:r>
        <w:rPr>
          <w:rFonts w:hint="eastAsia" w:ascii="仿宋_GB2312" w:eastAsia="仿宋_GB2312"/>
          <w:color w:val="auto"/>
          <w:sz w:val="32"/>
          <w:szCs w:val="32"/>
          <w:highlight w:val="none"/>
        </w:rPr>
        <w:t>农林水（类）…（款）…（项）：指……。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rPr>
        <w:t>交通运输（类）…（款）…（项）：指……。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21.</w:t>
      </w:r>
      <w:r>
        <w:rPr>
          <w:rFonts w:hint="eastAsia" w:ascii="仿宋_GB2312" w:eastAsia="仿宋_GB2312"/>
          <w:color w:val="auto"/>
          <w:sz w:val="32"/>
          <w:szCs w:val="32"/>
          <w:highlight w:val="none"/>
        </w:rPr>
        <w:t>资源勘探信息等（类）…（款）…（项）：指……。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22.</w:t>
      </w:r>
      <w:r>
        <w:rPr>
          <w:rFonts w:hint="eastAsia" w:ascii="仿宋_GB2312" w:eastAsia="仿宋_GB2312"/>
          <w:color w:val="auto"/>
          <w:sz w:val="32"/>
          <w:szCs w:val="32"/>
          <w:highlight w:val="none"/>
        </w:rPr>
        <w:t>商业服务业（类）…（款）…（项）：指……。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23.</w:t>
      </w:r>
      <w:r>
        <w:rPr>
          <w:rFonts w:hint="eastAsia" w:ascii="仿宋_GB2312" w:eastAsia="仿宋_GB2312"/>
          <w:color w:val="auto"/>
          <w:sz w:val="32"/>
          <w:szCs w:val="32"/>
          <w:highlight w:val="none"/>
        </w:rPr>
        <w:t>金融（类）…（款）…（项）：指……。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24.</w:t>
      </w:r>
      <w:r>
        <w:rPr>
          <w:rFonts w:hint="eastAsia" w:ascii="仿宋_GB2312" w:eastAsia="仿宋_GB2312"/>
          <w:color w:val="auto"/>
          <w:sz w:val="32"/>
          <w:szCs w:val="32"/>
          <w:highlight w:val="none"/>
        </w:rPr>
        <w:t>国土海洋气象等（类）…（款）…（项）：指……。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25.</w:t>
      </w:r>
      <w:r>
        <w:rPr>
          <w:rFonts w:hint="eastAsia" w:ascii="仿宋_GB2312" w:eastAsia="仿宋_GB2312"/>
          <w:color w:val="auto"/>
          <w:sz w:val="32"/>
          <w:szCs w:val="32"/>
          <w:highlight w:val="none"/>
        </w:rPr>
        <w:t>住房保障（类）…（款）…（项）：指……。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26.</w:t>
      </w:r>
      <w:r>
        <w:rPr>
          <w:rFonts w:hint="eastAsia" w:ascii="仿宋_GB2312" w:eastAsia="仿宋_GB2312"/>
          <w:color w:val="auto"/>
          <w:sz w:val="32"/>
          <w:szCs w:val="32"/>
          <w:highlight w:val="none"/>
        </w:rPr>
        <w:t>粮油物资储备（类）…（款）…（项）：指……。</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（解释本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决算报表中</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全部功能分类科目至项级，</w:t>
      </w:r>
      <w:r>
        <w:rPr>
          <w:rFonts w:hint="eastAsia" w:ascii="仿宋" w:hAnsi="仿宋" w:eastAsia="仿宋"/>
          <w:b/>
          <w:color w:val="auto"/>
          <w:sz w:val="32"/>
          <w:szCs w:val="32"/>
          <w:highlight w:val="none"/>
          <w:lang w:eastAsia="zh-CN"/>
        </w:rPr>
        <w:t>不涉及的科目请自行删除。</w:t>
      </w:r>
      <w:r>
        <w:rPr>
          <w:rFonts w:hint="eastAsia" w:ascii="仿宋" w:hAnsi="仿宋" w:eastAsia="仿宋"/>
          <w:b/>
          <w:color w:val="auto"/>
          <w:sz w:val="32"/>
          <w:szCs w:val="32"/>
          <w:highlight w:val="none"/>
        </w:rPr>
        <w:t>请参照《</w:t>
      </w:r>
      <w:r>
        <w:rPr>
          <w:rFonts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年政府收支分类科目》增减内容。）</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32.</w:t>
      </w:r>
      <w:r>
        <w:rPr>
          <w:rFonts w:hint="eastAsia" w:ascii="仿宋_GB2312" w:eastAsia="仿宋_GB2312"/>
          <w:color w:val="auto"/>
          <w:sz w:val="32"/>
          <w:szCs w:val="32"/>
          <w:highlight w:val="none"/>
        </w:rPr>
        <w:t>……。</w:t>
      </w:r>
    </w:p>
    <w:p>
      <w:pPr>
        <w:pStyle w:val="24"/>
        <w:spacing w:line="560" w:lineRule="exact"/>
        <w:ind w:firstLine="640" w:firstLineChars="200"/>
        <w:rPr>
          <w:rFonts w:ascii="仿宋_GB2312" w:eastAsia="仿宋_GB2312" w:cs="黑体"/>
          <w:color w:val="auto"/>
          <w:sz w:val="32"/>
          <w:szCs w:val="32"/>
          <w:highlight w:val="none"/>
        </w:rPr>
      </w:pPr>
    </w:p>
    <w:p>
      <w:pPr>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实际列支情况罗列，并根据本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职责职能增减名词解释内容。）</w:t>
      </w:r>
    </w:p>
    <w:p>
      <w:pPr>
        <w:spacing w:line="600" w:lineRule="exact"/>
        <w:jc w:val="center"/>
        <w:outlineLvl w:val="0"/>
        <w:rPr>
          <w:rStyle w:val="26"/>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52"/>
    </w:p>
    <w:p>
      <w:pPr>
        <w:spacing w:line="600" w:lineRule="exact"/>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 xml:space="preserve">1 </w:t>
      </w:r>
    </w:p>
    <w:p>
      <w:pPr>
        <w:spacing w:line="600" w:lineRule="exact"/>
        <w:jc w:val="center"/>
        <w:rPr>
          <w:rFonts w:ascii="方正小标宋简体" w:hAnsi="宋体" w:eastAsia="方正小标宋简体"/>
          <w:color w:val="000000"/>
          <w:kern w:val="0"/>
          <w:sz w:val="40"/>
          <w:szCs w:val="44"/>
          <w:lang w:val="zh-CN"/>
        </w:rPr>
      </w:pPr>
      <w:r>
        <w:rPr>
          <w:rFonts w:hint="eastAsia" w:ascii="黑体" w:hAnsi="黑体" w:eastAsia="黑体" w:cs="方正小标宋简体"/>
          <w:sz w:val="36"/>
          <w:szCs w:val="36"/>
          <w:lang w:eastAsia="zh-CN"/>
        </w:rPr>
        <w:t>罗文镇</w:t>
      </w: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lang w:val="en-US" w:eastAsia="zh-CN"/>
        </w:rPr>
        <w:t>21</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spacing w:line="580" w:lineRule="exact"/>
        <w:ind w:firstLine="640" w:firstLineChars="200"/>
        <w:rPr>
          <w:lang w:val="zh-CN"/>
        </w:rPr>
      </w:pPr>
      <w:r>
        <w:rPr>
          <w:rFonts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w:t>
      </w:r>
      <w:r>
        <w:rPr>
          <w:rFonts w:hint="eastAsia" w:ascii="仿宋_GB2312" w:hAnsi="仿宋" w:eastAsia="仿宋_GB2312"/>
          <w:sz w:val="32"/>
          <w:szCs w:val="32"/>
          <w:lang w:eastAsia="zh-CN"/>
        </w:rPr>
        <w:t>罗文镇</w:t>
      </w:r>
      <w:r>
        <w:rPr>
          <w:rFonts w:hint="eastAsia" w:ascii="仿宋_GB2312" w:hAnsi="仿宋" w:eastAsia="仿宋_GB2312"/>
          <w:sz w:val="32"/>
          <w:szCs w:val="32"/>
        </w:rPr>
        <w:t>内设机构包括党政办公室、财政所、社会事务政务服务中心、民政办</w:t>
      </w:r>
      <w:r>
        <w:rPr>
          <w:rFonts w:hint="eastAsia" w:ascii="仿宋_GB2312" w:hAnsi="仿宋" w:eastAsia="仿宋_GB2312"/>
          <w:sz w:val="32"/>
          <w:szCs w:val="32"/>
          <w:lang w:eastAsia="zh-CN"/>
        </w:rPr>
        <w:t>、项目办</w:t>
      </w:r>
      <w:r>
        <w:rPr>
          <w:rFonts w:hint="eastAsia" w:ascii="仿宋_GB2312" w:hAnsi="仿宋" w:eastAsia="仿宋_GB2312"/>
          <w:sz w:val="32"/>
          <w:szCs w:val="32"/>
        </w:rPr>
        <w:t>等，与</w:t>
      </w:r>
      <w:r>
        <w:rPr>
          <w:rFonts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年相比，没有变化。</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（二）</w:t>
      </w:r>
      <w:r>
        <w:rPr>
          <w:rFonts w:hint="eastAsia" w:ascii="仿宋_GB2312" w:hAnsi="宋体" w:eastAsia="仿宋_GB2312" w:cs="宋体"/>
          <w:color w:val="000000"/>
          <w:kern w:val="0"/>
          <w:sz w:val="32"/>
          <w:szCs w:val="32"/>
          <w:shd w:val="clear" w:color="auto" w:fill="FFFFFF"/>
          <w:lang w:val="zh-CN"/>
        </w:rPr>
        <w:t>机构职能。</w:t>
      </w:r>
    </w:p>
    <w:p>
      <w:pPr>
        <w:ind w:left="-359" w:leftChars="-171" w:firstLine="640" w:firstLineChars="200"/>
        <w:rPr>
          <w:lang w:val="zh-CN"/>
        </w:rPr>
      </w:pPr>
      <w:r>
        <w:rPr>
          <w:rFonts w:hint="eastAsia" w:ascii="仿宋_GB2312" w:hAnsi="Calibri" w:eastAsia="仿宋_GB2312" w:cs="仿宋"/>
          <w:color w:val="000000"/>
          <w:kern w:val="0"/>
          <w:sz w:val="32"/>
          <w:szCs w:val="32"/>
        </w:rPr>
        <w:t>执行本行政区域内的经济和社会发展计划、预算，管理本行政区域内的经济、教育、科学、文化、卫生、体育事业和财政、民政、公安、司法行政、计划生育等行政工作；协调好本区域与外地的经济交流与合作</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教育和管理全镇干部群众，抓好经济建设、组织经济运行，促进经济发展</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维护社会稳定</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完成市委、市政府安排的其他工</w:t>
      </w:r>
      <w:r>
        <w:rPr>
          <w:rFonts w:hint="eastAsia" w:ascii="仿宋_GB2312" w:hAnsi="Calibri" w:eastAsia="仿宋_GB2312" w:cs="仿宋"/>
          <w:color w:val="000000"/>
          <w:kern w:val="0"/>
          <w:sz w:val="32"/>
          <w:szCs w:val="32"/>
          <w:lang w:eastAsia="zh-CN"/>
        </w:rPr>
        <w:t>作</w:t>
      </w:r>
      <w:r>
        <w:rPr>
          <w:rFonts w:hint="eastAsia" w:ascii="仿宋_GB2312" w:hAnsi="Calibri" w:eastAsia="仿宋_GB2312" w:cs="仿宋"/>
          <w:color w:val="000000"/>
          <w:kern w:val="0"/>
          <w:sz w:val="32"/>
          <w:szCs w:val="32"/>
        </w:rPr>
        <w:t>。</w:t>
      </w:r>
    </w:p>
    <w:p>
      <w:pPr>
        <w:widowControl/>
        <w:numPr>
          <w:ilvl w:val="0"/>
          <w:numId w:val="6"/>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snapToGrid w:val="0"/>
        <w:spacing w:line="520" w:lineRule="exact"/>
        <w:ind w:firstLine="640" w:firstLineChars="200"/>
        <w:rPr>
          <w:lang w:val="zh-CN"/>
        </w:rPr>
      </w:pPr>
      <w:r>
        <w:rPr>
          <w:rFonts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w:t>
      </w:r>
      <w:r>
        <w:rPr>
          <w:rFonts w:hint="eastAsia" w:ascii="仿宋_GB2312" w:hAnsi="仿宋" w:eastAsia="仿宋_GB2312"/>
          <w:sz w:val="32"/>
          <w:szCs w:val="32"/>
          <w:lang w:eastAsia="zh-CN"/>
        </w:rPr>
        <w:t>罗文镇</w:t>
      </w:r>
      <w:r>
        <w:rPr>
          <w:rFonts w:hint="eastAsia" w:ascii="仿宋_GB2312" w:hAnsi="仿宋" w:eastAsia="仿宋_GB2312"/>
          <w:sz w:val="32"/>
          <w:szCs w:val="32"/>
        </w:rPr>
        <w:t>编制人数</w:t>
      </w:r>
      <w:r>
        <w:rPr>
          <w:rFonts w:hint="eastAsia" w:ascii="仿宋_GB2312" w:hAnsi="仿宋" w:eastAsia="仿宋_GB2312"/>
          <w:sz w:val="32"/>
          <w:szCs w:val="32"/>
          <w:lang w:val="en-US" w:eastAsia="zh-CN"/>
        </w:rPr>
        <w:t>59</w:t>
      </w:r>
      <w:r>
        <w:rPr>
          <w:rFonts w:hint="eastAsia" w:ascii="仿宋_GB2312" w:hAnsi="仿宋" w:eastAsia="仿宋_GB2312"/>
          <w:sz w:val="32"/>
          <w:szCs w:val="32"/>
        </w:rPr>
        <w:t>人，其中行政编制</w:t>
      </w:r>
      <w:r>
        <w:rPr>
          <w:rFonts w:hint="eastAsia" w:ascii="仿宋_GB2312" w:hAnsi="仿宋" w:eastAsia="仿宋_GB2312"/>
          <w:sz w:val="32"/>
          <w:szCs w:val="32"/>
          <w:lang w:val="en-US" w:eastAsia="zh-CN"/>
        </w:rPr>
        <w:t>27</w:t>
      </w:r>
      <w:r>
        <w:rPr>
          <w:rFonts w:hint="eastAsia" w:ascii="仿宋_GB2312" w:hAnsi="仿宋" w:eastAsia="仿宋_GB2312"/>
          <w:sz w:val="32"/>
          <w:szCs w:val="32"/>
        </w:rPr>
        <w:t>人，</w:t>
      </w:r>
      <w:r>
        <w:rPr>
          <w:rFonts w:hint="eastAsia" w:ascii="仿宋_GB2312" w:hAnsi="仿宋" w:eastAsia="仿宋_GB2312"/>
          <w:sz w:val="32"/>
          <w:szCs w:val="32"/>
          <w:lang w:eastAsia="zh-CN"/>
        </w:rPr>
        <w:t>工勤</w:t>
      </w:r>
      <w:r>
        <w:rPr>
          <w:rFonts w:hint="eastAsia" w:ascii="仿宋_GB2312" w:hAnsi="仿宋" w:eastAsia="仿宋_GB2312"/>
          <w:sz w:val="32"/>
          <w:szCs w:val="32"/>
          <w:lang w:val="en-US" w:eastAsia="zh-CN"/>
        </w:rPr>
        <w:t>1人，</w:t>
      </w:r>
      <w:r>
        <w:rPr>
          <w:rFonts w:hint="eastAsia" w:ascii="仿宋_GB2312" w:hAnsi="仿宋" w:eastAsia="仿宋_GB2312"/>
          <w:sz w:val="32"/>
          <w:szCs w:val="32"/>
        </w:rPr>
        <w:t>事业编制</w:t>
      </w:r>
      <w:r>
        <w:rPr>
          <w:rFonts w:hint="eastAsia" w:ascii="仿宋_GB2312" w:hAnsi="仿宋" w:eastAsia="仿宋_GB2312"/>
          <w:sz w:val="32"/>
          <w:szCs w:val="32"/>
          <w:lang w:val="en-US" w:eastAsia="zh-CN"/>
        </w:rPr>
        <w:t>31</w:t>
      </w:r>
      <w:r>
        <w:rPr>
          <w:rFonts w:hint="eastAsia" w:ascii="仿宋_GB2312" w:hAnsi="仿宋" w:eastAsia="仿宋_GB2312"/>
          <w:sz w:val="32"/>
          <w:szCs w:val="32"/>
        </w:rPr>
        <w:t>人。20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年末有财政供养人员</w:t>
      </w:r>
      <w:r>
        <w:rPr>
          <w:rFonts w:hint="eastAsia" w:ascii="仿宋_GB2312" w:hAnsi="仿宋" w:eastAsia="仿宋_GB2312"/>
          <w:sz w:val="32"/>
          <w:szCs w:val="32"/>
          <w:lang w:val="en-US" w:eastAsia="zh-CN"/>
        </w:rPr>
        <w:t>54</w:t>
      </w:r>
      <w:r>
        <w:rPr>
          <w:rFonts w:hint="eastAsia" w:ascii="仿宋_GB2312" w:hAnsi="仿宋" w:eastAsia="仿宋_GB2312"/>
          <w:sz w:val="32"/>
          <w:szCs w:val="32"/>
        </w:rPr>
        <w:t>人，其中</w:t>
      </w:r>
      <w:r>
        <w:rPr>
          <w:rFonts w:hint="eastAsia" w:ascii="仿宋_GB2312" w:hAnsi="仿宋" w:eastAsia="仿宋_GB2312"/>
          <w:sz w:val="32"/>
          <w:szCs w:val="32"/>
          <w:lang w:val="en-US" w:eastAsia="zh-CN"/>
        </w:rPr>
        <w:t>行政人员29</w:t>
      </w:r>
      <w:r>
        <w:rPr>
          <w:rFonts w:hint="eastAsia" w:ascii="仿宋_GB2312" w:hAnsi="仿宋" w:eastAsia="仿宋_GB2312"/>
          <w:sz w:val="32"/>
          <w:szCs w:val="32"/>
        </w:rPr>
        <w:t>人，工勤人员</w:t>
      </w:r>
      <w:r>
        <w:rPr>
          <w:rFonts w:hint="eastAsia" w:ascii="仿宋_GB2312" w:hAnsi="仿宋" w:eastAsia="仿宋_GB2312"/>
          <w:sz w:val="32"/>
          <w:szCs w:val="32"/>
          <w:lang w:val="en-US" w:eastAsia="zh-CN"/>
        </w:rPr>
        <w:t>1</w:t>
      </w:r>
      <w:r>
        <w:rPr>
          <w:rFonts w:hint="eastAsia" w:ascii="仿宋_GB2312" w:hAnsi="仿宋" w:eastAsia="仿宋_GB2312"/>
          <w:sz w:val="32"/>
          <w:szCs w:val="32"/>
        </w:rPr>
        <w:t>人，事业人员</w:t>
      </w:r>
      <w:r>
        <w:rPr>
          <w:rFonts w:hint="eastAsia" w:ascii="仿宋_GB2312" w:hAnsi="仿宋" w:eastAsia="仿宋_GB2312"/>
          <w:sz w:val="32"/>
          <w:szCs w:val="32"/>
          <w:lang w:val="en-US" w:eastAsia="zh-CN"/>
        </w:rPr>
        <w:t>24</w:t>
      </w:r>
      <w:r>
        <w:rPr>
          <w:rFonts w:hint="eastAsia" w:ascii="仿宋_GB2312" w:hAnsi="仿宋" w:eastAsia="仿宋_GB2312"/>
          <w:sz w:val="32"/>
          <w:szCs w:val="32"/>
        </w:rPr>
        <w:t>人</w:t>
      </w:r>
      <w:r>
        <w:rPr>
          <w:rFonts w:hint="eastAsia" w:ascii="仿宋_GB2312" w:hAnsi="仿宋" w:eastAsia="仿宋_GB2312"/>
          <w:sz w:val="32"/>
          <w:szCs w:val="32"/>
          <w:lang w:eastAsia="zh-CN"/>
        </w:rPr>
        <w:t>。</w:t>
      </w:r>
      <w:r>
        <w:rPr>
          <w:rFonts w:hint="eastAsia" w:ascii="仿宋_GB2312" w:hAnsi="仿宋" w:eastAsia="仿宋_GB2312"/>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w:t>
      </w:r>
      <w:r>
        <w:rPr>
          <w:rFonts w:hint="eastAsia" w:ascii="仿宋_GB2312" w:hAnsi="宋体" w:eastAsia="仿宋_GB2312" w:cs="宋体"/>
          <w:color w:val="000000"/>
          <w:kern w:val="0"/>
          <w:sz w:val="32"/>
          <w:szCs w:val="32"/>
          <w:shd w:val="clear" w:color="auto" w:fill="FFFFFF"/>
          <w:lang w:val="en-US" w:eastAsia="zh-CN"/>
        </w:rPr>
        <w:t>21</w:t>
      </w:r>
      <w:r>
        <w:rPr>
          <w:rFonts w:hint="eastAsia" w:ascii="仿宋_GB2312" w:hAnsi="宋体" w:eastAsia="仿宋_GB2312" w:cs="宋体"/>
          <w:color w:val="000000"/>
          <w:kern w:val="0"/>
          <w:sz w:val="32"/>
          <w:szCs w:val="32"/>
          <w:shd w:val="clear" w:color="auto" w:fill="FFFFFF"/>
          <w:lang w:val="zh-CN"/>
        </w:rPr>
        <w:t>年度部门整体资金收入</w:t>
      </w:r>
      <w:r>
        <w:rPr>
          <w:rFonts w:hint="eastAsia" w:ascii="仿宋_GB2312" w:hAnsi="宋体" w:eastAsia="仿宋_GB2312" w:cs="宋体"/>
          <w:color w:val="000000"/>
          <w:kern w:val="0"/>
          <w:sz w:val="32"/>
          <w:szCs w:val="32"/>
          <w:shd w:val="clear" w:color="auto" w:fill="FFFFFF"/>
          <w:lang w:val="en-US" w:eastAsia="zh-CN"/>
        </w:rPr>
        <w:t>2831.54</w:t>
      </w:r>
      <w:r>
        <w:rPr>
          <w:rFonts w:hint="eastAsia" w:ascii="仿宋_GB2312" w:hAnsi="宋体" w:eastAsia="仿宋_GB2312" w:cs="宋体"/>
          <w:color w:val="000000"/>
          <w:kern w:val="0"/>
          <w:sz w:val="32"/>
          <w:szCs w:val="32"/>
          <w:shd w:val="clear" w:color="auto" w:fill="FFFFFF"/>
          <w:lang w:val="zh-CN"/>
        </w:rPr>
        <w:t>万元。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w:t>
      </w:r>
      <w:r>
        <w:rPr>
          <w:rFonts w:hint="eastAsia" w:ascii="仿宋_GB2312" w:hAnsi="宋体" w:eastAsia="仿宋_GB2312" w:cs="宋体"/>
          <w:color w:val="000000"/>
          <w:kern w:val="0"/>
          <w:sz w:val="32"/>
          <w:szCs w:val="32"/>
          <w:shd w:val="clear" w:color="auto" w:fill="FFFFFF"/>
          <w:lang w:val="en-US" w:eastAsia="zh-CN"/>
        </w:rPr>
        <w:t>21</w:t>
      </w:r>
      <w:r>
        <w:rPr>
          <w:rFonts w:hint="eastAsia" w:ascii="仿宋_GB2312" w:hAnsi="宋体" w:eastAsia="仿宋_GB2312" w:cs="宋体"/>
          <w:color w:val="000000"/>
          <w:kern w:val="0"/>
          <w:sz w:val="32"/>
          <w:szCs w:val="32"/>
          <w:shd w:val="clear" w:color="auto" w:fill="FFFFFF"/>
          <w:lang w:val="zh-CN"/>
        </w:rPr>
        <w:t>年度部门整体资金支出</w:t>
      </w:r>
      <w:r>
        <w:rPr>
          <w:rFonts w:hint="eastAsia" w:ascii="仿宋_GB2312" w:hAnsi="宋体" w:eastAsia="仿宋_GB2312" w:cs="宋体"/>
          <w:color w:val="000000"/>
          <w:kern w:val="0"/>
          <w:sz w:val="32"/>
          <w:szCs w:val="32"/>
          <w:shd w:val="clear" w:color="auto" w:fill="FFFFFF"/>
          <w:lang w:val="en-US" w:eastAsia="zh-CN"/>
        </w:rPr>
        <w:t>1694.14</w:t>
      </w:r>
      <w:r>
        <w:rPr>
          <w:rFonts w:hint="eastAsia" w:ascii="仿宋_GB2312" w:hAnsi="宋体" w:eastAsia="仿宋_GB2312" w:cs="宋体"/>
          <w:color w:val="000000"/>
          <w:kern w:val="0"/>
          <w:sz w:val="32"/>
          <w:szCs w:val="32"/>
          <w:shd w:val="clear" w:color="auto" w:fill="FFFFFF"/>
          <w:lang w:val="zh-CN"/>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牢固树立</w:t>
      </w:r>
      <w:r>
        <w:rPr>
          <w:rFonts w:ascii="仿宋_GB2312" w:eastAsia="仿宋_GB2312"/>
          <w:color w:val="000000"/>
          <w:sz w:val="32"/>
          <w:szCs w:val="32"/>
        </w:rPr>
        <w:t>“</w:t>
      </w:r>
      <w:r>
        <w:rPr>
          <w:rFonts w:hint="eastAsia" w:ascii="仿宋_GB2312" w:eastAsia="仿宋_GB2312"/>
          <w:color w:val="000000"/>
          <w:sz w:val="32"/>
          <w:szCs w:val="32"/>
        </w:rPr>
        <w:t>要吃饭，保稳定，促发展</w:t>
      </w:r>
      <w:r>
        <w:rPr>
          <w:rFonts w:ascii="仿宋_GB2312" w:eastAsia="仿宋_GB2312"/>
          <w:color w:val="000000"/>
          <w:sz w:val="32"/>
          <w:szCs w:val="32"/>
        </w:rPr>
        <w:t>,</w:t>
      </w:r>
      <w:r>
        <w:rPr>
          <w:rFonts w:hint="eastAsia" w:ascii="仿宋_GB2312" w:eastAsia="仿宋_GB2312"/>
          <w:color w:val="000000"/>
          <w:sz w:val="32"/>
          <w:szCs w:val="32"/>
        </w:rPr>
        <w:t>过紧日子</w:t>
      </w:r>
      <w:r>
        <w:rPr>
          <w:rFonts w:ascii="仿宋_GB2312" w:eastAsia="仿宋_GB2312"/>
          <w:color w:val="000000"/>
          <w:sz w:val="32"/>
          <w:szCs w:val="32"/>
        </w:rPr>
        <w:t>”</w:t>
      </w:r>
      <w:r>
        <w:rPr>
          <w:rFonts w:hint="eastAsia" w:ascii="仿宋_GB2312" w:eastAsia="仿宋_GB2312"/>
          <w:color w:val="000000"/>
          <w:sz w:val="32"/>
          <w:szCs w:val="32"/>
        </w:rPr>
        <w:t>的意识，确保机关、事业单位人员工资、维稳经费、民政定补对象的正常发放和机关正常运转，同时积极</w:t>
      </w:r>
      <w:r>
        <w:rPr>
          <w:rFonts w:hint="eastAsia" w:ascii="仿宋_GB2312" w:eastAsia="仿宋_GB2312"/>
          <w:color w:val="000000"/>
          <w:sz w:val="32"/>
          <w:szCs w:val="32"/>
          <w:lang w:eastAsia="zh-CN"/>
        </w:rPr>
        <w:t>推动扶贫项目开展，</w:t>
      </w:r>
      <w:r>
        <w:rPr>
          <w:rFonts w:hint="eastAsia" w:ascii="仿宋_GB2312" w:eastAsia="仿宋_GB2312"/>
          <w:color w:val="000000"/>
          <w:sz w:val="32"/>
          <w:szCs w:val="32"/>
        </w:rPr>
        <w:t>推动</w:t>
      </w:r>
      <w:r>
        <w:rPr>
          <w:rFonts w:hint="eastAsia" w:ascii="仿宋_GB2312" w:eastAsia="仿宋_GB2312"/>
          <w:color w:val="000000"/>
          <w:sz w:val="32"/>
          <w:szCs w:val="32"/>
          <w:lang w:eastAsia="zh-CN"/>
        </w:rPr>
        <w:t>全镇</w:t>
      </w:r>
      <w:r>
        <w:rPr>
          <w:rFonts w:hint="eastAsia" w:ascii="仿宋_GB2312" w:eastAsia="仿宋_GB2312"/>
          <w:color w:val="000000"/>
          <w:sz w:val="32"/>
          <w:szCs w:val="32"/>
        </w:rPr>
        <w:t>各项工作和社会事业更好地向前发展。</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ind w:firstLine="640" w:firstLineChars="200"/>
        <w:jc w:val="left"/>
        <w:textAlignment w:val="baseline"/>
        <w:rPr>
          <w:rFonts w:ascii="仿宋_GB2312" w:eastAsia="仿宋_GB2312"/>
          <w:color w:val="000000"/>
          <w:sz w:val="32"/>
          <w:szCs w:val="32"/>
        </w:rPr>
      </w:pPr>
      <w:r>
        <w:rPr>
          <w:rFonts w:hint="eastAsia" w:ascii="仿宋_GB2312" w:eastAsia="仿宋_GB2312"/>
          <w:color w:val="000000"/>
          <w:sz w:val="32"/>
          <w:szCs w:val="32"/>
        </w:rPr>
        <w:t>在</w:t>
      </w:r>
      <w:r>
        <w:rPr>
          <w:rFonts w:hint="eastAsia" w:ascii="仿宋_GB2312" w:eastAsia="仿宋_GB2312"/>
          <w:color w:val="000000"/>
          <w:sz w:val="32"/>
          <w:szCs w:val="32"/>
          <w:lang w:eastAsia="zh-CN"/>
        </w:rPr>
        <w:t>市委、市政府、市</w:t>
      </w:r>
      <w:r>
        <w:rPr>
          <w:rFonts w:hint="eastAsia" w:ascii="仿宋_GB2312" w:eastAsia="仿宋_GB2312"/>
          <w:color w:val="000000"/>
          <w:sz w:val="32"/>
          <w:szCs w:val="32"/>
        </w:rPr>
        <w:t>财政局的指导</w:t>
      </w:r>
      <w:r>
        <w:rPr>
          <w:rFonts w:hint="eastAsia" w:ascii="仿宋_GB2312" w:eastAsia="仿宋_GB2312"/>
          <w:color w:val="000000"/>
          <w:sz w:val="32"/>
          <w:szCs w:val="32"/>
          <w:lang w:eastAsia="zh-CN"/>
        </w:rPr>
        <w:t>和</w:t>
      </w:r>
      <w:r>
        <w:rPr>
          <w:rFonts w:hint="eastAsia" w:ascii="仿宋_GB2312" w:eastAsia="仿宋_GB2312"/>
          <w:color w:val="000000"/>
          <w:sz w:val="32"/>
          <w:szCs w:val="32"/>
        </w:rPr>
        <w:t>监督下，一是提高了专款专用能力。各种资金有专门的走向，减少了资金的中转环节，避免了中途的截留挪用；二是</w:t>
      </w:r>
      <w:r>
        <w:rPr>
          <w:rFonts w:hint="eastAsia" w:ascii="仿宋_GB2312" w:eastAsia="仿宋_GB2312"/>
          <w:color w:val="000000"/>
          <w:sz w:val="32"/>
          <w:szCs w:val="32"/>
          <w:lang w:eastAsia="zh-CN"/>
        </w:rPr>
        <w:t>乡镇</w:t>
      </w:r>
      <w:r>
        <w:rPr>
          <w:rFonts w:hint="eastAsia" w:ascii="仿宋_GB2312" w:eastAsia="仿宋_GB2312"/>
          <w:color w:val="000000"/>
          <w:sz w:val="32"/>
          <w:szCs w:val="32"/>
        </w:rPr>
        <w:t>财务管理得到有效规范。如工程类资金的支付，必须附有预算、合同（协议），工程结束后，还要有工程决算、相关部门的验收单等；</w:t>
      </w:r>
      <w:r>
        <w:rPr>
          <w:rFonts w:ascii="仿宋_GB2312" w:eastAsia="仿宋_GB2312"/>
          <w:color w:val="000000"/>
          <w:sz w:val="32"/>
          <w:szCs w:val="32"/>
        </w:rPr>
        <w:t xml:space="preserve"> </w:t>
      </w:r>
      <w:r>
        <w:rPr>
          <w:rFonts w:hint="eastAsia" w:ascii="仿宋_GB2312" w:eastAsia="仿宋_GB2312"/>
          <w:color w:val="000000"/>
          <w:sz w:val="32"/>
          <w:szCs w:val="32"/>
        </w:rPr>
        <w:t>三是约束了非正常性开支，严格控制支出及支出顺序，先保工资发放，再保运转和重点支出，有利于各项工作的正常开展；</w:t>
      </w:r>
      <w:r>
        <w:rPr>
          <w:rFonts w:hint="eastAsia" w:ascii="仿宋_GB2312" w:eastAsia="仿宋_GB2312"/>
          <w:color w:val="000000"/>
          <w:sz w:val="32"/>
          <w:szCs w:val="32"/>
          <w:lang w:eastAsia="zh-CN"/>
        </w:rPr>
        <w:t>四</w:t>
      </w:r>
      <w:r>
        <w:rPr>
          <w:rFonts w:hint="eastAsia" w:ascii="仿宋_GB2312" w:eastAsia="仿宋_GB2312"/>
          <w:color w:val="000000"/>
          <w:sz w:val="32"/>
          <w:szCs w:val="32"/>
        </w:rPr>
        <w:t>是规范了会计核算，确保会计信息质量。规范了会计核算程序，统一了核算口径，确保会计信息质量，对会计档案资料的规范和保管都起到了积极的促进作用；</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是严格控制非必要性支出，集中财力办大事。</w:t>
      </w:r>
    </w:p>
    <w:p>
      <w:pPr>
        <w:pStyle w:val="2"/>
        <w:rPr>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ind w:firstLine="640" w:firstLineChars="200"/>
        <w:jc w:val="left"/>
        <w:textAlignment w:val="baseline"/>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我镇</w:t>
      </w:r>
      <w:r>
        <w:rPr>
          <w:rFonts w:hint="eastAsia" w:ascii="仿宋_GB2312" w:eastAsia="仿宋_GB2312"/>
          <w:color w:val="000000"/>
          <w:sz w:val="32"/>
          <w:szCs w:val="32"/>
        </w:rPr>
        <w:t>在上级财政部门的支持下，努力搞好各项工作，各项社会事业迅速发展，</w:t>
      </w:r>
      <w:r>
        <w:rPr>
          <w:rFonts w:hint="eastAsia" w:ascii="仿宋_GB2312" w:eastAsia="仿宋_GB2312"/>
          <w:color w:val="000000"/>
          <w:sz w:val="32"/>
          <w:szCs w:val="32"/>
          <w:lang w:eastAsia="zh-CN"/>
        </w:rPr>
        <w:t>社会</w:t>
      </w:r>
      <w:r>
        <w:rPr>
          <w:rFonts w:hint="eastAsia" w:ascii="仿宋_GB2312" w:eastAsia="仿宋_GB2312"/>
          <w:color w:val="000000"/>
          <w:sz w:val="32"/>
          <w:szCs w:val="32"/>
        </w:rPr>
        <w:t>效益显著提高，农民收入明显增加，人民群众安居乐业，</w:t>
      </w:r>
      <w:r>
        <w:rPr>
          <w:rFonts w:hint="eastAsia" w:ascii="仿宋_GB2312" w:eastAsia="仿宋_GB2312"/>
          <w:color w:val="000000"/>
          <w:sz w:val="32"/>
          <w:szCs w:val="32"/>
          <w:lang w:eastAsia="zh-CN"/>
        </w:rPr>
        <w:t>全镇</w:t>
      </w:r>
      <w:r>
        <w:rPr>
          <w:rFonts w:hint="eastAsia" w:ascii="仿宋_GB2312" w:eastAsia="仿宋_GB2312"/>
          <w:color w:val="000000"/>
          <w:sz w:val="32"/>
          <w:szCs w:val="32"/>
        </w:rPr>
        <w:t>农村经济总收入呈现高速增长态势，为实现全面建成小康社会的奋斗目标奠定了良好的基础。</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spacing w:line="600" w:lineRule="exact"/>
              <w:jc w:val="center"/>
              <w:rPr>
                <w:rFonts w:ascii="方正小标宋简体" w:hAnsi="宋体" w:eastAsia="方正小标宋简体"/>
                <w:color w:val="000000"/>
                <w:kern w:val="0"/>
                <w:sz w:val="44"/>
                <w:szCs w:val="44"/>
                <w:lang w:val="zh-CN"/>
              </w:rPr>
            </w:pPr>
            <w:bookmarkStart w:id="53" w:name="_Toc15396618"/>
            <w:r>
              <w:rPr>
                <w:rFonts w:hint="eastAsia" w:ascii="方正小标宋简体" w:hAnsi="宋体" w:eastAsia="方正小标宋简体"/>
                <w:color w:val="000000"/>
                <w:kern w:val="0"/>
                <w:sz w:val="44"/>
                <w:szCs w:val="44"/>
                <w:lang w:eastAsia="zh-CN"/>
              </w:rPr>
              <w:t>罗文镇</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21</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lang w:val="zh-CN"/>
              </w:rPr>
            </w:pPr>
            <w:r>
              <w:rPr>
                <w:rFonts w:hint="eastAsia" w:ascii="仿宋_GB2312" w:hAnsi="宋体" w:eastAsia="仿宋_GB2312"/>
                <w:sz w:val="32"/>
                <w:szCs w:val="32"/>
                <w:lang w:val="zh-CN"/>
              </w:rPr>
              <w:t>项目年初预算</w:t>
            </w:r>
            <w:r>
              <w:rPr>
                <w:rFonts w:hint="eastAsia" w:ascii="仿宋_GB2312" w:hAnsi="宋体" w:eastAsia="仿宋_GB2312"/>
                <w:sz w:val="32"/>
                <w:szCs w:val="32"/>
                <w:lang w:val="en-US" w:eastAsia="zh-CN"/>
              </w:rPr>
              <w:t>52</w:t>
            </w:r>
            <w:r>
              <w:rPr>
                <w:rFonts w:hint="eastAsia" w:ascii="仿宋_GB2312" w:hAnsi="宋体" w:eastAsia="仿宋_GB2312"/>
                <w:sz w:val="32"/>
                <w:szCs w:val="32"/>
                <w:lang w:val="zh-CN"/>
              </w:rPr>
              <w:t>万元，实施民生工程项目</w:t>
            </w:r>
            <w:r>
              <w:rPr>
                <w:rFonts w:hint="eastAsia" w:ascii="仿宋_GB2312" w:hAnsi="宋体" w:eastAsia="仿宋_GB2312"/>
                <w:sz w:val="32"/>
                <w:szCs w:val="32"/>
                <w:lang w:val="en-US" w:eastAsia="zh-CN"/>
              </w:rPr>
              <w:t>52</w:t>
            </w:r>
            <w:r>
              <w:rPr>
                <w:rFonts w:hint="eastAsia" w:ascii="仿宋_GB2312" w:hAnsi="宋体" w:eastAsia="仿宋_GB2312"/>
                <w:sz w:val="32"/>
                <w:szCs w:val="32"/>
                <w:lang w:val="zh-CN"/>
              </w:rPr>
              <w:t>万元、科学规划，在预算范围内实施，解决</w:t>
            </w:r>
            <w:r>
              <w:rPr>
                <w:rFonts w:hint="eastAsia" w:ascii="仿宋_GB2312" w:hAnsi="宋体" w:eastAsia="仿宋_GB2312"/>
                <w:sz w:val="32"/>
                <w:szCs w:val="32"/>
                <w:lang w:val="zh-CN" w:eastAsia="zh-CN"/>
              </w:rPr>
              <w:t>全镇</w:t>
            </w:r>
            <w:r>
              <w:rPr>
                <w:rFonts w:hint="eastAsia" w:ascii="仿宋_GB2312" w:hAnsi="宋体" w:eastAsia="仿宋_GB2312"/>
                <w:sz w:val="32"/>
                <w:szCs w:val="32"/>
                <w:lang w:val="zh-CN"/>
              </w:rPr>
              <w:t>群众急需解决的项目工程。</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lang w:val="zh-CN"/>
              </w:rPr>
              <w:t>年度，上级财政下达我单位乡镇民生专项工作经费</w:t>
            </w:r>
            <w:r>
              <w:rPr>
                <w:rFonts w:hint="eastAsia" w:ascii="仿宋_GB2312" w:hAnsi="宋体" w:eastAsia="仿宋_GB2312"/>
                <w:sz w:val="32"/>
                <w:szCs w:val="32"/>
                <w:lang w:val="en-US" w:eastAsia="zh-CN"/>
              </w:rPr>
              <w:t>52</w:t>
            </w:r>
            <w:r>
              <w:rPr>
                <w:rFonts w:hint="eastAsia" w:ascii="仿宋_GB2312" w:hAnsi="宋体" w:eastAsia="仿宋_GB2312"/>
                <w:sz w:val="32"/>
                <w:szCs w:val="32"/>
                <w:lang w:val="zh-CN"/>
              </w:rPr>
              <w:t>万元，结合我镇实际，该项资金主要用于：</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1、政府办公楼、职工宿舍及会议室维修；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w:t>
            </w:r>
            <w:r>
              <w:rPr>
                <w:rFonts w:hint="eastAsia" w:ascii="仿宋_GB2312" w:hAnsi="宋体" w:eastAsia="仿宋_GB2312"/>
                <w:sz w:val="32"/>
                <w:szCs w:val="32"/>
                <w:lang w:val="zh-CN" w:eastAsia="zh-CN"/>
              </w:rPr>
              <w:t>农贸市场改建及户籍室改造</w:t>
            </w:r>
            <w:r>
              <w:rPr>
                <w:rFonts w:hint="eastAsia" w:ascii="仿宋_GB2312" w:hAnsi="宋体" w:eastAsia="仿宋_GB2312"/>
                <w:sz w:val="32"/>
                <w:szCs w:val="32"/>
                <w:lang w:val="zh-CN"/>
              </w:rPr>
              <w:t>；</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3、场镇路面、下水道路灯维护。</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hint="eastAsia" w:ascii="方正仿宋简体" w:hAnsi="方正仿宋简体" w:eastAsia="方正仿宋简体" w:cs="方正仿宋简体"/>
                <w:sz w:val="32"/>
                <w:szCs w:val="32"/>
              </w:rPr>
            </w:pPr>
            <w:r>
              <w:rPr>
                <w:rFonts w:hint="eastAsia" w:ascii="仿宋_GB2312" w:hAnsi="仿宋_GB2312" w:eastAsia="仿宋_GB2312" w:cs="仿宋_GB2312"/>
                <w:sz w:val="32"/>
                <w:szCs w:val="32"/>
                <w:lang w:val="zh-CN"/>
              </w:rPr>
              <w:t>罗文镇</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年民生专项工作经费预算为</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万元，其中</w:t>
            </w:r>
          </w:p>
          <w:p>
            <w:pPr>
              <w:adjustRightInd w:val="0"/>
              <w:snapToGrid w:val="0"/>
              <w:spacing w:line="600" w:lineRule="exact"/>
              <w:rPr>
                <w:rFonts w:hint="eastAsia" w:ascii="仿宋_GB2312" w:hAnsi="仿宋_GB2312" w:eastAsia="仿宋_GB2312" w:cs="仿宋_GB2312"/>
                <w:sz w:val="32"/>
                <w:szCs w:val="32"/>
                <w:lang w:val="zh-CN"/>
              </w:rPr>
            </w:pPr>
            <w:r>
              <w:rPr>
                <w:rFonts w:hint="eastAsia" w:ascii="仿宋_GB2312" w:hAnsi="宋体" w:eastAsia="仿宋_GB2312"/>
                <w:sz w:val="32"/>
                <w:szCs w:val="32"/>
                <w:lang w:val="zh-CN" w:eastAsia="zh-CN"/>
              </w:rPr>
              <w:t>政府办公楼、职工宿舍及会议室维护费</w:t>
            </w:r>
            <w:r>
              <w:rPr>
                <w:rFonts w:hint="eastAsia" w:ascii="仿宋_GB2312" w:hAnsi="宋体" w:eastAsia="仿宋_GB2312"/>
                <w:sz w:val="32"/>
                <w:szCs w:val="32"/>
                <w:lang w:val="en-US" w:eastAsia="zh-CN"/>
              </w:rPr>
              <w:t>15万元，场镇路面、下水道路灯维护10万元，场镇治理清扫保洁27万元,</w:t>
            </w:r>
            <w:r>
              <w:rPr>
                <w:rFonts w:hint="eastAsia" w:ascii="仿宋_GB2312" w:hAnsi="仿宋_GB2312" w:eastAsia="仿宋_GB2312" w:cs="仿宋_GB2312"/>
                <w:sz w:val="32"/>
                <w:szCs w:val="32"/>
              </w:rPr>
              <w:t>计划达到场镇垃圾清扫清运面积≥95%，政府机关院内环境整治面积≥98%，路面整洁无垃圾，垃圾堆放规范</w:t>
            </w:r>
            <w:r>
              <w:rPr>
                <w:rFonts w:hint="eastAsia" w:ascii="仿宋_GB2312" w:hAnsi="宋体" w:eastAsia="仿宋_GB2312"/>
                <w:sz w:val="32"/>
                <w:szCs w:val="32"/>
                <w:lang w:val="zh-CN"/>
              </w:rPr>
              <w:t>。</w:t>
            </w:r>
            <w:r>
              <w:rPr>
                <w:rFonts w:hint="eastAsia" w:ascii="仿宋_GB2312" w:hAnsi="仿宋_GB2312" w:eastAsia="仿宋_GB2312" w:cs="仿宋_GB2312"/>
                <w:sz w:val="32"/>
                <w:szCs w:val="32"/>
              </w:rPr>
              <w:t xml:space="preserve">           </w:t>
            </w:r>
          </w:p>
          <w:p>
            <w:pPr>
              <w:adjustRightInd w:val="0"/>
              <w:snapToGrid w:val="0"/>
              <w:spacing w:line="60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eastAsia="zh-CN"/>
              </w:rPr>
              <w:t>年民生专项工作经费申报内容与具体实施内容基本相符、申报目标合理可行。</w:t>
            </w: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lang w:val="zh-CN"/>
              </w:rPr>
              <w:t>二、</w:t>
            </w:r>
            <w:r>
              <w:rPr>
                <w:rFonts w:hint="eastAsia" w:ascii="黑体" w:hAnsi="宋体" w:eastAsia="黑体"/>
                <w:sz w:val="32"/>
                <w:szCs w:val="32"/>
              </w:rPr>
              <w:t>项目资金申报及使用情况</w:t>
            </w:r>
          </w:p>
          <w:p>
            <w:pPr>
              <w:adjustRightInd w:val="0"/>
              <w:snapToGrid w:val="0"/>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ab/>
            </w:r>
            <w:r>
              <w:rPr>
                <w:rFonts w:hint="eastAsia" w:ascii="仿宋_GB2312" w:hAnsi="仿宋_GB2312" w:eastAsia="仿宋_GB2312" w:cs="仿宋_GB2312"/>
                <w:sz w:val="32"/>
                <w:szCs w:val="32"/>
                <w:lang w:val="zh-CN"/>
              </w:rPr>
              <w:t>（一）资金计划、到位及使用情况。</w:t>
            </w:r>
          </w:p>
          <w:p>
            <w:pPr>
              <w:adjustRightInd w:val="0"/>
              <w:snapToGrid w:val="0"/>
              <w:spacing w:line="60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1．资金计划及到位。</w:t>
            </w:r>
          </w:p>
          <w:p>
            <w:pPr>
              <w:adjustRightInd w:val="0"/>
              <w:snapToGrid w:val="0"/>
              <w:spacing w:line="60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我镇20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eastAsia="zh-CN"/>
              </w:rPr>
              <w:t>年民生专项工作经费的使用按照实时性、合理性、科学性，与资金使用计划相符，并按项目建设要求和进度全部落实到位，资金到位率100%，到位及时性100%。</w:t>
            </w:r>
          </w:p>
          <w:p>
            <w:pPr>
              <w:adjustRightInd w:val="0"/>
              <w:snapToGrid w:val="0"/>
              <w:spacing w:line="60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2．资金使用。</w:t>
            </w:r>
          </w:p>
          <w:p>
            <w:pPr>
              <w:adjustRightInd w:val="0"/>
              <w:snapToGrid w:val="0"/>
              <w:spacing w:line="60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截止评价时点，我镇20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eastAsia="zh-CN"/>
              </w:rPr>
              <w:t>年民生专项工作经费已支付资金</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lang w:val="zh-CN" w:eastAsia="zh-CN"/>
              </w:rPr>
              <w:t>万元，支付率为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eastAsia="zh-CN"/>
              </w:rPr>
              <w:t>%，支付依据合规合法，资金支付与预算相符。</w:t>
            </w:r>
          </w:p>
          <w:p>
            <w:pPr>
              <w:adjustRightInd w:val="0"/>
              <w:snapToGrid w:val="0"/>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（二）项目财务管理情况。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年民生专项工作经费的使用，</w:t>
            </w:r>
            <w:r>
              <w:rPr>
                <w:rFonts w:hint="eastAsia" w:ascii="仿宋_GB2312" w:hAnsi="仿宋_GB2312" w:eastAsia="仿宋_GB2312" w:cs="仿宋_GB2312"/>
                <w:sz w:val="32"/>
                <w:szCs w:val="32"/>
                <w:lang w:eastAsia="zh-CN"/>
              </w:rPr>
              <w:t>我镇</w:t>
            </w:r>
            <w:r>
              <w:rPr>
                <w:rFonts w:hint="eastAsia" w:ascii="仿宋_GB2312" w:hAnsi="仿宋_GB2312" w:eastAsia="仿宋_GB2312" w:cs="仿宋_GB2312"/>
                <w:sz w:val="32"/>
                <w:szCs w:val="32"/>
              </w:rPr>
              <w:t>严格执行财务管理制度，建立健全项目资金管理制度，专款专用。工作中不断加强财务管理、档案管理，财务处理及时、会计核算规范，并接受财政、审计、纪检监察等部门的监督和检查。</w:t>
            </w:r>
          </w:p>
          <w:p>
            <w:pPr>
              <w:adjustRightInd w:val="0"/>
              <w:snapToGrid w:val="0"/>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（三）项目组织实施情况。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镇严格执行“三重一大”制度、政府采购制度、合同管理制度等，项目采取实施前项目指导培训、实施中实地监管、实施后验收的程序，根据验收流程，待项目验收合格后按要求拨付项目资金，并将项目合同书、验收报告、技术审定等资料及时归档。</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640" w:firstLineChars="200"/>
              <w:rPr>
                <w:rFonts w:hint="eastAsia" w:ascii="仿宋_GB2312" w:hAnsi="宋体" w:eastAsia="仿宋_GB2312" w:cs="Times New Roman"/>
                <w:kern w:val="2"/>
                <w:sz w:val="32"/>
                <w:szCs w:val="32"/>
                <w:lang w:val="en-US" w:eastAsia="zh-CN" w:bidi="ar-SA"/>
              </w:rPr>
            </w:pPr>
            <w:r>
              <w:rPr>
                <w:rFonts w:hint="eastAsia" w:ascii="仿宋_GB2312" w:hAnsi="仿宋_GB2312" w:eastAsia="仿宋_GB2312" w:cs="仿宋_GB2312"/>
                <w:sz w:val="32"/>
                <w:szCs w:val="32"/>
              </w:rPr>
              <w:t>我镇严格执行“三重一大”制度、政府采购制度、合同管理制度等，项目采取实施前项目指导培训、实施中实地监管、实施后验收的程序，根据验收流程，待项目验收合格后按要求拨付项目资金，并将项目合同书、验收报告、技术审定等资料及时归档。</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lang w:eastAsia="zh-CN"/>
              </w:rPr>
              <w:t>四</w:t>
            </w:r>
            <w:r>
              <w:rPr>
                <w:rFonts w:hint="eastAsia" w:ascii="黑体" w:hAnsi="宋体" w:eastAsia="黑体"/>
                <w:sz w:val="32"/>
                <w:szCs w:val="32"/>
              </w:rPr>
              <w:t>、项目绩效情况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2"/>
              <w:numPr>
                <w:ilvl w:val="0"/>
                <w:numId w:val="0"/>
              </w:numPr>
              <w:ind w:leftChars="200" w:firstLine="640" w:firstLineChars="20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截止20</w:t>
            </w:r>
            <w:r>
              <w:rPr>
                <w:rFonts w:hint="eastAsia" w:ascii="仿宋_GB2312" w:hAnsi="宋体" w:eastAsia="仿宋_GB2312" w:cs="Times New Roman"/>
                <w:kern w:val="2"/>
                <w:sz w:val="32"/>
                <w:szCs w:val="32"/>
                <w:lang w:val="en-US" w:eastAsia="zh-CN" w:bidi="ar-SA"/>
              </w:rPr>
              <w:t>21</w:t>
            </w:r>
            <w:r>
              <w:rPr>
                <w:rFonts w:hint="eastAsia" w:ascii="仿宋_GB2312" w:hAnsi="宋体" w:eastAsia="仿宋_GB2312" w:cs="Times New Roman"/>
                <w:kern w:val="2"/>
                <w:sz w:val="32"/>
                <w:szCs w:val="32"/>
                <w:lang w:val="zh-CN" w:eastAsia="zh-CN" w:bidi="ar-SA"/>
              </w:rPr>
              <w:t>年底，完成场镇、社区及主干线垃圾清扫清运面积≥95%；完成场镇公共设施维修维护，政府办公楼维修整治，维修整治达到100%；完成了场镇路灯及道路维护，场镇路灯维护达到100%，道路公路维护达到90%。</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2"/>
              <w:numPr>
                <w:ilvl w:val="0"/>
                <w:numId w:val="0"/>
              </w:numPr>
              <w:ind w:leftChars="200" w:firstLine="640" w:firstLineChars="20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项目年预算数</w:t>
            </w:r>
            <w:r>
              <w:rPr>
                <w:rFonts w:hint="eastAsia" w:ascii="仿宋_GB2312" w:hAnsi="宋体" w:eastAsia="仿宋_GB2312" w:cs="Times New Roman"/>
                <w:kern w:val="2"/>
                <w:sz w:val="32"/>
                <w:szCs w:val="32"/>
                <w:lang w:val="en-US" w:eastAsia="zh-CN" w:bidi="ar-SA"/>
              </w:rPr>
              <w:t>52</w:t>
            </w:r>
            <w:r>
              <w:rPr>
                <w:rFonts w:hint="eastAsia" w:ascii="仿宋_GB2312" w:hAnsi="宋体" w:eastAsia="仿宋_GB2312" w:cs="Times New Roman"/>
                <w:kern w:val="2"/>
                <w:sz w:val="32"/>
                <w:szCs w:val="32"/>
                <w:lang w:val="zh-CN" w:eastAsia="zh-CN" w:bidi="ar-SA"/>
              </w:rPr>
              <w:t>万元，执行数为</w:t>
            </w:r>
            <w:r>
              <w:rPr>
                <w:rFonts w:hint="eastAsia" w:ascii="仿宋_GB2312" w:hAnsi="宋体" w:eastAsia="仿宋_GB2312" w:cs="Times New Roman"/>
                <w:kern w:val="2"/>
                <w:sz w:val="32"/>
                <w:szCs w:val="32"/>
                <w:lang w:val="en-US" w:eastAsia="zh-CN" w:bidi="ar-SA"/>
              </w:rPr>
              <w:t>52</w:t>
            </w:r>
            <w:r>
              <w:rPr>
                <w:rFonts w:hint="eastAsia" w:ascii="仿宋_GB2312" w:hAnsi="宋体" w:eastAsia="仿宋_GB2312" w:cs="Times New Roman"/>
                <w:kern w:val="2"/>
                <w:sz w:val="32"/>
                <w:szCs w:val="32"/>
                <w:lang w:val="zh-CN" w:eastAsia="zh-CN" w:bidi="ar-SA"/>
              </w:rPr>
              <w:t>万元，完成预算的100%，项目效益情况良好。提高基础设施建设服务效益，改善辖区环境卫生，保障道路畅通，吸引外地人群到辖区休闲度假，促进区域内经济发展，增加群众收益，助推脱贫攻坚工作，提升群众满意度和认可度。</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lang w:eastAsia="zh-CN"/>
              </w:rPr>
              <w:t>五</w:t>
            </w:r>
            <w:r>
              <w:rPr>
                <w:rFonts w:hint="eastAsia" w:ascii="黑体" w:hAnsi="宋体" w:eastAsia="黑体"/>
                <w:sz w:val="32"/>
                <w:szCs w:val="32"/>
              </w:rPr>
              <w:t>、评价结论及建议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通过项目实施，保障脱贫攻坚工作顺利开展，保障本镇群众安居乐业，促进区域内经济发展，提升基础设施服务效益，提高群众满意度认可度。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部分边角地区垃圾清运不及时、部分群众对环境打扫不重视，随意丢弃垃圾。</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一是在项目的推动运行中，逐步实行考核机制，监督保障项目实施质量，提升群众满意度。二是加强爱护环境的宣传力度，提高群众自身素养。三是民生专项工作经费的申报和使用要更好地落到实处、以民为本，符合民生实际需求。</w:t>
            </w:r>
          </w:p>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（注：有两个及以上100万元以上（含）特定目标类部门预算项目的，需分别开展绩效目标自评并填写附表）</w:t>
      </w: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51"/>
      <w:bookmarkEnd w:id="53"/>
      <w:bookmarkStart w:id="54" w:name="_Toc15396619"/>
    </w:p>
    <w:p>
      <w:pPr>
        <w:pStyle w:val="5"/>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54"/>
    </w:p>
    <w:p>
      <w:pPr>
        <w:pStyle w:val="5"/>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55"/>
    </w:p>
    <w:p>
      <w:pPr>
        <w:pStyle w:val="5"/>
        <w:rPr>
          <w:rFonts w:ascii="仿宋" w:hAnsi="仿宋" w:eastAsia="仿宋"/>
          <w:color w:val="auto"/>
          <w:highlight w:val="none"/>
        </w:rPr>
      </w:pPr>
      <w:bookmarkStart w:id="56"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56"/>
    </w:p>
    <w:p>
      <w:pPr>
        <w:pStyle w:val="5"/>
        <w:rPr>
          <w:rFonts w:ascii="仿宋" w:hAnsi="仿宋" w:eastAsia="仿宋"/>
          <w:b w:val="0"/>
          <w:color w:val="auto"/>
          <w:highlight w:val="none"/>
        </w:rPr>
      </w:pPr>
      <w:bookmarkStart w:id="57"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57"/>
    </w:p>
    <w:p>
      <w:pPr>
        <w:pStyle w:val="5"/>
        <w:rPr>
          <w:rStyle w:val="27"/>
          <w:rFonts w:ascii="仿宋" w:hAnsi="仿宋" w:eastAsia="仿宋"/>
          <w:b w:val="0"/>
          <w:bCs w:val="0"/>
          <w:color w:val="auto"/>
          <w:highlight w:val="none"/>
        </w:rPr>
      </w:pPr>
      <w:bookmarkStart w:id="58"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58"/>
      <w:bookmarkStart w:id="59" w:name="_Toc15396624"/>
    </w:p>
    <w:p>
      <w:pPr>
        <w:pStyle w:val="5"/>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59"/>
    </w:p>
    <w:p>
      <w:pPr>
        <w:pStyle w:val="5"/>
        <w:rPr>
          <w:rFonts w:ascii="仿宋" w:hAnsi="仿宋" w:eastAsia="仿宋"/>
          <w:color w:val="auto"/>
          <w:highlight w:val="none"/>
        </w:rPr>
      </w:pPr>
      <w:bookmarkStart w:id="60"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0"/>
    </w:p>
    <w:p>
      <w:pPr>
        <w:pStyle w:val="5"/>
        <w:rPr>
          <w:rFonts w:ascii="仿宋" w:hAnsi="仿宋" w:eastAsia="仿宋"/>
          <w:color w:val="auto"/>
          <w:highlight w:val="none"/>
        </w:rPr>
      </w:pPr>
      <w:bookmarkStart w:id="61"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61"/>
    </w:p>
    <w:p>
      <w:pPr>
        <w:pStyle w:val="5"/>
        <w:rPr>
          <w:rFonts w:ascii="仿宋" w:hAnsi="仿宋" w:eastAsia="仿宋"/>
          <w:color w:val="auto"/>
          <w:highlight w:val="none"/>
        </w:rPr>
      </w:pPr>
      <w:bookmarkStart w:id="62"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62"/>
    </w:p>
    <w:p>
      <w:pPr>
        <w:pStyle w:val="5"/>
        <w:rPr>
          <w:rFonts w:ascii="仿宋" w:hAnsi="仿宋" w:eastAsia="仿宋"/>
          <w:color w:val="auto"/>
          <w:highlight w:val="none"/>
        </w:rPr>
      </w:pPr>
      <w:bookmarkStart w:id="63"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63"/>
    </w:p>
    <w:p>
      <w:pPr>
        <w:pStyle w:val="5"/>
        <w:rPr>
          <w:rFonts w:ascii="仿宋" w:hAnsi="仿宋" w:eastAsia="仿宋"/>
          <w:color w:val="auto"/>
          <w:highlight w:val="none"/>
        </w:rPr>
      </w:pPr>
      <w:bookmarkStart w:id="64"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64"/>
    </w:p>
    <w:p>
      <w:pPr>
        <w:pStyle w:val="5"/>
        <w:rPr>
          <w:rFonts w:ascii="仿宋" w:hAnsi="仿宋" w:eastAsia="仿宋"/>
          <w:color w:val="auto"/>
          <w:highlight w:val="none"/>
        </w:rPr>
      </w:pPr>
      <w:bookmarkStart w:id="65"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65"/>
    </w:p>
    <w:p>
      <w:pPr>
        <w:pStyle w:val="5"/>
        <w:rPr>
          <w:rStyle w:val="27"/>
          <w:rFonts w:hint="eastAsia" w:ascii="仿宋" w:hAnsi="仿宋" w:eastAsia="仿宋"/>
          <w:b w:val="0"/>
          <w:bCs w:val="0"/>
          <w:color w:val="auto"/>
          <w:highlight w:val="none"/>
        </w:rPr>
      </w:pPr>
      <w:bookmarkStart w:id="66"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725F60"/>
    <w:multiLevelType w:val="singleLevel"/>
    <w:tmpl w:val="CB725F60"/>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BBE0451"/>
    <w:multiLevelType w:val="singleLevel"/>
    <w:tmpl w:val="2BBE0451"/>
    <w:lvl w:ilvl="0" w:tentative="0">
      <w:start w:val="1"/>
      <w:numFmt w:val="chineseCounting"/>
      <w:suff w:val="nothing"/>
      <w:lvlText w:val="%1、"/>
      <w:lvlJc w:val="left"/>
      <w:rPr>
        <w:rFonts w:hint="eastAsia"/>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xOGNjNWU1M2NkM2JkZmRjZWQyYTcxZDFiNWRmZG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82A3B"/>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1070756D"/>
    <w:rsid w:val="10C055FF"/>
    <w:rsid w:val="118107EC"/>
    <w:rsid w:val="11DD6519"/>
    <w:rsid w:val="12F31511"/>
    <w:rsid w:val="16BB723D"/>
    <w:rsid w:val="18015F3F"/>
    <w:rsid w:val="1BE8440E"/>
    <w:rsid w:val="1D155CEE"/>
    <w:rsid w:val="1E3B363C"/>
    <w:rsid w:val="20F57F95"/>
    <w:rsid w:val="240371BF"/>
    <w:rsid w:val="25C741E6"/>
    <w:rsid w:val="27842671"/>
    <w:rsid w:val="29FD04D3"/>
    <w:rsid w:val="2ABE7A3E"/>
    <w:rsid w:val="2E3B34BA"/>
    <w:rsid w:val="2EFA178C"/>
    <w:rsid w:val="30352AA7"/>
    <w:rsid w:val="30B46D73"/>
    <w:rsid w:val="319F7F4E"/>
    <w:rsid w:val="39AE70AB"/>
    <w:rsid w:val="3C0C0783"/>
    <w:rsid w:val="3E607986"/>
    <w:rsid w:val="3F9F3A96"/>
    <w:rsid w:val="493C27E9"/>
    <w:rsid w:val="496F39ED"/>
    <w:rsid w:val="49FF41D3"/>
    <w:rsid w:val="4B2A2FAF"/>
    <w:rsid w:val="4BE068DB"/>
    <w:rsid w:val="4BF6002B"/>
    <w:rsid w:val="4DF422CA"/>
    <w:rsid w:val="4ECE2238"/>
    <w:rsid w:val="4F8B7E11"/>
    <w:rsid w:val="512D1476"/>
    <w:rsid w:val="51DB4B86"/>
    <w:rsid w:val="55333C3E"/>
    <w:rsid w:val="6183303E"/>
    <w:rsid w:val="61E417CC"/>
    <w:rsid w:val="64CA39A1"/>
    <w:rsid w:val="6C4A05C8"/>
    <w:rsid w:val="6DA23511"/>
    <w:rsid w:val="6F387230"/>
    <w:rsid w:val="72734D90"/>
    <w:rsid w:val="78182A4E"/>
    <w:rsid w:val="797A0886"/>
    <w:rsid w:val="79E7B28D"/>
    <w:rsid w:val="7D8F476B"/>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ind w:left="0" w:firstLine="420" w:firstLineChars="200"/>
    </w:pPr>
  </w:style>
  <w:style w:type="paragraph" w:styleId="3">
    <w:name w:val="Body Text Indent"/>
    <w:basedOn w:val="1"/>
    <w:qFormat/>
    <w:uiPriority w:val="0"/>
    <w:pPr>
      <w:spacing w:after="120"/>
      <w:ind w:left="420" w:leftChars="200"/>
    </w:p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4"/>
    <w:qFormat/>
    <w:uiPriority w:val="9"/>
    <w:rPr>
      <w:rFonts w:ascii="Times New Roman" w:hAnsi="Times New Roman"/>
      <w:b/>
      <w:bCs/>
      <w:kern w:val="44"/>
      <w:sz w:val="44"/>
      <w:szCs w:val="44"/>
    </w:rPr>
  </w:style>
  <w:style w:type="character" w:customStyle="1" w:styleId="27">
    <w:name w:val="标题 2 Char"/>
    <w:basedOn w:val="15"/>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6"/>
    <w:qFormat/>
    <w:uiPriority w:val="9"/>
    <w:rPr>
      <w:rFonts w:ascii="Times New Roman" w:hAnsi="Times New Roman"/>
      <w:b/>
      <w:bCs/>
      <w:kern w:val="2"/>
      <w:sz w:val="32"/>
      <w:szCs w:val="32"/>
    </w:rPr>
  </w:style>
  <w:style w:type="paragraph" w:customStyle="1" w:styleId="31">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2270;&#34920;%20&#22312;%20&#19975;&#28304;&#24066;&#32599;&#25991;&#38215;2021&#24180;&#24230;&#37096;&#38376;&#20915;&#31639;&#20998;&#26512;&#25253;&#21578;.doc"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2270;&#34920;%20&#22312;%20&#19975;&#28304;&#24066;&#32599;&#25991;&#38215;2021&#24180;&#24230;&#37096;&#38376;&#20915;&#31639;&#20998;&#26512;&#25253;&#21578;.doc"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2270;&#34920;%20&#22312;%20&#19975;&#28304;&#24066;&#32599;&#25991;&#38215;2021&#24180;&#24230;&#37096;&#38376;&#20915;&#31639;&#20998;&#26512;&#25253;&#21578;.doc"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2270;&#34920;%20&#22312;%20&#19975;&#28304;&#24066;&#32599;&#25991;&#38215;2021&#24180;&#24230;&#37096;&#38376;&#20915;&#31639;&#20998;&#26512;&#25253;&#21578;.doc"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2270;&#34920;%20&#22312;%20&#19975;&#28304;&#24066;&#32599;&#25991;&#38215;2021&#24180;&#24230;&#37096;&#38376;&#20915;&#31639;&#20998;&#26512;&#25253;&#21578;.doc"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2270;&#34920;%20&#22312;%20&#19975;&#28304;&#24066;&#32599;&#25991;&#38215;2021&#24180;&#24230;&#37096;&#38376;&#20915;&#31639;&#20998;&#26512;&#25253;&#21578;.doc"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2270;&#34920;%20&#22312;%20&#19975;&#28304;&#24066;&#32599;&#25991;&#38215;2021&#24180;&#24230;&#37096;&#38376;&#20915;&#31639;&#20998;&#26512;&#25253;&#21578;.doc" TargetMode="External"/></Relationships>
</file>

<file path=word/charts/_rels/chart8.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22270;&#34920;%20&#22312;%20&#19975;&#28304;&#24066;&#32599;&#25991;&#38215;2021&#24180;&#24230;&#37096;&#38376;&#20915;&#31639;&#20998;&#26512;&#25253;&#21578;.doc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endParaRPr lang="zh-CN" sz="1400" b="0" i="0" u="none" strike="noStrike" kern="1200" spc="0" baseline="0">
              <a:solidFill>
                <a:schemeClr val="tx1">
                  <a:lumMod val="65000"/>
                  <a:lumOff val="35000"/>
                </a:schemeClr>
              </a:solidFill>
              <a:latin typeface="+mn-lt"/>
              <a:ea typeface="+mn-ea"/>
              <a:cs typeface="+mn-cs"/>
            </a:endParaRPr>
          </a:p>
        </c:rich>
      </c:tx>
      <c:layout/>
      <c:overlay val="0"/>
    </c:title>
    <c:autoTitleDeleted val="0"/>
    <c:plotArea>
      <c:layout>
        <c:manualLayout>
          <c:layoutTarget val="inner"/>
          <c:xMode val="edge"/>
          <c:yMode val="edge"/>
          <c:x val="0.0741237164946987"/>
          <c:y val="0.131363074844669"/>
          <c:w val="0.842940339070791"/>
          <c:h val="0.6519975414874"/>
        </c:manualLayout>
      </c:layout>
      <c:barChart>
        <c:barDir val="col"/>
        <c:grouping val="clustered"/>
        <c:varyColors val="0"/>
        <c:ser>
          <c:idx val="0"/>
          <c:order val="0"/>
          <c:tx>
            <c:strRef>
              <c:f>'[图表 在 万源市罗文镇2021年度部门决算分析报告.doc]Sheet1 (2)'!$B$3</c:f>
              <c:strCache>
                <c:ptCount val="1"/>
                <c:pt idx="0">
                  <c:v>2020年</c:v>
                </c:pt>
              </c:strCache>
            </c:strRef>
          </c:tx>
          <c:spPr>
            <a:solidFill>
              <a:srgbClr val="5B9BD5">
                <a:alpha val="100000"/>
              </a:srgbClr>
            </a:solidFill>
            <a:ln w="3175">
              <a:no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 在 万源市罗文镇2021年度部门决算分析报告.doc]Sheet1 (2)'!$C$2:$D$2</c:f>
              <c:strCache>
                <c:ptCount val="2"/>
                <c:pt idx="0">
                  <c:v>预算收入</c:v>
                </c:pt>
                <c:pt idx="1">
                  <c:v>预算支出</c:v>
                </c:pt>
              </c:strCache>
            </c:strRef>
          </c:cat>
          <c:val>
            <c:numRef>
              <c:f>'[图表 在 万源市罗文镇2021年度部门决算分析报告.doc]Sheet1 (2)'!$C$3:$D$3</c:f>
              <c:numCache>
                <c:formatCode>General</c:formatCode>
                <c:ptCount val="2"/>
                <c:pt idx="0">
                  <c:v>2977.97</c:v>
                </c:pt>
                <c:pt idx="1">
                  <c:v>1567.11</c:v>
                </c:pt>
              </c:numCache>
            </c:numRef>
          </c:val>
        </c:ser>
        <c:ser>
          <c:idx val="1"/>
          <c:order val="1"/>
          <c:tx>
            <c:strRef>
              <c:f>'[图表 在 万源市罗文镇2021年度部门决算分析报告.doc]Sheet1 (2)'!$B$4</c:f>
              <c:strCache>
                <c:ptCount val="1"/>
                <c:pt idx="0">
                  <c:v>2021年</c:v>
                </c:pt>
              </c:strCache>
            </c:strRef>
          </c:tx>
          <c:spPr>
            <a:solidFill>
              <a:srgbClr val="ED7D31">
                <a:alpha val="100000"/>
              </a:srgbClr>
            </a:solidFill>
            <a:ln w="3175">
              <a:noFill/>
            </a:ln>
          </c:spPr>
          <c:invertIfNegative val="0"/>
          <c:dLbls>
            <c:dLbl>
              <c:idx val="1"/>
              <c:layout>
                <c:manualLayout>
                  <c:x val="0.0139769638928433"/>
                  <c:y val="-0.036877688998156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 在 万源市罗文镇2021年度部门决算分析报告.doc]Sheet1 (2)'!$C$2:$D$2</c:f>
              <c:strCache>
                <c:ptCount val="2"/>
                <c:pt idx="0">
                  <c:v>预算收入</c:v>
                </c:pt>
                <c:pt idx="1">
                  <c:v>预算支出</c:v>
                </c:pt>
              </c:strCache>
            </c:strRef>
          </c:cat>
          <c:val>
            <c:numRef>
              <c:f>'[图表 在 万源市罗文镇2021年度部门决算分析报告.doc]Sheet1 (2)'!$C$4:$D$4</c:f>
              <c:numCache>
                <c:formatCode>General</c:formatCode>
                <c:ptCount val="2"/>
                <c:pt idx="0">
                  <c:v>2831.54</c:v>
                </c:pt>
                <c:pt idx="1">
                  <c:v>1694.14</c:v>
                </c:pt>
              </c:numCache>
            </c:numRef>
          </c:val>
        </c:ser>
        <c:dLbls>
          <c:showLegendKey val="0"/>
          <c:showVal val="0"/>
          <c:showCatName val="0"/>
          <c:showSerName val="0"/>
          <c:showPercent val="0"/>
          <c:showBubbleSize val="0"/>
        </c:dLbls>
        <c:gapWidth val="219"/>
        <c:overlap val="-27"/>
        <c:axId val="532180559"/>
        <c:axId val="304475309"/>
      </c:barChart>
      <c:catAx>
        <c:axId val="532180559"/>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475309"/>
        <c:crosses val="autoZero"/>
        <c:auto val="1"/>
        <c:lblAlgn val="ctr"/>
        <c:lblOffset val="100"/>
        <c:noMultiLvlLbl val="0"/>
      </c:catAx>
      <c:valAx>
        <c:axId val="304475309"/>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3175"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2180559"/>
        <c:crosses val="autoZero"/>
        <c:crossBetween val="between"/>
      </c:valAx>
      <c:spPr>
        <a:noFill/>
        <a:ln w="3175">
          <a:noFill/>
        </a:ln>
      </c:spPr>
    </c:plotArea>
    <c:legend>
      <c:legendPos val="r"/>
      <c:layout>
        <c:manualLayout>
          <c:xMode val="edge"/>
          <c:yMode val="edge"/>
          <c:x val="0.3875"/>
          <c:y val="0.8945"/>
          <c:w val="0.222596096901587"/>
          <c:h val="0.0737553816854507"/>
        </c:manualLayout>
      </c:layout>
      <c:overlay val="0"/>
      <c:spPr>
        <a:noFill/>
        <a:ln w="3175">
          <a:noFill/>
        </a:ln>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'[图表 在 万源市罗文镇2021年度部门决算分析报告.doc]Sheet1 (2)'!$J$8</c:f>
              <c:strCache>
                <c:ptCount val="1"/>
                <c:pt idx="0">
                  <c:v>收入决算结构图</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 在 万源市罗文镇2021年度部门决算分析报告.doc]Sheet1 (2)'!$K$7</c:f>
              <c:strCache>
                <c:ptCount val="1"/>
                <c:pt idx="0">
                  <c:v>一般公共预算财政拨款收入</c:v>
                </c:pt>
              </c:strCache>
            </c:strRef>
          </c:cat>
          <c:val>
            <c:numRef>
              <c:f>'[图表 在 万源市罗文镇2021年度部门决算分析报告.doc]Sheet1 (2)'!$K$8</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'[图表 在 万源市罗文镇2021年度部门决算分析报告.doc]Sheet1 (2)'!$J$8</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 在 万源市罗文镇2021年度部门决算分析报告.doc]Sheet1 (2)'!$K$7:$L$7</c:f>
              <c:strCache>
                <c:ptCount val="2"/>
                <c:pt idx="0">
                  <c:v>基本支出</c:v>
                </c:pt>
                <c:pt idx="1">
                  <c:v>项目支出</c:v>
                </c:pt>
              </c:strCache>
            </c:strRef>
          </c:cat>
          <c:val>
            <c:numRef>
              <c:f>'[图表 在 万源市罗文镇2021年度部门决算分析报告.doc]Sheet1 (2)'!$K$8:$L$8</c:f>
              <c:numCache>
                <c:formatCode>0%</c:formatCode>
                <c:ptCount val="2"/>
                <c:pt idx="0">
                  <c:v>0.71</c:v>
                </c:pt>
                <c:pt idx="1">
                  <c:v>0.29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财政拨款收、支决算总计变动情况</a:t>
            </a:r>
            <a:endParaRPr lang="zh-CN" sz="1400" b="0" i="0" u="none" strike="noStrike" kern="1200" spc="0" baseline="0">
              <a:solidFill>
                <a:schemeClr val="tx1">
                  <a:lumMod val="65000"/>
                  <a:lumOff val="35000"/>
                </a:schemeClr>
              </a:solidFill>
              <a:latin typeface="+mn-lt"/>
              <a:ea typeface="+mn-ea"/>
              <a:cs typeface="+mn-cs"/>
            </a:endParaRPr>
          </a:p>
        </c:rich>
      </c:tx>
      <c:layout/>
      <c:overlay val="0"/>
    </c:title>
    <c:autoTitleDeleted val="0"/>
    <c:plotArea>
      <c:layout>
        <c:manualLayout>
          <c:layoutTarget val="inner"/>
          <c:xMode val="edge"/>
          <c:yMode val="edge"/>
          <c:x val="0.130141063802252"/>
          <c:y val="0.156115550092194"/>
          <c:w val="0.842940339070791"/>
          <c:h val="0.6519975414874"/>
        </c:manualLayout>
      </c:layout>
      <c:barChart>
        <c:barDir val="col"/>
        <c:grouping val="clustered"/>
        <c:varyColors val="0"/>
        <c:ser>
          <c:idx val="0"/>
          <c:order val="0"/>
          <c:tx>
            <c:strRef>
              <c:f>'[图表 在 万源市罗文镇2021年度部门决算分析报告.doc]Sheet1 (3)'!$B$3</c:f>
              <c:strCache>
                <c:ptCount val="1"/>
                <c:pt idx="0">
                  <c:v>2020年</c:v>
                </c:pt>
              </c:strCache>
            </c:strRef>
          </c:tx>
          <c:spPr>
            <a:solidFill>
              <a:srgbClr val="5B9BD5">
                <a:alpha val="100000"/>
              </a:srgbClr>
            </a:solidFill>
            <a:ln w="3175">
              <a:no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 在 万源市罗文镇2021年度部门决算分析报告.doc]Sheet1 (3)'!$C$2:$D$2</c:f>
              <c:strCache>
                <c:ptCount val="2"/>
                <c:pt idx="0">
                  <c:v>财政拨款收入</c:v>
                </c:pt>
                <c:pt idx="1">
                  <c:v>财政拨款支出</c:v>
                </c:pt>
              </c:strCache>
            </c:strRef>
          </c:cat>
          <c:val>
            <c:numRef>
              <c:f>'[图表 在 万源市罗文镇2021年度部门决算分析报告.doc]Sheet1 (3)'!$C$3:$D$3</c:f>
              <c:numCache>
                <c:formatCode>General</c:formatCode>
                <c:ptCount val="2"/>
                <c:pt idx="0">
                  <c:v>2977.97</c:v>
                </c:pt>
                <c:pt idx="1">
                  <c:v>1567.11</c:v>
                </c:pt>
              </c:numCache>
            </c:numRef>
          </c:val>
        </c:ser>
        <c:ser>
          <c:idx val="1"/>
          <c:order val="1"/>
          <c:tx>
            <c:strRef>
              <c:f>'[图表 在 万源市罗文镇2021年度部门决算分析报告.doc]Sheet1 (3)'!$B$4</c:f>
              <c:strCache>
                <c:ptCount val="1"/>
                <c:pt idx="0">
                  <c:v>2021年</c:v>
                </c:pt>
              </c:strCache>
            </c:strRef>
          </c:tx>
          <c:spPr>
            <a:solidFill>
              <a:srgbClr val="ED7D31">
                <a:alpha val="100000"/>
              </a:srgbClr>
            </a:solidFill>
            <a:ln w="3175">
              <a:noFill/>
            </a:ln>
          </c:spPr>
          <c:invertIfNegative val="0"/>
          <c:dLbls>
            <c:dLbl>
              <c:idx val="1"/>
              <c:layout>
                <c:manualLayout>
                  <c:x val="0.0139769638928433"/>
                  <c:y val="-0.036877688998156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 在 万源市罗文镇2021年度部门决算分析报告.doc]Sheet1 (3)'!$C$2:$D$2</c:f>
              <c:strCache>
                <c:ptCount val="2"/>
                <c:pt idx="0">
                  <c:v>财政拨款收入</c:v>
                </c:pt>
                <c:pt idx="1">
                  <c:v>财政拨款支出</c:v>
                </c:pt>
              </c:strCache>
            </c:strRef>
          </c:cat>
          <c:val>
            <c:numRef>
              <c:f>'[图表 在 万源市罗文镇2021年度部门决算分析报告.doc]Sheet1 (3)'!$C$4:$D$4</c:f>
              <c:numCache>
                <c:formatCode>General</c:formatCode>
                <c:ptCount val="2"/>
                <c:pt idx="0">
                  <c:v>2831.54</c:v>
                </c:pt>
                <c:pt idx="1">
                  <c:v>1694.14</c:v>
                </c:pt>
              </c:numCache>
            </c:numRef>
          </c:val>
        </c:ser>
        <c:dLbls>
          <c:showLegendKey val="0"/>
          <c:showVal val="0"/>
          <c:showCatName val="0"/>
          <c:showSerName val="0"/>
          <c:showPercent val="0"/>
          <c:showBubbleSize val="0"/>
        </c:dLbls>
        <c:gapWidth val="219"/>
        <c:overlap val="-27"/>
        <c:axId val="532180559"/>
        <c:axId val="304475309"/>
      </c:barChart>
      <c:catAx>
        <c:axId val="532180559"/>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475309"/>
        <c:crosses val="autoZero"/>
        <c:auto val="1"/>
        <c:lblAlgn val="ctr"/>
        <c:lblOffset val="100"/>
        <c:noMultiLvlLbl val="0"/>
      </c:catAx>
      <c:valAx>
        <c:axId val="304475309"/>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3175"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2180559"/>
        <c:crosses val="autoZero"/>
        <c:crossBetween val="between"/>
      </c:valAx>
      <c:spPr>
        <a:noFill/>
        <a:ln w="3175">
          <a:noFill/>
        </a:ln>
      </c:spPr>
    </c:plotArea>
    <c:legend>
      <c:legendPos val="r"/>
      <c:layout>
        <c:manualLayout>
          <c:xMode val="edge"/>
          <c:yMode val="edge"/>
          <c:x val="0.3875"/>
          <c:y val="0.8945"/>
          <c:w val="0.222596096901587"/>
          <c:h val="0.0737553816854507"/>
        </c:manualLayout>
      </c:layout>
      <c:overlay val="0"/>
      <c:spPr>
        <a:noFill/>
        <a:ln w="3175">
          <a:noFill/>
        </a:ln>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406416666666667"/>
          <c:y val="0.331041666666667"/>
          <c:w val="0.352611111111111"/>
          <c:h val="0.587685185185185"/>
        </c:manualLayout>
      </c:layout>
      <c:pieChart>
        <c:varyColors val="1"/>
        <c:ser>
          <c:idx val="0"/>
          <c:order val="0"/>
          <c:tx>
            <c:strRef>
              <c:f>'[图表 在 万源市罗文镇2021年度部门决算分析报告.doc]Sheet1 (3)'!$J$8</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 在 万源市罗文镇2021年度部门决算分析报告.doc]Sheet1 (3)'!$K$7:$L$7</c:f>
              <c:strCache>
                <c:ptCount val="2"/>
                <c:pt idx="0">
                  <c:v>基本支出</c:v>
                </c:pt>
                <c:pt idx="1">
                  <c:v>项目支出</c:v>
                </c:pt>
              </c:strCache>
            </c:strRef>
          </c:cat>
          <c:val>
            <c:numRef>
              <c:f>'[图表 在 万源市罗文镇2021年度部门决算分析报告.doc]Sheet1 (3)'!$K$8:$L$8</c:f>
              <c:numCache>
                <c:formatCode>0%</c:formatCode>
                <c:ptCount val="2"/>
                <c:pt idx="0">
                  <c:v>0.71</c:v>
                </c:pt>
                <c:pt idx="1">
                  <c:v>0.29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一般公共预算财政拨款支出决算变动情况</a:t>
            </a:r>
            <a:endParaRPr lang="zh-CN" sz="1400" b="0" i="0" u="none" strike="noStrike" kern="1200" spc="0" baseline="0">
              <a:solidFill>
                <a:schemeClr val="tx1">
                  <a:lumMod val="65000"/>
                  <a:lumOff val="35000"/>
                </a:schemeClr>
              </a:solidFill>
              <a:latin typeface="+mn-lt"/>
              <a:ea typeface="+mn-ea"/>
              <a:cs typeface="+mn-cs"/>
            </a:endParaRPr>
          </a:p>
        </c:rich>
      </c:tx>
      <c:layout/>
      <c:overlay val="0"/>
    </c:title>
    <c:autoTitleDeleted val="0"/>
    <c:plotArea>
      <c:layout>
        <c:manualLayout>
          <c:layoutTarget val="inner"/>
          <c:xMode val="edge"/>
          <c:yMode val="edge"/>
          <c:x val="0.130141063802252"/>
          <c:y val="0.156115550092194"/>
          <c:w val="0.842940339070791"/>
          <c:h val="0.6519975414874"/>
        </c:manualLayout>
      </c:layout>
      <c:barChart>
        <c:barDir val="col"/>
        <c:grouping val="clustered"/>
        <c:varyColors val="0"/>
        <c:ser>
          <c:idx val="0"/>
          <c:order val="0"/>
          <c:tx>
            <c:strRef>
              <c:f>'[图表 在 万源市罗文镇2021年度部门决算分析报告.doc]Sheet1 (4)'!$B$3</c:f>
              <c:strCache>
                <c:ptCount val="1"/>
                <c:pt idx="0">
                  <c:v>2020年</c:v>
                </c:pt>
              </c:strCache>
            </c:strRef>
          </c:tx>
          <c:spPr>
            <a:solidFill>
              <a:srgbClr val="5B9BD5">
                <a:alpha val="100000"/>
              </a:srgbClr>
            </a:solidFill>
            <a:ln w="3175">
              <a:no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 在 万源市罗文镇2021年度部门决算分析报告.doc]Sheet1 (4)'!$C$2</c:f>
              <c:strCache>
                <c:ptCount val="1"/>
                <c:pt idx="0">
                  <c:v>一般公共预算财政拨款支出</c:v>
                </c:pt>
              </c:strCache>
            </c:strRef>
          </c:cat>
          <c:val>
            <c:numRef>
              <c:f>'[图表 在 万源市罗文镇2021年度部门决算分析报告.doc]Sheet1 (4)'!$C$3</c:f>
              <c:numCache>
                <c:formatCode>General</c:formatCode>
                <c:ptCount val="1"/>
                <c:pt idx="0">
                  <c:v>1694.14</c:v>
                </c:pt>
              </c:numCache>
            </c:numRef>
          </c:val>
        </c:ser>
        <c:ser>
          <c:idx val="1"/>
          <c:order val="1"/>
          <c:tx>
            <c:strRef>
              <c:f>'[图表 在 万源市罗文镇2021年度部门决算分析报告.doc]Sheet1 (4)'!$B$4</c:f>
              <c:strCache>
                <c:ptCount val="1"/>
                <c:pt idx="0">
                  <c:v>2021年</c:v>
                </c:pt>
              </c:strCache>
            </c:strRef>
          </c:tx>
          <c:spPr>
            <a:solidFill>
              <a:srgbClr val="ED7D31">
                <a:alpha val="100000"/>
              </a:srgbClr>
            </a:solidFill>
            <a:ln w="3175">
              <a:no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 在 万源市罗文镇2021年度部门决算分析报告.doc]Sheet1 (4)'!$C$2</c:f>
              <c:strCache>
                <c:ptCount val="1"/>
                <c:pt idx="0">
                  <c:v>一般公共预算财政拨款支出</c:v>
                </c:pt>
              </c:strCache>
            </c:strRef>
          </c:cat>
          <c:val>
            <c:numRef>
              <c:f>'[图表 在 万源市罗文镇2021年度部门决算分析报告.doc]Sheet1 (4)'!$C$4</c:f>
              <c:numCache>
                <c:formatCode>General</c:formatCode>
                <c:ptCount val="1"/>
                <c:pt idx="0">
                  <c:v>1541.06</c:v>
                </c:pt>
              </c:numCache>
            </c:numRef>
          </c:val>
        </c:ser>
        <c:dLbls>
          <c:showLegendKey val="0"/>
          <c:showVal val="0"/>
          <c:showCatName val="0"/>
          <c:showSerName val="0"/>
          <c:showPercent val="0"/>
          <c:showBubbleSize val="0"/>
        </c:dLbls>
        <c:gapWidth val="219"/>
        <c:overlap val="-27"/>
        <c:axId val="532180559"/>
        <c:axId val="304475309"/>
      </c:barChart>
      <c:catAx>
        <c:axId val="532180559"/>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475309"/>
        <c:crosses val="autoZero"/>
        <c:auto val="1"/>
        <c:lblAlgn val="ctr"/>
        <c:lblOffset val="100"/>
        <c:noMultiLvlLbl val="0"/>
      </c:catAx>
      <c:valAx>
        <c:axId val="304475309"/>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3175"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2180559"/>
        <c:crosses val="autoZero"/>
        <c:crossBetween val="between"/>
      </c:valAx>
      <c:spPr>
        <a:noFill/>
        <a:ln w="3175">
          <a:noFill/>
        </a:ln>
      </c:spPr>
    </c:plotArea>
    <c:legend>
      <c:legendPos val="r"/>
      <c:layout>
        <c:manualLayout>
          <c:xMode val="edge"/>
          <c:yMode val="edge"/>
          <c:x val="0.3875"/>
          <c:y val="0.8945"/>
          <c:w val="0.222596096901587"/>
          <c:h val="0.0737553816854507"/>
        </c:manualLayout>
      </c:layout>
      <c:overlay val="0"/>
      <c:spPr>
        <a:noFill/>
        <a:ln w="3175">
          <a:noFill/>
        </a:ln>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406416666666667"/>
          <c:y val="0.331041666666667"/>
          <c:w val="0.352611111111111"/>
          <c:h val="0.587685185185185"/>
        </c:manualLayout>
      </c:layout>
      <c:pieChart>
        <c:varyColors val="1"/>
        <c:ser>
          <c:idx val="0"/>
          <c:order val="0"/>
          <c:tx>
            <c:strRef>
              <c:f>'[图表 在 万源市罗文镇2021年度部门决算分析报告.doc]Sheet1 (4)'!$J$8</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4"/>
              <c:layout>
                <c:manualLayout>
                  <c:x val="0.0837354688173294"/>
                  <c:y val="-0.0094782464432631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652954007355867"/>
                  <c:y val="0.00079524589670781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 在 万源市罗文镇2021年度部门决算分析报告.doc]Sheet1 (4)'!$K$7:$R$7</c:f>
              <c:strCache>
                <c:ptCount val="8"/>
                <c:pt idx="0">
                  <c:v>一般公共服务</c:v>
                </c:pt>
                <c:pt idx="1">
                  <c:v>公共安全</c:v>
                </c:pt>
                <c:pt idx="2">
                  <c:v>社会保障和就业</c:v>
                </c:pt>
                <c:pt idx="3">
                  <c:v>卫生健康</c:v>
                </c:pt>
                <c:pt idx="4">
                  <c:v>节能环保</c:v>
                </c:pt>
                <c:pt idx="5">
                  <c:v>农林水</c:v>
                </c:pt>
                <c:pt idx="6">
                  <c:v>交通运输</c:v>
                </c:pt>
                <c:pt idx="7">
                  <c:v>住房保障</c:v>
                </c:pt>
              </c:strCache>
            </c:strRef>
          </c:cat>
          <c:val>
            <c:numRef>
              <c:f>'[图表 在 万源市罗文镇2021年度部门决算分析报告.doc]Sheet1 (4)'!$K$8:$R$8</c:f>
              <c:numCache>
                <c:formatCode>0.00%</c:formatCode>
                <c:ptCount val="8"/>
                <c:pt idx="0">
                  <c:v>0.27</c:v>
                </c:pt>
                <c:pt idx="1">
                  <c:v>0.0035</c:v>
                </c:pt>
                <c:pt idx="2">
                  <c:v>0.194</c:v>
                </c:pt>
                <c:pt idx="3">
                  <c:v>0.018</c:v>
                </c:pt>
                <c:pt idx="4">
                  <c:v>0.003</c:v>
                </c:pt>
                <c:pt idx="5">
                  <c:v>0.46</c:v>
                </c:pt>
                <c:pt idx="6">
                  <c:v>0.025</c:v>
                </c:pt>
                <c:pt idx="7">
                  <c:v>0.0265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83742911153119"/>
          <c:y val="0.20599300147001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title>
    <c:autoTitleDeleted val="0"/>
    <c:plotArea>
      <c:layout/>
      <c:pieChart>
        <c:varyColors val="1"/>
        <c:ser>
          <c:idx val="0"/>
          <c:order val="0"/>
          <c:tx>
            <c:strRef>
              <c:f>'[图表 在 万源市罗文镇2021年度部门决算分析报告.doc1]Sheet1 (2)'!$B$3</c:f>
              <c:strCache>
                <c:ptCount val="1"/>
                <c:pt idx="0">
                  <c:v>“三公”经费财政拨款支出结构</c:v>
                </c:pt>
              </c:strCache>
            </c:strRef>
          </c:tx>
          <c:spPr>
            <a:solidFill>
              <a:srgbClr val="859949"/>
            </a:solidFill>
            <a:ln w="31750">
              <a:solidFill>
                <a:schemeClr val="bg1">
                  <a:alpha val="42000"/>
                </a:schemeClr>
              </a:solidFill>
            </a:ln>
          </c:spPr>
          <c:explosion val="0"/>
          <c:dPt>
            <c:idx val="0"/>
            <c:bubble3D val="0"/>
            <c:explosion val="0"/>
            <c:spPr>
              <a:solidFill>
                <a:srgbClr val="ED7D31"/>
              </a:solidFill>
              <a:ln w="31750">
                <a:solidFill>
                  <a:schemeClr val="bg1">
                    <a:alpha val="42000"/>
                  </a:schemeClr>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'[图表 在 万源市罗文镇2021年度部门决算分析报告.doc1]Sheet1 (2)'!$C$2</c:f>
              <c:strCache>
                <c:ptCount val="1"/>
                <c:pt idx="0">
                  <c:v>公务接待</c:v>
                </c:pt>
              </c:strCache>
            </c:strRef>
          </c:cat>
          <c:val>
            <c:numRef>
              <c:f>'[图表 在 万源市罗文镇2021年度部门决算分析报告.doc1]Sheet1 (2)'!$C$3</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wrap="square"/>
    <a:lstStyle/>
    <a:p>
      <a:pPr>
        <a:defRPr lang="zh-CN">
          <a:solidFill>
            <a:srgbClr val="FF0000"/>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34</Pages>
  <Words>12966</Words>
  <Characters>13754</Characters>
  <Lines>61</Lines>
  <Paragraphs>17</Paragraphs>
  <TotalTime>8</TotalTime>
  <ScaleCrop>false</ScaleCrop>
  <LinksUpToDate>false</LinksUpToDate>
  <CharactersWithSpaces>13805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醉 @清风</cp:lastModifiedBy>
  <cp:lastPrinted>2022-10-20T05:38:00Z</cp:lastPrinted>
  <dcterms:modified xsi:type="dcterms:W3CDTF">2022-10-20T08:55:30Z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6B35BD5985F54F009966EE325CD50F41</vt:lpwstr>
  </property>
</Properties>
</file>