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193"/>
      <w:bookmarkStart w:id="1" w:name="_Toc15396475"/>
      <w:bookmarkStart w:id="2" w:name="_Toc15377425"/>
      <w:bookmarkStart w:id="3" w:name="_Toc15378441"/>
      <w:bookmarkStart w:id="4" w:name="_Toc15396597"/>
      <w:bookmarkStart w:id="5" w:name="_Toc15306267"/>
    </w:p>
    <w:p>
      <w:pPr>
        <w:pStyle w:val="6"/>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2023年度</w:t>
      </w:r>
      <w:bookmarkEnd w:id="0"/>
      <w:bookmarkEnd w:id="1"/>
      <w:bookmarkEnd w:id="2"/>
      <w:bookmarkEnd w:id="3"/>
      <w:bookmarkEnd w:id="4"/>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8442"/>
      <w:bookmarkStart w:id="7" w:name="_Toc15396598"/>
      <w:bookmarkStart w:id="8" w:name="_Toc15377194"/>
      <w:bookmarkStart w:id="9" w:name="_Toc15396476"/>
      <w:bookmarkStart w:id="10" w:name="_Toc15377426"/>
      <w:r>
        <w:rPr>
          <w:rFonts w:hint="eastAsia" w:ascii="方正小标宋简体" w:hAnsi="方正小标宋简体" w:eastAsia="方正小标宋简体" w:cs="方正小标宋简体"/>
          <w:sz w:val="72"/>
          <w:szCs w:val="72"/>
        </w:rPr>
        <w:t>四川省</w:t>
      </w:r>
      <w:bookmarkEnd w:id="5"/>
      <w:bookmarkStart w:id="11" w:name="_Toc15306268"/>
      <w:r>
        <w:rPr>
          <w:rFonts w:hint="eastAsia" w:ascii="方正小标宋简体" w:hAnsi="方正小标宋简体" w:eastAsia="方正小标宋简体" w:cs="方正小标宋简体"/>
          <w:sz w:val="72"/>
          <w:szCs w:val="72"/>
          <w:lang w:eastAsia="zh-CN"/>
        </w:rPr>
        <w:t>万源市交通运输局</w:t>
      </w: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sz w:val="52"/>
          <w:szCs w:val="52"/>
        </w:rPr>
      </w:pP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w:t>
      </w:r>
      <w:r>
        <w:rPr>
          <w:rFonts w:hint="eastAsia"/>
          <w:lang w:val="en-US" w:eastAsia="zh-CN"/>
        </w:rPr>
        <w:t>4</w:t>
      </w:r>
      <w:r>
        <w:rPr>
          <w:rFonts w:hint="eastAsia"/>
        </w:rPr>
        <w:t>年</w:t>
      </w:r>
      <w:r>
        <w:rPr>
          <w:rFonts w:hint="eastAsia"/>
          <w:lang w:val="en-US" w:eastAsia="zh-CN"/>
        </w:rPr>
        <w:t>11</w:t>
      </w:r>
      <w:r>
        <w:rPr>
          <w:rFonts w:hint="eastAsia"/>
        </w:rPr>
        <w:t>月</w:t>
      </w:r>
      <w:r>
        <w:rPr>
          <w:rFonts w:hint="eastAsia"/>
          <w:lang w:val="en-US" w:eastAsia="zh-CN"/>
        </w:rPr>
        <w:t>14</w:t>
      </w:r>
      <w:r>
        <w:rPr>
          <w:rFonts w:hint="eastAsia"/>
        </w:rPr>
        <w:t>日</w:t>
      </w:r>
    </w:p>
    <w:p/>
    <w:p>
      <w:pPr>
        <w:pStyle w:val="12"/>
        <w:adjustRightInd w:val="0"/>
        <w:snapToGrid w:val="0"/>
        <w:spacing w:before="0" w:line="440" w:lineRule="exact"/>
        <w:jc w:val="left"/>
        <w:rPr>
          <w:rFonts w:hint="default" w:cstheme="minorBidi"/>
          <w:sz w:val="24"/>
          <w:szCs w:val="24"/>
          <w:lang w:val="en-US"/>
        </w:rPr>
      </w:pPr>
      <w:r>
        <w:rPr>
          <w:rFonts w:hint="eastAsia"/>
          <w:sz w:val="24"/>
        </w:rPr>
        <w:t>第一部分</w:t>
      </w:r>
      <w:r>
        <w:rPr>
          <w:sz w:val="24"/>
        </w:rPr>
        <w:t xml:space="preserve"> </w:t>
      </w:r>
      <w:r>
        <w:rPr>
          <w:rFonts w:hint="eastAsia"/>
          <w:sz w:val="24"/>
        </w:rPr>
        <w:t>部门概况</w:t>
      </w:r>
      <w:r>
        <w:rPr>
          <w:rFonts w:hint="eastAsia"/>
          <w:color w:val="auto"/>
          <w:sz w:val="24"/>
          <w:highlight w:val="none"/>
          <w:lang w:val="en-US" w:eastAsia="zh-CN"/>
        </w:rPr>
        <w:tab/>
      </w:r>
      <w:r>
        <w:rPr>
          <w:rFonts w:hint="eastAsia"/>
          <w:color w:val="auto"/>
          <w:sz w:val="24"/>
          <w:highlight w:val="none"/>
          <w:lang w:val="en-US" w:eastAsia="zh-CN"/>
        </w:rPr>
        <w:t>4</w:t>
      </w:r>
    </w:p>
    <w:p>
      <w:pPr>
        <w:pStyle w:val="13"/>
        <w:adjustRightInd w:val="0"/>
        <w:snapToGrid w:val="0"/>
        <w:spacing w:line="440" w:lineRule="exact"/>
        <w:jc w:val="left"/>
        <w:rPr>
          <w:rFonts w:hint="default" w:ascii="仿宋" w:hAnsi="仿宋" w:eastAsia="宋体"/>
          <w:sz w:val="24"/>
          <w:lang w:val="en-US" w:eastAsia="zh-CN"/>
        </w:rPr>
      </w:pPr>
      <w:r>
        <w:rPr>
          <w:rFonts w:hint="eastAsia"/>
          <w:sz w:val="24"/>
        </w:rPr>
        <w:t>一、部门职责</w:t>
      </w:r>
      <w:r>
        <w:rPr>
          <w:rFonts w:hint="eastAsia"/>
          <w:sz w:val="24"/>
          <w:lang w:val="en-US" w:eastAsia="zh-CN"/>
        </w:rPr>
        <w:t>.........................................................................................................4</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二、机构设置</w:t>
      </w:r>
      <w:r>
        <w:rPr>
          <w:rFonts w:hint="eastAsia"/>
          <w:sz w:val="24"/>
          <w:lang w:val="en-US" w:eastAsia="zh-CN"/>
        </w:rPr>
        <w:t>.........................................................................................................6</w:t>
      </w:r>
    </w:p>
    <w:p>
      <w:pPr>
        <w:pStyle w:val="12"/>
        <w:adjustRightInd w:val="0"/>
        <w:snapToGrid w:val="0"/>
        <w:spacing w:before="0" w:line="440" w:lineRule="exact"/>
        <w:jc w:val="left"/>
        <w:rPr>
          <w:rFonts w:hint="default" w:eastAsia="仿宋"/>
          <w:sz w:val="24"/>
          <w:szCs w:val="24"/>
          <w:lang w:val="en-US" w:eastAsia="zh-CN"/>
        </w:rPr>
      </w:pPr>
      <w:r>
        <w:rPr>
          <w:rFonts w:hint="eastAsia"/>
          <w:sz w:val="24"/>
        </w:rPr>
        <w:t>第二部分 2023年度部门决算情况说明</w:t>
      </w:r>
      <w:r>
        <w:rPr>
          <w:rFonts w:hint="eastAsia" w:ascii="Times New Roman" w:hAnsi="Times New Roman" w:eastAsia="宋体" w:cs="Times New Roman"/>
          <w:kern w:val="2"/>
          <w:sz w:val="24"/>
          <w:szCs w:val="24"/>
          <w:lang w:val="en-US" w:eastAsia="zh-CN" w:bidi="ar-SA"/>
        </w:rPr>
        <w:t>.....................................................................</w:t>
      </w:r>
      <w:r>
        <w:rPr>
          <w:rFonts w:hint="eastAsia"/>
          <w:sz w:val="24"/>
          <w:lang w:val="en-US" w:eastAsia="zh-CN"/>
        </w:rPr>
        <w:t>7</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一、收入支出决算总体情况说明</w:t>
      </w:r>
      <w:r>
        <w:rPr>
          <w:rFonts w:hint="eastAsia"/>
          <w:sz w:val="24"/>
          <w:lang w:val="en-US" w:eastAsia="zh-CN"/>
        </w:rPr>
        <w:t>.........................................................................7</w:t>
      </w:r>
    </w:p>
    <w:p>
      <w:pPr>
        <w:pStyle w:val="13"/>
        <w:adjustRightInd w:val="0"/>
        <w:snapToGrid w:val="0"/>
        <w:spacing w:line="440" w:lineRule="exact"/>
        <w:jc w:val="left"/>
        <w:rPr>
          <w:rFonts w:hint="default" w:ascii="仿宋" w:hAnsi="仿宋" w:eastAsia="仿宋" w:cstheme="minorBidi"/>
          <w:sz w:val="24"/>
          <w:lang w:val="en-US"/>
        </w:rPr>
      </w:pPr>
      <w:r>
        <w:rPr>
          <w:rFonts w:hint="eastAsia"/>
          <w:sz w:val="24"/>
        </w:rPr>
        <w:t>二、收入决算情况说明</w:t>
      </w:r>
      <w:r>
        <w:rPr>
          <w:rFonts w:hint="eastAsia"/>
          <w:sz w:val="24"/>
          <w:lang w:val="en-US" w:eastAsia="zh-CN"/>
        </w:rPr>
        <w:t>..........................................................................................7</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三、支出决算情况说明</w:t>
      </w:r>
      <w:r>
        <w:rPr>
          <w:rFonts w:hint="eastAsia"/>
          <w:sz w:val="24"/>
          <w:lang w:val="en-US" w:eastAsia="zh-CN"/>
        </w:rPr>
        <w:t>..........................................................................................8</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四、财政拨款收入支出决算总体情况说明</w:t>
      </w:r>
      <w:r>
        <w:rPr>
          <w:rFonts w:hint="eastAsia"/>
          <w:sz w:val="24"/>
          <w:lang w:val="en-US" w:eastAsia="zh-CN"/>
        </w:rPr>
        <w:t>..........................................................9</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五、一般公共预算财政拨款支出决算情况说明</w:t>
      </w:r>
      <w:r>
        <w:rPr>
          <w:rFonts w:hint="eastAsia"/>
          <w:sz w:val="24"/>
          <w:lang w:val="en-US" w:eastAsia="zh-CN"/>
        </w:rPr>
        <w:t>..................................................9</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sz w:val="24"/>
          <w:lang w:val="en-US" w:eastAsia="zh-CN"/>
        </w:rPr>
        <w:t>.........................................13</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rPr>
          <w:rFonts w:hint="eastAsia"/>
          <w:sz w:val="24"/>
          <w:lang w:val="en-US" w:eastAsia="zh-CN"/>
        </w:rPr>
        <w:t>................................................13</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hint="eastAsia"/>
          <w:sz w:val="24"/>
          <w:lang w:val="en-US" w:eastAsia="zh-CN"/>
        </w:rPr>
        <w:t>............................................................14</w:t>
      </w:r>
    </w:p>
    <w:p>
      <w:pPr>
        <w:pStyle w:val="13"/>
        <w:adjustRightInd w:val="0"/>
        <w:snapToGrid w:val="0"/>
        <w:spacing w:line="440" w:lineRule="exact"/>
        <w:ind w:leftChars="0"/>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九、国有资本经营预算支出决算情况说明</w:t>
      </w:r>
      <w:r>
        <w:rPr>
          <w:rFonts w:hint="eastAsia"/>
          <w:sz w:val="24"/>
          <w:lang w:val="en-US" w:eastAsia="zh-CN"/>
        </w:rPr>
        <w:t>........................................................14</w:t>
      </w:r>
    </w:p>
    <w:p>
      <w:pPr>
        <w:adjustRightInd w:val="0"/>
        <w:snapToGrid w:val="0"/>
        <w:spacing w:line="440" w:lineRule="exact"/>
        <w:ind w:firstLine="420" w:firstLineChars="175"/>
        <w:jc w:val="left"/>
        <w:rPr>
          <w:rFonts w:asciiTheme="minorEastAsia" w:hAnsiTheme="minorEastAsia" w:eastAsiaTheme="minorEastAsia" w:cstheme="minorEastAsia"/>
          <w:sz w:val="24"/>
        </w:rPr>
      </w:pPr>
      <w:r>
        <w:rPr>
          <w:rStyle w:val="18"/>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hint="eastAsia" w:ascii="Times New Roman" w:hAnsi="Times New Roman" w:eastAsia="宋体" w:cs="Times New Roman"/>
          <w:kern w:val="2"/>
          <w:sz w:val="24"/>
          <w:szCs w:val="24"/>
          <w:lang w:val="en-US" w:eastAsia="zh-CN" w:bidi="ar-SA"/>
        </w:rPr>
        <w:t>..................</w:t>
      </w:r>
      <w:r>
        <w:rPr>
          <w:rFonts w:hint="eastAsia" w:cs="Times New Roman"/>
          <w:kern w:val="2"/>
          <w:sz w:val="24"/>
          <w:szCs w:val="24"/>
          <w:lang w:val="en-US" w:eastAsia="zh-CN" w:bidi="ar-SA"/>
        </w:rPr>
        <w:t>..........................................................14</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ascii="Times New Roman" w:hAnsi="Times New Roman" w:eastAsia="宋体" w:cs="Times New Roman"/>
          <w:kern w:val="2"/>
          <w:sz w:val="24"/>
          <w:szCs w:val="24"/>
          <w:lang w:val="en-US" w:eastAsia="zh-CN" w:bidi="ar-SA"/>
        </w:rPr>
        <w:t>....................................................................................................17</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ascii="Times New Roman" w:hAnsi="Times New Roman" w:eastAsia="宋体" w:cs="Times New Roman"/>
          <w:kern w:val="2"/>
          <w:sz w:val="24"/>
          <w:szCs w:val="24"/>
          <w:lang w:val="en-US" w:eastAsia="zh-CN" w:bidi="ar-SA"/>
        </w:rPr>
        <w:t>............................................................................................................20</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ascii="Times New Roman" w:hAnsi="Times New Roman" w:eastAsia="宋体" w:cs="Times New Roman"/>
          <w:kern w:val="2"/>
          <w:sz w:val="24"/>
          <w:szCs w:val="24"/>
          <w:lang w:val="en-US" w:eastAsia="zh-CN" w:bidi="ar-SA"/>
        </w:rPr>
        <w:t>............................................................................................................36</w:t>
      </w:r>
      <w:bookmarkStart w:id="50" w:name="_GoBack"/>
      <w:bookmarkEnd w:id="50"/>
    </w:p>
    <w:p>
      <w:pPr>
        <w:pStyle w:val="13"/>
        <w:adjustRightInd w:val="0"/>
        <w:snapToGrid w:val="0"/>
        <w:spacing w:line="440" w:lineRule="exact"/>
        <w:jc w:val="left"/>
        <w:rPr>
          <w:sz w:val="24"/>
        </w:rPr>
      </w:pPr>
      <w:r>
        <w:rPr>
          <w:rFonts w:hint="eastAsia"/>
          <w:sz w:val="24"/>
        </w:rPr>
        <w:t>一、收入支出决算总表</w:t>
      </w:r>
    </w:p>
    <w:p>
      <w:pPr>
        <w:pStyle w:val="13"/>
        <w:adjustRightInd w:val="0"/>
        <w:snapToGrid w:val="0"/>
        <w:spacing w:line="440" w:lineRule="exact"/>
        <w:jc w:val="left"/>
        <w:rPr>
          <w:sz w:val="24"/>
        </w:rPr>
      </w:pPr>
      <w:r>
        <w:rPr>
          <w:rFonts w:hint="eastAsia"/>
          <w:sz w:val="24"/>
        </w:rPr>
        <w:t>二、收入决算表</w:t>
      </w:r>
    </w:p>
    <w:p>
      <w:pPr>
        <w:pStyle w:val="13"/>
        <w:adjustRightInd w:val="0"/>
        <w:snapToGrid w:val="0"/>
        <w:spacing w:line="440" w:lineRule="exact"/>
        <w:jc w:val="left"/>
        <w:rPr>
          <w:sz w:val="24"/>
        </w:rPr>
      </w:pPr>
      <w:r>
        <w:rPr>
          <w:rFonts w:hint="eastAsia"/>
          <w:sz w:val="24"/>
        </w:rPr>
        <w:t>三、支出决算表</w:t>
      </w:r>
    </w:p>
    <w:p>
      <w:pPr>
        <w:pStyle w:val="13"/>
        <w:adjustRightInd w:val="0"/>
        <w:snapToGrid w:val="0"/>
        <w:spacing w:line="440" w:lineRule="exact"/>
        <w:jc w:val="left"/>
        <w:rPr>
          <w:sz w:val="24"/>
        </w:rPr>
      </w:pPr>
      <w:r>
        <w:rPr>
          <w:rFonts w:hint="eastAsia"/>
          <w:sz w:val="24"/>
        </w:rPr>
        <w:t>四、财政拨款收入支出决算总表</w:t>
      </w:r>
    </w:p>
    <w:p>
      <w:pPr>
        <w:pStyle w:val="13"/>
        <w:adjustRightInd w:val="0"/>
        <w:snapToGrid w:val="0"/>
        <w:spacing w:line="440" w:lineRule="exact"/>
        <w:jc w:val="left"/>
        <w:rPr>
          <w:sz w:val="24"/>
        </w:rPr>
      </w:pPr>
      <w:r>
        <w:rPr>
          <w:rFonts w:hint="eastAsia"/>
          <w:sz w:val="24"/>
        </w:rPr>
        <w:t>五、财政拨款支出决算明细表</w:t>
      </w:r>
    </w:p>
    <w:p>
      <w:pPr>
        <w:pStyle w:val="13"/>
        <w:adjustRightInd w:val="0"/>
        <w:snapToGrid w:val="0"/>
        <w:spacing w:line="440" w:lineRule="exact"/>
        <w:jc w:val="left"/>
        <w:rPr>
          <w:sz w:val="24"/>
        </w:rPr>
      </w:pPr>
      <w:r>
        <w:rPr>
          <w:rFonts w:hint="eastAsia"/>
          <w:sz w:val="24"/>
        </w:rPr>
        <w:t>六、一般公共预算财政拨款支出决算表</w:t>
      </w:r>
    </w:p>
    <w:p>
      <w:pPr>
        <w:pStyle w:val="13"/>
        <w:adjustRightInd w:val="0"/>
        <w:snapToGrid w:val="0"/>
        <w:spacing w:line="440" w:lineRule="exact"/>
        <w:jc w:val="left"/>
        <w:rPr>
          <w:sz w:val="24"/>
        </w:rPr>
      </w:pPr>
      <w:r>
        <w:rPr>
          <w:rFonts w:hint="eastAsia"/>
          <w:sz w:val="24"/>
        </w:rPr>
        <w:t>七、一般公共预算财政拨款支出决算明细表</w:t>
      </w:r>
    </w:p>
    <w:p>
      <w:pPr>
        <w:pStyle w:val="13"/>
        <w:adjustRightInd w:val="0"/>
        <w:snapToGrid w:val="0"/>
        <w:spacing w:line="440" w:lineRule="exact"/>
        <w:jc w:val="left"/>
        <w:rPr>
          <w:sz w:val="24"/>
        </w:rPr>
      </w:pPr>
      <w:r>
        <w:rPr>
          <w:rFonts w:hint="eastAsia"/>
          <w:sz w:val="24"/>
        </w:rPr>
        <w:t>八、一般公共预算财政拨款基本支出决算明细表</w:t>
      </w:r>
    </w:p>
    <w:p>
      <w:pPr>
        <w:pStyle w:val="13"/>
        <w:adjustRightInd w:val="0"/>
        <w:snapToGrid w:val="0"/>
        <w:spacing w:line="440" w:lineRule="exact"/>
        <w:jc w:val="left"/>
        <w:rPr>
          <w:sz w:val="24"/>
        </w:rPr>
      </w:pPr>
      <w:r>
        <w:rPr>
          <w:rFonts w:hint="eastAsia"/>
          <w:sz w:val="24"/>
        </w:rPr>
        <w:t>九、一般公共预算财政拨款项目支出决算表</w:t>
      </w:r>
    </w:p>
    <w:p>
      <w:pPr>
        <w:pStyle w:val="13"/>
        <w:adjustRightInd w:val="0"/>
        <w:snapToGrid w:val="0"/>
        <w:spacing w:line="440" w:lineRule="exact"/>
        <w:jc w:val="left"/>
        <w:rPr>
          <w:sz w:val="24"/>
        </w:rPr>
      </w:pPr>
      <w:r>
        <w:rPr>
          <w:rFonts w:hint="eastAsia"/>
          <w:sz w:val="24"/>
        </w:rPr>
        <w:t>十、政府性基金预算财政拨款收入支出决算表</w:t>
      </w:r>
    </w:p>
    <w:p>
      <w:pPr>
        <w:pStyle w:val="13"/>
        <w:adjustRightInd w:val="0"/>
        <w:snapToGrid w:val="0"/>
        <w:spacing w:line="440" w:lineRule="exact"/>
        <w:jc w:val="left"/>
        <w:rPr>
          <w:sz w:val="24"/>
        </w:rPr>
      </w:pPr>
      <w:r>
        <w:rPr>
          <w:rFonts w:hint="eastAsia"/>
          <w:sz w:val="24"/>
        </w:rPr>
        <w:t>十一、国有资本经营预算财政拨款收入支出决算表</w:t>
      </w:r>
    </w:p>
    <w:p>
      <w:pPr>
        <w:pStyle w:val="13"/>
        <w:adjustRightInd w:val="0"/>
        <w:snapToGrid w:val="0"/>
        <w:spacing w:line="440" w:lineRule="exact"/>
        <w:jc w:val="left"/>
        <w:rPr>
          <w:sz w:val="24"/>
        </w:rPr>
      </w:pPr>
      <w:r>
        <w:rPr>
          <w:rFonts w:hint="eastAsia"/>
          <w:sz w:val="24"/>
        </w:rPr>
        <w:t>十二、国有资本经营预算财政拨款支出决算表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sz w:val="24"/>
        </w:rPr>
        <w:t>十三、财政拨款“三公”经费支出决算表</w:t>
      </w:r>
    </w:p>
    <w:p>
      <w:pPr>
        <w:widowControl/>
        <w:adjustRightInd w:val="0"/>
        <w:snapToGrid w:val="0"/>
        <w:spacing w:line="440" w:lineRule="exact"/>
        <w:ind w:firstLine="1320" w:firstLineChars="550"/>
        <w:jc w:val="left"/>
        <w:rPr>
          <w:rFonts w:ascii="仿宋" w:hAnsi="仿宋" w:eastAsia="仿宋"/>
          <w:sz w:val="24"/>
        </w:rPr>
      </w:pP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2"/>
        <w:jc w:val="center"/>
        <w:rPr>
          <w:rStyle w:val="28"/>
          <w:rFonts w:ascii="黑体" w:hAnsi="黑体" w:eastAsia="黑体"/>
          <w:b/>
          <w:bCs w:val="0"/>
        </w:rPr>
      </w:pPr>
      <w:r>
        <w:rPr>
          <w:rFonts w:hint="eastAsia" w:ascii="黑体" w:hAnsi="黑体" w:eastAsia="黑体"/>
          <w:b w:val="0"/>
        </w:rPr>
        <w:t xml:space="preserve">第一部分 </w:t>
      </w:r>
      <w:r>
        <w:rPr>
          <w:rStyle w:val="28"/>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3"/>
        <w:numPr>
          <w:ilvl w:val="0"/>
          <w:numId w:val="1"/>
        </w:numPr>
        <w:rPr>
          <w:rFonts w:hint="eastAsia" w:ascii="黑体" w:hAnsi="黑体" w:eastAsia="黑体"/>
          <w:b w:val="0"/>
        </w:rPr>
      </w:pPr>
      <w:r>
        <w:rPr>
          <w:rFonts w:hint="eastAsia" w:ascii="黑体" w:hAnsi="黑体" w:eastAsia="黑体"/>
          <w:b w:val="0"/>
        </w:rPr>
        <w:t>部门职责</w:t>
      </w:r>
    </w:p>
    <w:p>
      <w:pPr>
        <w:pStyle w:val="5"/>
        <w:ind w:firstLine="420" w:firstLineChars="200"/>
        <w:rPr>
          <w:rFonts w:hint="eastAsia" w:ascii="仿宋" w:hAnsi="仿宋" w:eastAsia="仿宋"/>
          <w:color w:val="auto"/>
          <w:sz w:val="32"/>
          <w:szCs w:val="32"/>
          <w:highlight w:val="none"/>
        </w:rPr>
      </w:pPr>
      <w:r>
        <w:rPr>
          <w:rFonts w:hint="eastAsia"/>
          <w:lang w:val="en-US" w:eastAsia="zh-CN"/>
        </w:rPr>
        <w:t xml:space="preserve">  </w:t>
      </w:r>
      <w:r>
        <w:rPr>
          <w:rFonts w:hint="eastAsia" w:ascii="仿宋" w:hAnsi="仿宋" w:eastAsia="仿宋"/>
          <w:color w:val="auto"/>
          <w:sz w:val="32"/>
          <w:szCs w:val="32"/>
          <w:highlight w:val="none"/>
        </w:rPr>
        <w:t>(一)贯彻执行国家、省和达州市有关交通运输行业的法律法规和规章。拟订并监督实施公路、水路等行业规划、政策和标准，会同有关部门组织编制综合运输体系规划，参与拟订物流业发展战略和规划。</w:t>
      </w:r>
    </w:p>
    <w:p>
      <w:pPr>
        <w:pStyle w:val="5"/>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(二)根据省、达州市的总体布局，拟定全市交通运输管理规范性文件，负责本系统、本部门依法行政工作，落实行政执法责任制。指导公路、水路行业有关体制改革工作。</w:t>
      </w:r>
    </w:p>
    <w:p>
      <w:pPr>
        <w:pStyle w:val="5"/>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(三)承担公路、水路交通运输市场监管责任，负责城乡客运、出租车行业管理工作，会同有关部门制定运输价格。</w:t>
      </w:r>
    </w:p>
    <w:p>
      <w:pPr>
        <w:pStyle w:val="5"/>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(四)承担水上交通安全监管责任。负责水上运输船舶及相关水上设施的监督管理工作，负责船员管理工作。负责水上交通安全事故、船舶及水上设施污染事故的应急处置，依法组织或参与事故调查处理工作。</w:t>
      </w:r>
    </w:p>
    <w:p>
      <w:pPr>
        <w:pStyle w:val="5"/>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五)负责提出公路、水路固定资产投资规模和方向、市财政性资金安排建议，按照规定权限审批、核准规划内和年度计划规模内固定资产投资项目。会同有关部门拟订公路、水路有关规费政策并监督实施，提出有关财政、土地、价格等政策建议。指导交通运输行业审计工作。</w:t>
      </w:r>
    </w:p>
    <w:p>
      <w:pPr>
        <w:pStyle w:val="5"/>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六)承担公路、水路建设市场监管责任。拟订公路、水路工程建设相关政策、制度、技术标准并监督实施，组织协调公路、水路有关重点工程建设和工程质量、安全生产监督管理工作。负责对交通行业和产业项目的招标投标活动的监督执法。指导交通运输基础设施管理和维护，承担有关重要设施的管理和维护。会同有关部门组织实施交通运输行业职业资格管理工作。</w:t>
      </w:r>
    </w:p>
    <w:p>
      <w:pPr>
        <w:pStyle w:val="5"/>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七)负责公路、水路行业安全生产和职业健康、应急管理、生态环境保护、节能减排等工作。负责全市交通建设工程项目施工安全监督管理。按规定组织协调省、市重点物资和紧急客货运输，负责全市重点干线路网运行监测和协调。组织协调地方交通战备工作，承担国防动员有关工作。负责辖区范围内的公路、水路、铁路等专业建设工程防雷管理工作。</w:t>
      </w:r>
    </w:p>
    <w:p>
      <w:pPr>
        <w:pStyle w:val="5"/>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(八)拟订交通运输科技政策并监督实施，组织重大科技开发。指导全市交通运输信息化建设，监测分析运行情况，开展相关统计工作，发布有关信息。</w:t>
      </w:r>
    </w:p>
    <w:p>
      <w:pPr>
        <w:pStyle w:val="5"/>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(九)负责职责范围内的审批服务便民化等工作。</w:t>
      </w:r>
    </w:p>
    <w:p>
      <w:pPr>
        <w:pStyle w:val="5"/>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(十)负责公路、水路有关涉外工作，开展对外经济技术交流与合作，指导全市交通运输行业招商引资和利用外资工作。</w:t>
      </w:r>
    </w:p>
    <w:p>
      <w:pPr>
        <w:pStyle w:val="5"/>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(十一)负责渔船检验和监督管理工作。</w:t>
      </w:r>
    </w:p>
    <w:p>
      <w:pPr>
        <w:pStyle w:val="5"/>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(十二)负责全市交通运输综合执法工作。负责全市交通运输综合执法队伍整合和建设，推动实行统一的交通运输综合执法，规范执法行为，依法查处违法案件及大案要案疑难案件。</w:t>
      </w:r>
    </w:p>
    <w:p>
      <w:pPr>
        <w:pStyle w:val="5"/>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(十三)完成市委、市政府交办的其他任务。</w:t>
      </w:r>
    </w:p>
    <w:p>
      <w:pPr>
        <w:pStyle w:val="5"/>
        <w:ind w:firstLine="640" w:firstLineChars="200"/>
        <w:rPr>
          <w:rFonts w:hint="default" w:eastAsia="宋体"/>
          <w:lang w:val="en-US" w:eastAsia="zh-CN"/>
        </w:rPr>
      </w:pPr>
      <w:r>
        <w:rPr>
          <w:rFonts w:hint="eastAsia" w:ascii="仿宋" w:hAnsi="仿宋" w:eastAsia="仿宋"/>
          <w:color w:val="auto"/>
          <w:sz w:val="32"/>
          <w:szCs w:val="32"/>
          <w:highlight w:val="none"/>
        </w:rPr>
        <w:t>(十四)职能转变。</w:t>
      </w:r>
    </w:p>
    <w:p>
      <w:pPr>
        <w:pStyle w:val="3"/>
        <w:rPr>
          <w:rStyle w:val="29"/>
          <w:b w:val="0"/>
          <w:bCs w:val="0"/>
        </w:rPr>
      </w:pPr>
      <w:bookmarkStart w:id="14" w:name="_Toc15396601"/>
      <w:bookmarkStart w:id="15" w:name="_Toc15377200"/>
      <w:r>
        <w:rPr>
          <w:rFonts w:hint="eastAsia" w:ascii="黑体" w:eastAsia="黑体"/>
          <w:b w:val="0"/>
        </w:rPr>
        <w:t>二、</w:t>
      </w:r>
      <w:r>
        <w:rPr>
          <w:rFonts w:hint="eastAsia" w:ascii="黑体" w:hAnsi="黑体" w:eastAsia="黑体"/>
          <w:b w:val="0"/>
        </w:rPr>
        <w:t>机</w:t>
      </w:r>
      <w:r>
        <w:rPr>
          <w:rStyle w:val="29"/>
          <w:rFonts w:hint="eastAsia" w:ascii="黑体" w:hAnsi="黑体" w:eastAsia="黑体"/>
          <w:b w:val="0"/>
          <w:bCs w:val="0"/>
        </w:rPr>
        <w:t>构设置</w:t>
      </w:r>
      <w:bookmarkEnd w:id="14"/>
      <w:bookmarkEnd w:id="15"/>
    </w:p>
    <w:p>
      <w:pPr>
        <w:spacing w:line="520" w:lineRule="exact"/>
        <w:ind w:firstLine="640"/>
        <w:rPr>
          <w:rFonts w:hint="default" w:ascii="华文仿宋" w:hAnsi="华文仿宋" w:eastAsia="华文仿宋" w:cs="仿宋"/>
          <w:sz w:val="32"/>
          <w:szCs w:val="32"/>
          <w:lang w:val="en-US" w:eastAsia="zh-CN"/>
        </w:rPr>
      </w:pPr>
      <w:bookmarkStart w:id="16" w:name="_Toc15396602"/>
      <w:bookmarkStart w:id="17" w:name="_Toc15377204"/>
      <w:r>
        <w:rPr>
          <w:rFonts w:ascii="华文仿宋" w:hAnsi="华文仿宋" w:eastAsia="华文仿宋" w:cs="仿宋"/>
          <w:sz w:val="32"/>
          <w:szCs w:val="32"/>
        </w:rPr>
        <w:t>本年度我</w:t>
      </w:r>
      <w:r>
        <w:rPr>
          <w:rFonts w:hint="eastAsia" w:ascii="华文仿宋" w:hAnsi="华文仿宋" w:eastAsia="华文仿宋" w:cs="仿宋"/>
          <w:sz w:val="32"/>
          <w:szCs w:val="32"/>
        </w:rPr>
        <w:t>单位</w:t>
      </w:r>
      <w:r>
        <w:rPr>
          <w:rFonts w:ascii="华文仿宋" w:hAnsi="华文仿宋" w:eastAsia="华文仿宋" w:cs="仿宋"/>
          <w:sz w:val="32"/>
          <w:szCs w:val="32"/>
        </w:rPr>
        <w:t>设立</w:t>
      </w:r>
      <w:r>
        <w:rPr>
          <w:rFonts w:hint="eastAsia" w:ascii="华文仿宋" w:hAnsi="华文仿宋" w:eastAsia="华文仿宋" w:cs="仿宋"/>
          <w:sz w:val="32"/>
          <w:szCs w:val="32"/>
          <w:lang w:eastAsia="zh-CN"/>
        </w:rPr>
        <w:t>办公室、党建办、建设管理股、规划股、公路养护股、人事股、运输管理股、安全监督股、</w:t>
      </w:r>
      <w:r>
        <w:rPr>
          <w:rFonts w:ascii="华文仿宋" w:hAnsi="华文仿宋" w:eastAsia="华文仿宋" w:cs="仿宋"/>
          <w:sz w:val="32"/>
          <w:szCs w:val="32"/>
        </w:rPr>
        <w:t>办公室、财务</w:t>
      </w:r>
      <w:r>
        <w:rPr>
          <w:rFonts w:hint="eastAsia" w:ascii="华文仿宋" w:hAnsi="华文仿宋" w:eastAsia="华文仿宋" w:cs="仿宋"/>
          <w:sz w:val="32"/>
          <w:szCs w:val="32"/>
          <w:lang w:eastAsia="zh-CN"/>
        </w:rPr>
        <w:t>股、</w:t>
      </w:r>
      <w:r>
        <w:rPr>
          <w:rFonts w:hint="eastAsia" w:ascii="华文仿宋" w:hAnsi="华文仿宋" w:eastAsia="华文仿宋" w:cs="仿宋"/>
          <w:sz w:val="32"/>
          <w:szCs w:val="32"/>
        </w:rPr>
        <w:t>公路（水运）工程质量服务中心</w:t>
      </w:r>
      <w:r>
        <w:rPr>
          <w:rFonts w:ascii="华文仿宋" w:hAnsi="华文仿宋" w:eastAsia="华文仿宋" w:cs="仿宋"/>
          <w:sz w:val="32"/>
          <w:szCs w:val="32"/>
        </w:rPr>
        <w:t>。</w:t>
      </w:r>
    </w:p>
    <w:p>
      <w:pPr>
        <w:pStyle w:val="6"/>
        <w:adjustRightInd w:val="0"/>
        <w:snapToGrid w:val="0"/>
        <w:spacing w:before="93" w:line="600" w:lineRule="exact"/>
        <w:ind w:firstLine="640" w:firstLineChars="200"/>
        <w:rPr>
          <w:rFonts w:hint="default" w:ascii="华文仿宋" w:hAnsi="华文仿宋" w:eastAsia="华文仿宋" w:cs="仿宋"/>
          <w:kern w:val="2"/>
          <w:sz w:val="32"/>
          <w:szCs w:val="32"/>
          <w:lang w:val="en-US" w:eastAsia="zh-CN" w:bidi="ar-SA"/>
        </w:rPr>
      </w:pPr>
      <w:r>
        <w:rPr>
          <w:rFonts w:hint="eastAsia" w:ascii="华文仿宋" w:hAnsi="华文仿宋" w:eastAsia="华文仿宋" w:cs="仿宋"/>
          <w:kern w:val="2"/>
          <w:sz w:val="32"/>
          <w:szCs w:val="32"/>
          <w:lang w:val="en-US" w:eastAsia="zh-CN" w:bidi="ar-SA"/>
        </w:rPr>
        <w:t>万源市交通运输局下属预算单位交通运输综合行政执法大队、养路一段、养路二段均为一级预算单位，二级预算单位0个。</w:t>
      </w:r>
    </w:p>
    <w:p>
      <w:pPr>
        <w:pStyle w:val="2"/>
        <w:ind w:right="440"/>
        <w:jc w:val="center"/>
        <w:rPr>
          <w:rFonts w:hint="eastAsia" w:ascii="黑体" w:hAnsi="黑体" w:eastAsia="黑体"/>
          <w:b w:val="0"/>
        </w:rPr>
      </w:pPr>
    </w:p>
    <w:p>
      <w:pPr>
        <w:pStyle w:val="2"/>
        <w:ind w:right="440"/>
        <w:jc w:val="both"/>
        <w:rPr>
          <w:rFonts w:hint="eastAsia" w:ascii="黑体" w:hAnsi="黑体" w:eastAsia="黑体"/>
          <w:b w:val="0"/>
        </w:rPr>
      </w:pPr>
    </w:p>
    <w:p>
      <w:pPr>
        <w:pStyle w:val="2"/>
        <w:ind w:right="440"/>
        <w:jc w:val="both"/>
        <w:rPr>
          <w:rFonts w:hint="eastAsia" w:ascii="黑体" w:hAnsi="黑体" w:eastAsia="黑体"/>
          <w:b w:val="0"/>
        </w:rPr>
      </w:pPr>
    </w:p>
    <w:p>
      <w:pPr>
        <w:rPr>
          <w:rFonts w:hint="eastAsia"/>
        </w:rPr>
      </w:pPr>
    </w:p>
    <w:p>
      <w:pPr>
        <w:pStyle w:val="2"/>
        <w:ind w:right="440"/>
        <w:jc w:val="center"/>
        <w:rPr>
          <w:rStyle w:val="28"/>
          <w:rFonts w:ascii="黑体" w:hAnsi="黑体" w:eastAsia="黑体"/>
          <w:b w:val="0"/>
          <w:bCs/>
        </w:rPr>
      </w:pPr>
      <w:r>
        <w:rPr>
          <w:rFonts w:hint="eastAsia" w:ascii="黑体" w:hAnsi="黑体" w:eastAsia="黑体"/>
          <w:b w:val="0"/>
        </w:rPr>
        <w:t>第二部分 2023年度</w:t>
      </w:r>
      <w:r>
        <w:rPr>
          <w:rStyle w:val="28"/>
          <w:rFonts w:hint="eastAsia" w:ascii="黑体" w:hAnsi="黑体" w:eastAsia="黑体"/>
          <w:b w:val="0"/>
          <w:bCs/>
        </w:rPr>
        <w:t>部门决算情况说明</w:t>
      </w:r>
      <w:bookmarkEnd w:id="16"/>
      <w:bookmarkEnd w:id="17"/>
    </w:p>
    <w:p/>
    <w:p>
      <w:pPr>
        <w:pStyle w:val="27"/>
        <w:numPr>
          <w:ilvl w:val="0"/>
          <w:numId w:val="2"/>
        </w:numPr>
        <w:spacing w:line="600" w:lineRule="exact"/>
        <w:ind w:firstLineChars="0"/>
        <w:outlineLvl w:val="1"/>
        <w:rPr>
          <w:rStyle w:val="29"/>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9"/>
          <w:rFonts w:hint="eastAsia" w:ascii="黑体" w:hAnsi="黑体" w:eastAsia="黑体"/>
          <w:b w:val="0"/>
        </w:rPr>
        <w:t>入支出决算总体情况说明</w:t>
      </w:r>
      <w:bookmarkEnd w:id="18"/>
      <w:bookmarkEnd w:id="19"/>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2023年度收、支总计均为</w:t>
      </w:r>
      <w:r>
        <w:rPr>
          <w:rFonts w:hint="eastAsia"/>
          <w:sz w:val="32"/>
          <w:szCs w:val="32"/>
        </w:rPr>
        <w:t>26035.68</w:t>
      </w:r>
      <w:r>
        <w:rPr>
          <w:rFonts w:hint="eastAsia" w:ascii="仿宋" w:hAnsi="仿宋" w:eastAsia="仿宋"/>
          <w:sz w:val="32"/>
          <w:szCs w:val="32"/>
        </w:rPr>
        <w:t>万元</w:t>
      </w:r>
      <w:r>
        <w:rPr>
          <w:rFonts w:hint="eastAsia"/>
          <w:sz w:val="32"/>
          <w:szCs w:val="32"/>
        </w:rPr>
        <w:t>。</w:t>
      </w:r>
      <w:r>
        <w:rPr>
          <w:rFonts w:hint="eastAsia" w:ascii="仿宋" w:hAnsi="仿宋" w:eastAsia="仿宋"/>
          <w:sz w:val="32"/>
          <w:szCs w:val="32"/>
        </w:rPr>
        <w:t>与2022年度相比，收、支总计各增加</w:t>
      </w:r>
      <w:r>
        <w:rPr>
          <w:rFonts w:hint="eastAsia" w:ascii="仿宋" w:hAnsi="仿宋" w:eastAsia="仿宋"/>
          <w:sz w:val="32"/>
          <w:szCs w:val="32"/>
          <w:lang w:val="en-US" w:eastAsia="zh-CN"/>
        </w:rPr>
        <w:t>6919.09</w:t>
      </w:r>
      <w:r>
        <w:rPr>
          <w:rFonts w:hint="eastAsia" w:ascii="仿宋" w:hAnsi="仿宋" w:eastAsia="仿宋"/>
          <w:sz w:val="32"/>
          <w:szCs w:val="32"/>
        </w:rPr>
        <w:t>万元，增长</w:t>
      </w:r>
      <w:r>
        <w:rPr>
          <w:rFonts w:hint="eastAsia" w:ascii="仿宋" w:hAnsi="仿宋" w:eastAsia="仿宋"/>
          <w:sz w:val="32"/>
          <w:szCs w:val="32"/>
          <w:lang w:val="en-US" w:eastAsia="zh-CN"/>
        </w:rPr>
        <w:t>36.19</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项目预算收支增加</w:t>
      </w:r>
      <w:r>
        <w:rPr>
          <w:rFonts w:hint="eastAsia" w:ascii="仿宋" w:hAnsi="仿宋" w:eastAsia="仿宋"/>
          <w:sz w:val="32"/>
          <w:szCs w:val="32"/>
        </w:rPr>
        <w:t>。</w:t>
      </w:r>
    </w:p>
    <w:p>
      <w:pPr>
        <w:spacing w:line="600" w:lineRule="exact"/>
        <w:ind w:firstLine="640" w:firstLineChars="200"/>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420" w:firstLineChars="200"/>
        <w:jc w:val="left"/>
      </w:pPr>
    </w:p>
    <w:p>
      <w:pPr>
        <w:spacing w:line="600" w:lineRule="exact"/>
        <w:ind w:firstLine="420" w:firstLineChars="200"/>
        <w:jc w:val="left"/>
      </w:pPr>
    </w:p>
    <w:p>
      <w:pPr>
        <w:spacing w:line="600" w:lineRule="exact"/>
        <w:ind w:firstLine="420" w:firstLineChars="200"/>
        <w:jc w:val="left"/>
      </w:pPr>
    </w:p>
    <w:p>
      <w:pPr>
        <w:spacing w:line="600" w:lineRule="exact"/>
        <w:ind w:firstLine="420" w:firstLineChars="200"/>
        <w:jc w:val="left"/>
      </w:pPr>
    </w:p>
    <w:p>
      <w:pPr>
        <w:spacing w:line="600" w:lineRule="exact"/>
        <w:ind w:firstLine="420" w:firstLineChars="200"/>
        <w:jc w:val="left"/>
      </w:pPr>
    </w:p>
    <w:p>
      <w:pPr>
        <w:spacing w:line="600" w:lineRule="exact"/>
        <w:ind w:firstLine="420" w:firstLineChars="200"/>
        <w:jc w:val="left"/>
      </w:pPr>
    </w:p>
    <w:p>
      <w:pPr>
        <w:spacing w:line="600" w:lineRule="exact"/>
        <w:ind w:firstLine="420" w:firstLineChars="200"/>
        <w:jc w:val="left"/>
        <w:rPr>
          <w:rFonts w:ascii="仿宋_GB2312" w:eastAsia="仿宋_GB2312"/>
          <w:sz w:val="32"/>
          <w:szCs w:val="32"/>
        </w:rPr>
      </w:pPr>
      <w:r>
        <w:drawing>
          <wp:anchor distT="0" distB="0" distL="114300" distR="114300" simplePos="0" relativeHeight="251660288" behindDoc="1" locked="0" layoutInCell="1" allowOverlap="1">
            <wp:simplePos x="0" y="0"/>
            <wp:positionH relativeFrom="column">
              <wp:posOffset>266700</wp:posOffset>
            </wp:positionH>
            <wp:positionV relativeFrom="paragraph">
              <wp:posOffset>-2152650</wp:posOffset>
            </wp:positionV>
            <wp:extent cx="4829175" cy="2457450"/>
            <wp:effectExtent l="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829175" cy="2457450"/>
                    </a:xfrm>
                    <a:prstGeom prst="rect">
                      <a:avLst/>
                    </a:prstGeom>
                    <a:noFill/>
                    <a:ln>
                      <a:noFill/>
                    </a:ln>
                  </pic:spPr>
                </pic:pic>
              </a:graphicData>
            </a:graphic>
          </wp:anchor>
        </w:drawing>
      </w:r>
    </w:p>
    <w:p>
      <w:pPr>
        <w:pStyle w:val="27"/>
        <w:numPr>
          <w:ilvl w:val="0"/>
          <w:numId w:val="2"/>
        </w:numPr>
        <w:spacing w:line="600" w:lineRule="exact"/>
        <w:ind w:firstLineChars="0"/>
        <w:outlineLvl w:val="1"/>
        <w:rPr>
          <w:rStyle w:val="29"/>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9"/>
          <w:rFonts w:hint="eastAsia" w:ascii="黑体" w:hAnsi="黑体" w:eastAsia="黑体"/>
          <w:b w:val="0"/>
        </w:rPr>
        <w:t>入决算情况说明</w:t>
      </w:r>
      <w:bookmarkEnd w:id="20"/>
      <w:bookmarkEnd w:id="21"/>
    </w:p>
    <w:p>
      <w:pPr>
        <w:spacing w:line="600" w:lineRule="exact"/>
        <w:ind w:firstLine="640" w:firstLineChars="200"/>
        <w:jc w:val="left"/>
        <w:outlineLvl w:val="1"/>
        <w:rPr>
          <w:rFonts w:ascii="仿宋" w:hAnsi="仿宋" w:eastAsia="仿宋"/>
          <w:sz w:val="32"/>
          <w:szCs w:val="32"/>
        </w:rPr>
      </w:pPr>
      <w:r>
        <w:rPr>
          <w:rFonts w:hint="eastAsia" w:ascii="仿宋" w:hAnsi="仿宋" w:eastAsia="仿宋"/>
          <w:sz w:val="32"/>
          <w:szCs w:val="32"/>
        </w:rPr>
        <w:t>2023年度本年收入合计</w:t>
      </w:r>
      <w:r>
        <w:rPr>
          <w:sz w:val="32"/>
          <w:szCs w:val="32"/>
        </w:rPr>
        <w:t>26035.68</w:t>
      </w:r>
      <w:r>
        <w:rPr>
          <w:rFonts w:hint="eastAsia" w:ascii="仿宋" w:hAnsi="仿宋" w:eastAsia="仿宋"/>
          <w:sz w:val="32"/>
          <w:szCs w:val="32"/>
        </w:rPr>
        <w:t>万元，其中：一般公共预算财政拨款收入</w:t>
      </w:r>
      <w:r>
        <w:rPr>
          <w:sz w:val="32"/>
          <w:szCs w:val="32"/>
        </w:rPr>
        <w:t>26032.68</w:t>
      </w:r>
      <w:r>
        <w:rPr>
          <w:rFonts w:hint="eastAsia" w:ascii="仿宋" w:hAnsi="仿宋" w:eastAsia="仿宋"/>
          <w:sz w:val="32"/>
          <w:szCs w:val="32"/>
        </w:rPr>
        <w:t>万元，占</w:t>
      </w:r>
      <w:r>
        <w:rPr>
          <w:sz w:val="32"/>
          <w:szCs w:val="32"/>
        </w:rPr>
        <w:t>99.9</w:t>
      </w:r>
      <w:r>
        <w:rPr>
          <w:rFonts w:hint="eastAsia"/>
          <w:sz w:val="32"/>
          <w:szCs w:val="32"/>
          <w:lang w:val="en-US" w:eastAsia="zh-CN"/>
        </w:rPr>
        <w:t>9</w:t>
      </w:r>
      <w:r>
        <w:rPr>
          <w:rFonts w:ascii="仿宋" w:hAnsi="仿宋" w:eastAsia="仿宋"/>
          <w:sz w:val="32"/>
          <w:szCs w:val="32"/>
        </w:rPr>
        <w:t>%</w:t>
      </w:r>
      <w:r>
        <w:rPr>
          <w:rFonts w:hint="eastAsia" w:ascii="仿宋" w:hAnsi="仿宋" w:eastAsia="仿宋"/>
          <w:sz w:val="32"/>
          <w:szCs w:val="32"/>
        </w:rPr>
        <w:t>；国有资本经营预算财政拨款收入</w:t>
      </w:r>
      <w:r>
        <w:rPr>
          <w:sz w:val="32"/>
          <w:szCs w:val="32"/>
        </w:rPr>
        <w:t>3</w:t>
      </w:r>
      <w:r>
        <w:rPr>
          <w:rFonts w:hint="eastAsia" w:ascii="仿宋" w:hAnsi="仿宋" w:eastAsia="仿宋"/>
          <w:sz w:val="32"/>
          <w:szCs w:val="32"/>
        </w:rPr>
        <w:t>万元，占</w:t>
      </w:r>
      <w:r>
        <w:rPr>
          <w:sz w:val="32"/>
          <w:szCs w:val="32"/>
        </w:rPr>
        <w:t>0.01</w:t>
      </w:r>
      <w:r>
        <w:rPr>
          <w:rFonts w:ascii="仿宋" w:hAnsi="仿宋" w:eastAsia="仿宋"/>
          <w:sz w:val="32"/>
          <w:szCs w:val="32"/>
        </w:rPr>
        <w:t>%</w:t>
      </w:r>
      <w:r>
        <w:rPr>
          <w:rFonts w:hint="eastAsia" w:ascii="仿宋" w:hAnsi="仿宋" w:eastAsia="仿宋"/>
          <w:sz w:val="32"/>
          <w:szCs w:val="32"/>
        </w:rPr>
        <w:t>。</w:t>
      </w:r>
    </w:p>
    <w:p>
      <w:pPr>
        <w:spacing w:line="600" w:lineRule="exact"/>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，仅罗列本部门涉及的收入。</w:t>
      </w:r>
      <w:r>
        <w:rPr>
          <w:rFonts w:ascii="仿宋" w:hAnsi="仿宋" w:eastAsia="仿宋"/>
          <w:b/>
          <w:sz w:val="32"/>
          <w:szCs w:val="32"/>
        </w:rPr>
        <w:t>）</w:t>
      </w:r>
    </w:p>
    <w:p>
      <w:pPr>
        <w:spacing w:line="600" w:lineRule="exact"/>
        <w:ind w:firstLine="640" w:firstLineChars="200"/>
        <w:outlineLvl w:val="1"/>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420" w:firstLineChars="200"/>
        <w:rPr>
          <w:rFonts w:ascii="仿宋_GB2312" w:eastAsia="仿宋_GB2312"/>
          <w:sz w:val="32"/>
          <w:szCs w:val="32"/>
        </w:rPr>
      </w:pPr>
      <w:r>
        <w:drawing>
          <wp:anchor distT="0" distB="0" distL="114300" distR="114300" simplePos="0" relativeHeight="251661312" behindDoc="1" locked="0" layoutInCell="1" allowOverlap="1">
            <wp:simplePos x="0" y="0"/>
            <wp:positionH relativeFrom="column">
              <wp:posOffset>266700</wp:posOffset>
            </wp:positionH>
            <wp:positionV relativeFrom="paragraph">
              <wp:posOffset>-2381250</wp:posOffset>
            </wp:positionV>
            <wp:extent cx="4752975" cy="2676525"/>
            <wp:effectExtent l="0" t="0" r="9525" b="952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4752975" cy="2676525"/>
                    </a:xfrm>
                    <a:prstGeom prst="rect">
                      <a:avLst/>
                    </a:prstGeom>
                    <a:noFill/>
                    <a:ln>
                      <a:noFill/>
                    </a:ln>
                  </pic:spPr>
                </pic:pic>
              </a:graphicData>
            </a:graphic>
          </wp:anchor>
        </w:drawing>
      </w:r>
    </w:p>
    <w:p>
      <w:pPr>
        <w:spacing w:line="600" w:lineRule="exact"/>
        <w:ind w:firstLine="640" w:firstLineChars="200"/>
        <w:rPr>
          <w:rFonts w:ascii="仿宋_GB2312" w:eastAsia="仿宋_GB2312"/>
          <w:sz w:val="32"/>
          <w:szCs w:val="32"/>
        </w:rPr>
      </w:pPr>
    </w:p>
    <w:p>
      <w:pPr>
        <w:pStyle w:val="27"/>
        <w:numPr>
          <w:ilvl w:val="0"/>
          <w:numId w:val="2"/>
        </w:numPr>
        <w:spacing w:line="600" w:lineRule="exact"/>
        <w:ind w:firstLineChars="0"/>
        <w:outlineLvl w:val="1"/>
        <w:rPr>
          <w:rStyle w:val="29"/>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9"/>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sz w:val="32"/>
          <w:szCs w:val="32"/>
        </w:rPr>
        <w:t>26035.68</w:t>
      </w:r>
      <w:r>
        <w:rPr>
          <w:rFonts w:hint="eastAsia" w:ascii="仿宋" w:hAnsi="仿宋" w:eastAsia="仿宋"/>
          <w:sz w:val="32"/>
          <w:szCs w:val="32"/>
        </w:rPr>
        <w:t>万元，其中：基本支出</w:t>
      </w:r>
      <w:r>
        <w:rPr>
          <w:sz w:val="32"/>
          <w:szCs w:val="32"/>
        </w:rPr>
        <w:t>719.6</w:t>
      </w:r>
      <w:r>
        <w:rPr>
          <w:rFonts w:hint="eastAsia" w:ascii="仿宋" w:hAnsi="仿宋" w:eastAsia="仿宋"/>
          <w:sz w:val="32"/>
          <w:szCs w:val="32"/>
        </w:rPr>
        <w:t>万元，占</w:t>
      </w:r>
      <w:r>
        <w:rPr>
          <w:sz w:val="32"/>
          <w:szCs w:val="32"/>
        </w:rPr>
        <w:t>2.76</w:t>
      </w:r>
      <w:r>
        <w:rPr>
          <w:rFonts w:ascii="仿宋" w:hAnsi="仿宋" w:eastAsia="仿宋"/>
          <w:sz w:val="32"/>
          <w:szCs w:val="32"/>
        </w:rPr>
        <w:t>%</w:t>
      </w:r>
      <w:r>
        <w:rPr>
          <w:rFonts w:hint="eastAsia" w:ascii="仿宋" w:hAnsi="仿宋" w:eastAsia="仿宋"/>
          <w:sz w:val="32"/>
          <w:szCs w:val="32"/>
        </w:rPr>
        <w:t>；项目支出</w:t>
      </w:r>
      <w:r>
        <w:rPr>
          <w:sz w:val="32"/>
          <w:szCs w:val="32"/>
        </w:rPr>
        <w:t>25316.08</w:t>
      </w:r>
      <w:r>
        <w:rPr>
          <w:rFonts w:hint="eastAsia" w:ascii="仿宋" w:hAnsi="仿宋" w:eastAsia="仿宋"/>
          <w:sz w:val="32"/>
          <w:szCs w:val="32"/>
        </w:rPr>
        <w:t>万元，占</w:t>
      </w:r>
      <w:r>
        <w:rPr>
          <w:sz w:val="32"/>
          <w:szCs w:val="32"/>
        </w:rPr>
        <w:t>97.2</w:t>
      </w:r>
      <w:r>
        <w:rPr>
          <w:rFonts w:hint="eastAsia"/>
          <w:sz w:val="32"/>
          <w:szCs w:val="32"/>
          <w:lang w:val="en-US" w:eastAsia="zh-CN"/>
        </w:rPr>
        <w:t>4</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outlineLvl w:val="1"/>
        <w:rPr>
          <w:rFonts w:ascii="仿宋" w:hAnsi="仿宋" w:eastAsia="仿宋"/>
          <w:sz w:val="32"/>
          <w:szCs w:val="32"/>
          <w:shd w:val="pct10" w:color="auto" w:fill="FFFFFF"/>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表，仅罗列本部门涉及的支出。）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420" w:firstLineChars="200"/>
        <w:rPr>
          <w:rFonts w:ascii="仿宋_GB2312" w:eastAsia="仿宋_GB2312"/>
          <w:sz w:val="32"/>
          <w:szCs w:val="32"/>
        </w:rPr>
      </w:pPr>
      <w:r>
        <w:drawing>
          <wp:anchor distT="0" distB="0" distL="114300" distR="114300" simplePos="0" relativeHeight="251662336" behindDoc="1" locked="0" layoutInCell="1" allowOverlap="1">
            <wp:simplePos x="0" y="0"/>
            <wp:positionH relativeFrom="column">
              <wp:posOffset>-101600</wp:posOffset>
            </wp:positionH>
            <wp:positionV relativeFrom="paragraph">
              <wp:posOffset>-514350</wp:posOffset>
            </wp:positionV>
            <wp:extent cx="4695825" cy="2686050"/>
            <wp:effectExtent l="0" t="0" r="952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4695825" cy="2686050"/>
                    </a:xfrm>
                    <a:prstGeom prst="rect">
                      <a:avLst/>
                    </a:prstGeom>
                    <a:noFill/>
                    <a:ln>
                      <a:noFill/>
                    </a:ln>
                  </pic:spPr>
                </pic:pic>
              </a:graphicData>
            </a:graphic>
          </wp:anchor>
        </w:drawing>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29"/>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24"/>
      <w:bookmarkEnd w:id="25"/>
    </w:p>
    <w:p>
      <w:pPr>
        <w:spacing w:line="600" w:lineRule="exact"/>
        <w:ind w:firstLine="640"/>
        <w:rPr>
          <w:rFonts w:hint="eastAsia" w:ascii="仿宋" w:hAnsi="仿宋" w:eastAsia="仿宋"/>
          <w:color w:val="auto"/>
          <w:sz w:val="32"/>
          <w:szCs w:val="32"/>
          <w:highlight w:val="none"/>
          <w:lang w:eastAsia="zh-CN"/>
        </w:rPr>
      </w:pPr>
      <w:r>
        <w:rPr>
          <w:rFonts w:hint="eastAsia" w:ascii="仿宋" w:hAnsi="仿宋" w:eastAsia="仿宋"/>
          <w:sz w:val="32"/>
          <w:szCs w:val="32"/>
        </w:rPr>
        <w:t>2023年度财政拨款收、支总计均为</w:t>
      </w:r>
      <w:r>
        <w:rPr>
          <w:sz w:val="32"/>
          <w:szCs w:val="32"/>
        </w:rPr>
        <w:t>26035.68</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6919.09</w:t>
      </w:r>
      <w:r>
        <w:rPr>
          <w:rFonts w:hint="eastAsia" w:ascii="仿宋" w:hAnsi="仿宋" w:eastAsia="仿宋"/>
          <w:sz w:val="32"/>
          <w:szCs w:val="32"/>
        </w:rPr>
        <w:t>万元，增长</w:t>
      </w:r>
      <w:r>
        <w:rPr>
          <w:rFonts w:hint="eastAsia" w:ascii="仿宋" w:hAnsi="仿宋" w:eastAsia="仿宋"/>
          <w:sz w:val="32"/>
          <w:szCs w:val="32"/>
          <w:lang w:val="en-US" w:eastAsia="zh-CN"/>
        </w:rPr>
        <w:t>36.19</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auto"/>
          <w:sz w:val="32"/>
          <w:szCs w:val="32"/>
          <w:highlight w:val="none"/>
          <w:lang w:eastAsia="zh-CN"/>
        </w:rPr>
        <w:t>本年度项目预算收支增加。</w:t>
      </w:r>
    </w:p>
    <w:p>
      <w:pPr>
        <w:spacing w:line="600" w:lineRule="exact"/>
        <w:ind w:firstLine="640"/>
        <w:rPr>
          <w:rFonts w:ascii="仿宋" w:hAnsi="仿宋" w:eastAsia="仿宋"/>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420" w:firstLineChars="200"/>
        <w:rPr>
          <w:rFonts w:hint="eastAsia" w:ascii="仿宋" w:hAnsi="仿宋" w:eastAsia="仿宋"/>
          <w:sz w:val="32"/>
          <w:szCs w:val="32"/>
        </w:rPr>
      </w:pPr>
      <w:r>
        <w:drawing>
          <wp:anchor distT="0" distB="0" distL="114300" distR="114300" simplePos="0" relativeHeight="251663360" behindDoc="1" locked="0" layoutInCell="1" allowOverlap="1">
            <wp:simplePos x="0" y="0"/>
            <wp:positionH relativeFrom="column">
              <wp:posOffset>266700</wp:posOffset>
            </wp:positionH>
            <wp:positionV relativeFrom="paragraph">
              <wp:posOffset>-2171700</wp:posOffset>
            </wp:positionV>
            <wp:extent cx="4800600" cy="2466975"/>
            <wp:effectExtent l="0" t="0" r="0" b="952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4800600" cy="2466975"/>
                    </a:xfrm>
                    <a:prstGeom prst="rect">
                      <a:avLst/>
                    </a:prstGeom>
                    <a:noFill/>
                    <a:ln>
                      <a:noFill/>
                    </a:ln>
                  </pic:spPr>
                </pic:pic>
              </a:graphicData>
            </a:graphic>
          </wp:anchor>
        </w:drawing>
      </w:r>
    </w:p>
    <w:p>
      <w:pPr>
        <w:spacing w:line="600" w:lineRule="exact"/>
        <w:ind w:firstLine="640"/>
        <w:rPr>
          <w:rFonts w:ascii="仿宋" w:hAnsi="仿宋" w:eastAsia="仿宋"/>
          <w:b/>
          <w:sz w:val="32"/>
          <w:szCs w:val="32"/>
        </w:rPr>
      </w:pPr>
    </w:p>
    <w:p>
      <w:pPr>
        <w:spacing w:line="600" w:lineRule="exact"/>
        <w:ind w:firstLine="640" w:firstLineChars="200"/>
        <w:outlineLvl w:val="1"/>
        <w:rPr>
          <w:rStyle w:val="29"/>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sz w:val="32"/>
          <w:szCs w:val="32"/>
        </w:rPr>
        <w:t>26032.68</w:t>
      </w:r>
      <w:r>
        <w:rPr>
          <w:rFonts w:hint="eastAsia" w:ascii="仿宋" w:hAnsi="仿宋" w:eastAsia="仿宋"/>
          <w:sz w:val="32"/>
          <w:szCs w:val="32"/>
        </w:rPr>
        <w:t>万元，占本年支出合计的</w:t>
      </w:r>
      <w:r>
        <w:rPr>
          <w:sz w:val="32"/>
          <w:szCs w:val="32"/>
        </w:rPr>
        <w:t>99.9</w:t>
      </w:r>
      <w:r>
        <w:rPr>
          <w:rFonts w:hint="eastAsia"/>
          <w:sz w:val="32"/>
          <w:szCs w:val="32"/>
          <w:lang w:val="en-US" w:eastAsia="zh-CN"/>
        </w:rPr>
        <w:t>9</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6916.09</w:t>
      </w:r>
      <w:r>
        <w:rPr>
          <w:rFonts w:hint="eastAsia" w:ascii="仿宋" w:hAnsi="仿宋" w:eastAsia="仿宋"/>
          <w:sz w:val="32"/>
          <w:szCs w:val="32"/>
        </w:rPr>
        <w:t>万元，增长</w:t>
      </w:r>
      <w:r>
        <w:rPr>
          <w:rFonts w:hint="eastAsia" w:ascii="仿宋" w:hAnsi="仿宋" w:eastAsia="仿宋"/>
          <w:sz w:val="32"/>
          <w:szCs w:val="32"/>
          <w:lang w:val="en-US" w:eastAsia="zh-CN"/>
        </w:rPr>
        <w:t>36.17</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项目支出增加。</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420" w:firstLineChars="200"/>
        <w:rPr>
          <w:rFonts w:ascii="仿宋" w:hAnsi="仿宋" w:eastAsia="仿宋"/>
          <w:sz w:val="32"/>
          <w:szCs w:val="32"/>
        </w:rPr>
      </w:pPr>
      <w:r>
        <w:drawing>
          <wp:anchor distT="0" distB="0" distL="114300" distR="114300" simplePos="0" relativeHeight="251664384" behindDoc="1" locked="0" layoutInCell="1" allowOverlap="1">
            <wp:simplePos x="0" y="0"/>
            <wp:positionH relativeFrom="column">
              <wp:posOffset>266700</wp:posOffset>
            </wp:positionH>
            <wp:positionV relativeFrom="paragraph">
              <wp:posOffset>-2171700</wp:posOffset>
            </wp:positionV>
            <wp:extent cx="4733925" cy="2466975"/>
            <wp:effectExtent l="0" t="0" r="9525" b="9525"/>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0"/>
                    <a:stretch>
                      <a:fillRect/>
                    </a:stretch>
                  </pic:blipFill>
                  <pic:spPr>
                    <a:xfrm>
                      <a:off x="0" y="0"/>
                      <a:ext cx="4733925" cy="2466975"/>
                    </a:xfrm>
                    <a:prstGeom prst="rect">
                      <a:avLst/>
                    </a:prstGeom>
                    <a:noFill/>
                    <a:ln>
                      <a:noFill/>
                    </a:ln>
                  </pic:spPr>
                </pic:pic>
              </a:graphicData>
            </a:graphic>
          </wp:anchor>
        </w:drawing>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sz w:val="32"/>
          <w:szCs w:val="32"/>
        </w:rPr>
        <w:t>26032.68</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65.15</w:t>
      </w:r>
      <w:r>
        <w:rPr>
          <w:rFonts w:hint="eastAsia" w:ascii="仿宋" w:hAnsi="仿宋" w:eastAsia="仿宋"/>
          <w:sz w:val="32"/>
          <w:szCs w:val="32"/>
        </w:rPr>
        <w:t>万元，占</w:t>
      </w:r>
      <w:r>
        <w:rPr>
          <w:rFonts w:hint="eastAsia" w:ascii="仿宋" w:hAnsi="仿宋" w:eastAsia="仿宋"/>
          <w:sz w:val="32"/>
          <w:szCs w:val="32"/>
          <w:lang w:val="en-US" w:eastAsia="zh-CN"/>
        </w:rPr>
        <w:t>0.25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379.17</w:t>
      </w:r>
      <w:r>
        <w:rPr>
          <w:rFonts w:hint="eastAsia" w:ascii="仿宋" w:hAnsi="仿宋" w:eastAsia="仿宋"/>
          <w:sz w:val="32"/>
          <w:szCs w:val="32"/>
        </w:rPr>
        <w:t>万元，占</w:t>
      </w:r>
      <w:r>
        <w:rPr>
          <w:rFonts w:hint="eastAsia" w:ascii="仿宋" w:hAnsi="仿宋" w:eastAsia="仿宋"/>
          <w:sz w:val="32"/>
          <w:szCs w:val="32"/>
          <w:lang w:val="en-US" w:eastAsia="zh-CN"/>
        </w:rPr>
        <w:t>1.46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36.84</w:t>
      </w:r>
      <w:r>
        <w:rPr>
          <w:rFonts w:hint="eastAsia" w:ascii="仿宋" w:hAnsi="仿宋" w:eastAsia="仿宋"/>
          <w:sz w:val="32"/>
          <w:szCs w:val="32"/>
        </w:rPr>
        <w:t>万元，占</w:t>
      </w:r>
      <w:r>
        <w:rPr>
          <w:rFonts w:hint="eastAsia" w:ascii="仿宋" w:hAnsi="仿宋" w:eastAsia="仿宋"/>
          <w:sz w:val="32"/>
          <w:szCs w:val="32"/>
          <w:lang w:val="en-US" w:eastAsia="zh-CN"/>
        </w:rPr>
        <w:t>0.14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lang w:eastAsia="zh-CN"/>
        </w:rPr>
        <w:t>农林水支出</w:t>
      </w:r>
      <w:r>
        <w:rPr>
          <w:rFonts w:hint="eastAsia" w:ascii="仿宋" w:hAnsi="仿宋" w:eastAsia="仿宋"/>
          <w:sz w:val="32"/>
          <w:szCs w:val="32"/>
          <w:lang w:val="en-US" w:eastAsia="zh-CN"/>
        </w:rPr>
        <w:t>17029.52万元，占65.42%；</w:t>
      </w:r>
      <w:r>
        <w:rPr>
          <w:rFonts w:hint="eastAsia" w:ascii="仿宋" w:hAnsi="仿宋" w:eastAsia="仿宋"/>
          <w:b/>
          <w:bCs/>
          <w:sz w:val="32"/>
          <w:szCs w:val="32"/>
          <w:lang w:val="en-US" w:eastAsia="zh-CN"/>
        </w:rPr>
        <w:t>交通运输支出</w:t>
      </w:r>
      <w:r>
        <w:rPr>
          <w:rFonts w:hint="eastAsia" w:ascii="仿宋" w:hAnsi="仿宋" w:eastAsia="仿宋"/>
          <w:sz w:val="32"/>
          <w:szCs w:val="32"/>
          <w:lang w:val="en-US" w:eastAsia="zh-CN"/>
        </w:rPr>
        <w:t>8522.00万元，占32.74%。</w:t>
      </w:r>
    </w:p>
    <w:p>
      <w:pPr>
        <w:spacing w:line="600" w:lineRule="exact"/>
        <w:ind w:firstLine="640"/>
        <w:rPr>
          <w:rFonts w:ascii="仿宋" w:hAnsi="仿宋" w:eastAsia="仿宋"/>
          <w:sz w:val="32"/>
          <w:szCs w:val="32"/>
        </w:rPr>
      </w:pPr>
      <w:r>
        <w:rPr>
          <w:rFonts w:hint="eastAsia" w:ascii="仿宋" w:hAnsi="仿宋" w:eastAsia="仿宋"/>
          <w:b/>
          <w:sz w:val="32"/>
          <w:szCs w:val="32"/>
        </w:rPr>
        <w:t>（注：数据来源于财决01-1表，仅罗列本部门涉及的全部功能分类科目，至类级。）</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rPr>
          <w:rFonts w:ascii="仿宋" w:hAnsi="仿宋" w:eastAsia="仿宋"/>
          <w:sz w:val="32"/>
          <w:szCs w:val="32"/>
        </w:rPr>
      </w:pPr>
    </w:p>
    <w:p>
      <w:pPr>
        <w:spacing w:line="600" w:lineRule="exact"/>
        <w:ind w:firstLine="420" w:firstLineChars="200"/>
        <w:outlineLvl w:val="2"/>
        <w:rPr>
          <w:rFonts w:hint="eastAsia" w:ascii="仿宋" w:hAnsi="仿宋" w:eastAsia="仿宋"/>
          <w:b/>
          <w:sz w:val="32"/>
          <w:szCs w:val="32"/>
        </w:rPr>
      </w:pPr>
      <w:bookmarkStart w:id="30" w:name="_Toc15377212"/>
      <w:r>
        <w:drawing>
          <wp:anchor distT="0" distB="0" distL="114300" distR="114300" simplePos="0" relativeHeight="251665408" behindDoc="1" locked="0" layoutInCell="1" allowOverlap="1">
            <wp:simplePos x="0" y="0"/>
            <wp:positionH relativeFrom="column">
              <wp:posOffset>266700</wp:posOffset>
            </wp:positionH>
            <wp:positionV relativeFrom="paragraph">
              <wp:posOffset>-2095500</wp:posOffset>
            </wp:positionV>
            <wp:extent cx="4829175" cy="2391410"/>
            <wp:effectExtent l="0" t="0" r="9525" b="889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1"/>
                    <a:stretch>
                      <a:fillRect/>
                    </a:stretch>
                  </pic:blipFill>
                  <pic:spPr>
                    <a:xfrm>
                      <a:off x="0" y="0"/>
                      <a:ext cx="4829175" cy="2391410"/>
                    </a:xfrm>
                    <a:prstGeom prst="rect">
                      <a:avLst/>
                    </a:prstGeom>
                    <a:noFill/>
                    <a:ln>
                      <a:noFill/>
                    </a:ln>
                  </pic:spPr>
                </pic:pic>
              </a:graphicData>
            </a:graphic>
          </wp:anchor>
        </w:drawing>
      </w:r>
    </w:p>
    <w:p>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7444"/>
      <w:bookmarkStart w:id="32" w:name="_Toc15378460"/>
      <w:bookmarkStart w:id="33" w:name="_Toc15377213"/>
      <w:r>
        <w:rPr>
          <w:rFonts w:hint="eastAsia" w:ascii="仿宋" w:hAnsi="仿宋" w:eastAsia="仿宋"/>
          <w:b/>
          <w:sz w:val="32"/>
          <w:szCs w:val="32"/>
        </w:rPr>
        <w:t>2023年度一般公共预算支出决算数为</w:t>
      </w:r>
      <w:r>
        <w:rPr>
          <w:sz w:val="32"/>
          <w:szCs w:val="32"/>
        </w:rPr>
        <w:t>26032.68</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31"/>
      <w:bookmarkEnd w:id="32"/>
      <w:bookmarkEnd w:id="33"/>
    </w:p>
    <w:p>
      <w:pPr>
        <w:numPr>
          <w:ilvl w:val="0"/>
          <w:numId w:val="0"/>
        </w:numPr>
        <w:spacing w:line="600" w:lineRule="exact"/>
        <w:ind w:firstLine="643" w:firstLineChars="200"/>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1.</w:t>
      </w:r>
      <w:r>
        <w:rPr>
          <w:rStyle w:val="17"/>
          <w:rFonts w:hint="eastAsia" w:ascii="仿宋" w:hAnsi="仿宋" w:eastAsia="仿宋"/>
          <w:bCs/>
          <w:color w:val="auto"/>
          <w:sz w:val="32"/>
          <w:szCs w:val="32"/>
          <w:highlight w:val="none"/>
        </w:rPr>
        <w:t>社会保障和就业（类）行政事业单位养老支出（款）事业单位离退休（项）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6.61</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numPr>
          <w:ilvl w:val="0"/>
          <w:numId w:val="0"/>
        </w:numPr>
        <w:spacing w:line="600" w:lineRule="exact"/>
        <w:ind w:firstLine="643" w:firstLineChars="200"/>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2.</w:t>
      </w:r>
      <w:r>
        <w:rPr>
          <w:rStyle w:val="17"/>
          <w:rFonts w:hint="eastAsia" w:ascii="仿宋" w:hAnsi="仿宋" w:eastAsia="仿宋"/>
          <w:bCs/>
          <w:color w:val="auto"/>
          <w:sz w:val="32"/>
          <w:szCs w:val="32"/>
          <w:highlight w:val="none"/>
        </w:rPr>
        <w:t>社会保障和就业（类）行政事业单位养老支出（款）机关事业单位基本养老保险缴费支出</w:t>
      </w:r>
      <w:r>
        <w:rPr>
          <w:rStyle w:val="17"/>
          <w:rFonts w:hint="eastAsia" w:ascii="仿宋" w:hAnsi="仿宋" w:eastAsia="仿宋"/>
          <w:bCs/>
          <w:color w:val="auto"/>
          <w:sz w:val="32"/>
          <w:szCs w:val="32"/>
          <w:highlight w:val="none"/>
          <w:lang w:eastAsia="zh-CN"/>
        </w:rPr>
        <w:t>（项）：</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50.26</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numPr>
          <w:ilvl w:val="0"/>
          <w:numId w:val="0"/>
        </w:numPr>
        <w:spacing w:line="600" w:lineRule="exact"/>
        <w:ind w:firstLine="643" w:firstLineChars="200"/>
        <w:rPr>
          <w:rStyle w:val="17"/>
          <w:rFonts w:hint="default" w:ascii="仿宋" w:hAnsi="仿宋" w:eastAsia="仿宋"/>
          <w:b w:val="0"/>
          <w:bCs/>
          <w:color w:val="auto"/>
          <w:sz w:val="32"/>
          <w:szCs w:val="32"/>
          <w:highlight w:val="none"/>
          <w:lang w:val="en-US" w:eastAsia="zh-CN"/>
        </w:rPr>
      </w:pPr>
      <w:r>
        <w:rPr>
          <w:rStyle w:val="17"/>
          <w:rFonts w:hint="eastAsia" w:ascii="仿宋" w:hAnsi="仿宋" w:eastAsia="仿宋"/>
          <w:bCs/>
          <w:color w:val="auto"/>
          <w:sz w:val="32"/>
          <w:szCs w:val="32"/>
          <w:highlight w:val="none"/>
          <w:lang w:val="en-US" w:eastAsia="zh-CN"/>
        </w:rPr>
        <w:t>3.</w:t>
      </w:r>
      <w:r>
        <w:rPr>
          <w:rStyle w:val="17"/>
          <w:rFonts w:hint="eastAsia" w:ascii="仿宋" w:hAnsi="仿宋" w:eastAsia="仿宋"/>
          <w:bCs/>
          <w:color w:val="auto"/>
          <w:sz w:val="32"/>
          <w:szCs w:val="32"/>
          <w:highlight w:val="none"/>
        </w:rPr>
        <w:t>社会保障和就业（类）行政事业单位养老支出（款）</w:t>
      </w:r>
      <w:r>
        <w:rPr>
          <w:rStyle w:val="17"/>
          <w:rFonts w:hint="eastAsia" w:ascii="仿宋" w:hAnsi="仿宋" w:eastAsia="仿宋"/>
          <w:b/>
          <w:bCs w:val="0"/>
          <w:color w:val="auto"/>
          <w:sz w:val="32"/>
          <w:szCs w:val="32"/>
          <w:highlight w:val="none"/>
        </w:rPr>
        <w:t>机关事业单位职业年金缴费支出</w:t>
      </w:r>
      <w:r>
        <w:rPr>
          <w:rStyle w:val="17"/>
          <w:rFonts w:hint="eastAsia" w:ascii="仿宋" w:hAnsi="仿宋" w:eastAsia="仿宋"/>
          <w:b/>
          <w:bCs w:val="0"/>
          <w:color w:val="auto"/>
          <w:sz w:val="32"/>
          <w:szCs w:val="32"/>
          <w:highlight w:val="none"/>
          <w:lang w:eastAsia="zh-CN"/>
        </w:rPr>
        <w:t>（项）：</w:t>
      </w:r>
      <w:r>
        <w:rPr>
          <w:rStyle w:val="17"/>
          <w:rFonts w:hint="eastAsia" w:ascii="仿宋" w:hAnsi="仿宋" w:eastAsia="仿宋"/>
          <w:b w:val="0"/>
          <w:bCs/>
          <w:color w:val="auto"/>
          <w:sz w:val="32"/>
          <w:szCs w:val="32"/>
          <w:highlight w:val="none"/>
          <w:lang w:eastAsia="zh-CN"/>
        </w:rPr>
        <w:t>支出决算为</w:t>
      </w:r>
      <w:r>
        <w:rPr>
          <w:rStyle w:val="17"/>
          <w:rFonts w:hint="eastAsia" w:ascii="仿宋" w:hAnsi="仿宋" w:eastAsia="仿宋"/>
          <w:b w:val="0"/>
          <w:bCs/>
          <w:color w:val="auto"/>
          <w:sz w:val="32"/>
          <w:szCs w:val="32"/>
          <w:highlight w:val="none"/>
          <w:lang w:val="en-US" w:eastAsia="zh-CN"/>
        </w:rPr>
        <w:t>5.16万元，完成预算100%。</w:t>
      </w:r>
    </w:p>
    <w:p>
      <w:pPr>
        <w:numPr>
          <w:ilvl w:val="0"/>
          <w:numId w:val="0"/>
        </w:numPr>
        <w:spacing w:line="600" w:lineRule="exact"/>
        <w:ind w:firstLine="643" w:firstLineChars="200"/>
        <w:rPr>
          <w:rFonts w:hint="default"/>
          <w:highlight w:val="none"/>
          <w:lang w:val="en-US" w:eastAsia="zh-CN"/>
        </w:rPr>
      </w:pPr>
      <w:r>
        <w:rPr>
          <w:rStyle w:val="17"/>
          <w:rFonts w:hint="eastAsia" w:ascii="仿宋" w:hAnsi="仿宋" w:eastAsia="仿宋"/>
          <w:bCs/>
          <w:color w:val="auto"/>
          <w:sz w:val="32"/>
          <w:szCs w:val="32"/>
          <w:highlight w:val="none"/>
          <w:lang w:val="en-US" w:eastAsia="zh-CN"/>
        </w:rPr>
        <w:t>4.</w:t>
      </w:r>
      <w:r>
        <w:rPr>
          <w:rStyle w:val="17"/>
          <w:rFonts w:hint="eastAsia" w:ascii="仿宋" w:hAnsi="仿宋" w:eastAsia="仿宋"/>
          <w:bCs/>
          <w:color w:val="auto"/>
          <w:sz w:val="32"/>
          <w:szCs w:val="32"/>
          <w:highlight w:val="none"/>
        </w:rPr>
        <w:t>社会保障和就业支出（类）抚恤（款）死亡抚恤（项）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3.12</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bCs/>
          <w:color w:val="auto"/>
          <w:sz w:val="32"/>
          <w:szCs w:val="32"/>
          <w:highlight w:val="none"/>
          <w:lang w:val="en-US" w:eastAsia="zh-CN"/>
        </w:rPr>
        <w:t>5.</w:t>
      </w:r>
      <w:r>
        <w:rPr>
          <w:rFonts w:hint="eastAsia" w:ascii="仿宋" w:hAnsi="仿宋" w:eastAsia="仿宋"/>
          <w:b/>
          <w:bCs/>
          <w:color w:val="auto"/>
          <w:sz w:val="32"/>
          <w:szCs w:val="32"/>
          <w:highlight w:val="none"/>
        </w:rPr>
        <w:t>卫生健康</w:t>
      </w:r>
      <w:r>
        <w:rPr>
          <w:rStyle w:val="17"/>
          <w:rFonts w:hint="eastAsia" w:ascii="仿宋" w:hAnsi="仿宋" w:eastAsia="仿宋"/>
          <w:bCs/>
          <w:color w:val="auto"/>
          <w:sz w:val="32"/>
          <w:szCs w:val="32"/>
          <w:highlight w:val="none"/>
        </w:rPr>
        <w:t>（类）公共卫生（款）重大公共卫生服务（项）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358.18</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spacing w:line="600" w:lineRule="exact"/>
        <w:ind w:firstLine="643" w:firstLineChars="200"/>
        <w:rPr>
          <w:rStyle w:val="17"/>
          <w:rFonts w:hint="eastAsia" w:ascii="仿宋" w:hAnsi="仿宋" w:eastAsia="仿宋"/>
          <w:b w:val="0"/>
          <w:bCs/>
          <w:color w:val="auto"/>
          <w:sz w:val="32"/>
          <w:szCs w:val="32"/>
          <w:highlight w:val="none"/>
        </w:rPr>
      </w:pPr>
      <w:r>
        <w:rPr>
          <w:rFonts w:hint="eastAsia" w:ascii="仿宋" w:hAnsi="仿宋" w:eastAsia="仿宋"/>
          <w:b/>
          <w:bCs/>
          <w:color w:val="auto"/>
          <w:sz w:val="32"/>
          <w:szCs w:val="32"/>
          <w:highlight w:val="none"/>
          <w:lang w:val="en-US" w:eastAsia="zh-CN"/>
        </w:rPr>
        <w:t>6.</w:t>
      </w:r>
      <w:r>
        <w:rPr>
          <w:rFonts w:hint="eastAsia" w:ascii="仿宋" w:hAnsi="仿宋" w:eastAsia="仿宋"/>
          <w:b/>
          <w:bCs/>
          <w:color w:val="auto"/>
          <w:sz w:val="32"/>
          <w:szCs w:val="32"/>
          <w:highlight w:val="none"/>
        </w:rPr>
        <w:t>卫生健康</w:t>
      </w:r>
      <w:r>
        <w:rPr>
          <w:rStyle w:val="17"/>
          <w:rFonts w:hint="eastAsia" w:ascii="仿宋" w:hAnsi="仿宋" w:eastAsia="仿宋"/>
          <w:bCs/>
          <w:color w:val="auto"/>
          <w:sz w:val="32"/>
          <w:szCs w:val="32"/>
          <w:highlight w:val="none"/>
        </w:rPr>
        <w:t>（类）行政事业单位医疗（款）行政单位医疗（项）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9.6</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spacing w:line="600" w:lineRule="exact"/>
        <w:ind w:firstLine="643" w:firstLineChars="200"/>
        <w:rPr>
          <w:rStyle w:val="17"/>
          <w:rFonts w:hint="eastAsia" w:ascii="仿宋" w:hAnsi="仿宋" w:eastAsia="仿宋"/>
          <w:b w:val="0"/>
          <w:bCs/>
          <w:color w:val="auto"/>
          <w:sz w:val="32"/>
          <w:szCs w:val="32"/>
          <w:highlight w:val="none"/>
        </w:rPr>
      </w:pPr>
      <w:r>
        <w:rPr>
          <w:rFonts w:hint="eastAsia" w:ascii="仿宋" w:hAnsi="仿宋" w:eastAsia="仿宋"/>
          <w:b/>
          <w:bCs/>
          <w:color w:val="auto"/>
          <w:sz w:val="32"/>
          <w:szCs w:val="32"/>
          <w:highlight w:val="none"/>
          <w:lang w:val="en-US" w:eastAsia="zh-CN"/>
        </w:rPr>
        <w:t>7.</w:t>
      </w:r>
      <w:r>
        <w:rPr>
          <w:rFonts w:hint="eastAsia" w:ascii="仿宋" w:hAnsi="仿宋" w:eastAsia="仿宋"/>
          <w:b/>
          <w:bCs/>
          <w:color w:val="auto"/>
          <w:sz w:val="32"/>
          <w:szCs w:val="32"/>
          <w:highlight w:val="none"/>
        </w:rPr>
        <w:t>卫生健康</w:t>
      </w:r>
      <w:r>
        <w:rPr>
          <w:rStyle w:val="17"/>
          <w:rFonts w:hint="eastAsia" w:ascii="仿宋" w:hAnsi="仿宋" w:eastAsia="仿宋"/>
          <w:bCs/>
          <w:color w:val="auto"/>
          <w:sz w:val="32"/>
          <w:szCs w:val="32"/>
          <w:highlight w:val="none"/>
        </w:rPr>
        <w:t>（类）行政事业单位医疗（款）</w:t>
      </w:r>
      <w:r>
        <w:rPr>
          <w:rStyle w:val="17"/>
          <w:rFonts w:hint="eastAsia" w:ascii="仿宋" w:hAnsi="仿宋" w:eastAsia="仿宋"/>
          <w:bCs/>
          <w:color w:val="auto"/>
          <w:sz w:val="32"/>
          <w:szCs w:val="32"/>
          <w:highlight w:val="none"/>
          <w:lang w:eastAsia="zh-CN"/>
        </w:rPr>
        <w:t>事业</w:t>
      </w:r>
      <w:r>
        <w:rPr>
          <w:rStyle w:val="17"/>
          <w:rFonts w:hint="eastAsia" w:ascii="仿宋" w:hAnsi="仿宋" w:eastAsia="仿宋"/>
          <w:bCs/>
          <w:color w:val="auto"/>
          <w:sz w:val="32"/>
          <w:szCs w:val="32"/>
          <w:highlight w:val="none"/>
        </w:rPr>
        <w:t>单位医疗（项）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11.39</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pStyle w:val="6"/>
        <w:ind w:firstLine="642"/>
        <w:rPr>
          <w:rStyle w:val="17"/>
          <w:rFonts w:hint="eastAsia" w:ascii="仿宋" w:hAnsi="仿宋" w:eastAsia="仿宋"/>
          <w:b w:val="0"/>
          <w:bCs/>
          <w:color w:val="auto"/>
          <w:sz w:val="32"/>
          <w:szCs w:val="32"/>
          <w:highlight w:val="none"/>
        </w:rPr>
      </w:pPr>
      <w:r>
        <w:rPr>
          <w:rStyle w:val="17"/>
          <w:rFonts w:hint="eastAsia" w:ascii="仿宋" w:hAnsi="仿宋" w:eastAsia="仿宋"/>
          <w:b/>
          <w:bCs w:val="0"/>
          <w:color w:val="auto"/>
          <w:sz w:val="32"/>
          <w:szCs w:val="32"/>
          <w:highlight w:val="none"/>
          <w:lang w:val="en-US" w:eastAsia="zh-CN"/>
        </w:rPr>
        <w:t>8.农林水支出（类）农业农村（款）农村道路建设（项）：</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16942.52</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pStyle w:val="6"/>
        <w:ind w:firstLine="642"/>
        <w:rPr>
          <w:rStyle w:val="17"/>
          <w:rFonts w:hint="eastAsia" w:ascii="仿宋" w:hAnsi="仿宋" w:eastAsia="仿宋"/>
          <w:b w:val="0"/>
          <w:bCs/>
          <w:color w:val="auto"/>
          <w:sz w:val="32"/>
          <w:szCs w:val="32"/>
          <w:highlight w:val="none"/>
        </w:rPr>
      </w:pPr>
      <w:r>
        <w:rPr>
          <w:rStyle w:val="17"/>
          <w:rFonts w:hint="eastAsia" w:ascii="仿宋" w:hAnsi="仿宋" w:eastAsia="仿宋"/>
          <w:b/>
          <w:bCs w:val="0"/>
          <w:color w:val="auto"/>
          <w:sz w:val="32"/>
          <w:szCs w:val="32"/>
          <w:highlight w:val="none"/>
          <w:lang w:val="en-US" w:eastAsia="zh-CN"/>
        </w:rPr>
        <w:t>9.农林水支出（类）巩固脱贫衔接乡村振兴（款）农村基础设施建设（项）：</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87.00</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pStyle w:val="6"/>
        <w:ind w:firstLine="642"/>
        <w:rPr>
          <w:rStyle w:val="17"/>
          <w:rFonts w:hint="eastAsia" w:ascii="仿宋" w:hAnsi="仿宋" w:eastAsia="仿宋"/>
          <w:b w:val="0"/>
          <w:bCs/>
          <w:color w:val="auto"/>
          <w:sz w:val="32"/>
          <w:szCs w:val="32"/>
          <w:highlight w:val="none"/>
          <w:lang w:eastAsia="zh-CN"/>
        </w:rPr>
      </w:pPr>
      <w:r>
        <w:rPr>
          <w:rStyle w:val="17"/>
          <w:rFonts w:hint="eastAsia" w:ascii="仿宋" w:hAnsi="仿宋" w:eastAsia="仿宋"/>
          <w:b/>
          <w:bCs w:val="0"/>
          <w:color w:val="auto"/>
          <w:sz w:val="32"/>
          <w:szCs w:val="32"/>
          <w:highlight w:val="none"/>
          <w:lang w:val="en-US" w:eastAsia="zh-CN"/>
        </w:rPr>
        <w:t>10.</w:t>
      </w:r>
      <w:r>
        <w:rPr>
          <w:rFonts w:hint="eastAsia" w:ascii="仿宋" w:hAnsi="仿宋" w:eastAsia="仿宋"/>
          <w:b/>
          <w:bCs/>
          <w:color w:val="auto"/>
          <w:sz w:val="32"/>
          <w:szCs w:val="32"/>
          <w:highlight w:val="none"/>
        </w:rPr>
        <w:t>交通运输支出</w:t>
      </w:r>
      <w:r>
        <w:rPr>
          <w:rStyle w:val="17"/>
          <w:rFonts w:hint="eastAsia" w:ascii="仿宋" w:hAnsi="仿宋" w:eastAsia="仿宋"/>
          <w:bCs/>
          <w:color w:val="auto"/>
          <w:sz w:val="32"/>
          <w:szCs w:val="32"/>
          <w:highlight w:val="none"/>
        </w:rPr>
        <w:t>（类）公路水路运输（款）行政运行（项）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596.61</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lang w:eastAsia="zh-CN"/>
        </w:rPr>
        <w:t>。</w:t>
      </w:r>
    </w:p>
    <w:p>
      <w:pPr>
        <w:spacing w:line="600" w:lineRule="exact"/>
        <w:ind w:firstLine="643" w:firstLineChars="200"/>
        <w:rPr>
          <w:rFonts w:hint="eastAsia"/>
          <w:highlight w:val="none"/>
        </w:rPr>
      </w:pPr>
      <w:r>
        <w:rPr>
          <w:rStyle w:val="17"/>
          <w:rFonts w:hint="eastAsia" w:ascii="仿宋" w:hAnsi="仿宋" w:eastAsia="仿宋"/>
          <w:b/>
          <w:bCs w:val="0"/>
          <w:color w:val="auto"/>
          <w:sz w:val="32"/>
          <w:szCs w:val="32"/>
          <w:highlight w:val="none"/>
          <w:lang w:val="en-US" w:eastAsia="zh-CN"/>
        </w:rPr>
        <w:t>11.</w:t>
      </w:r>
      <w:r>
        <w:rPr>
          <w:rFonts w:hint="eastAsia" w:ascii="仿宋" w:hAnsi="仿宋" w:eastAsia="仿宋"/>
          <w:b/>
          <w:bCs/>
          <w:color w:val="auto"/>
          <w:sz w:val="32"/>
          <w:szCs w:val="32"/>
          <w:highlight w:val="none"/>
        </w:rPr>
        <w:t>交通运输支出</w:t>
      </w:r>
      <w:r>
        <w:rPr>
          <w:rStyle w:val="17"/>
          <w:rFonts w:hint="eastAsia" w:ascii="仿宋" w:hAnsi="仿宋" w:eastAsia="仿宋"/>
          <w:bCs/>
          <w:color w:val="auto"/>
          <w:sz w:val="32"/>
          <w:szCs w:val="32"/>
          <w:highlight w:val="none"/>
        </w:rPr>
        <w:t>（类）公路水路运输（款）一般行政管理事务（项）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37.00</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lang w:eastAsia="zh-CN"/>
        </w:rPr>
        <w:t>。</w:t>
      </w:r>
    </w:p>
    <w:p>
      <w:pPr>
        <w:pStyle w:val="6"/>
        <w:ind w:firstLine="643" w:firstLineChars="200"/>
        <w:rPr>
          <w:rFonts w:hint="eastAsia"/>
          <w:highlight w:val="none"/>
        </w:rPr>
      </w:pPr>
      <w:r>
        <w:rPr>
          <w:rStyle w:val="17"/>
          <w:rFonts w:hint="eastAsia" w:ascii="仿宋" w:hAnsi="仿宋" w:eastAsia="仿宋"/>
          <w:b/>
          <w:bCs w:val="0"/>
          <w:color w:val="auto"/>
          <w:sz w:val="32"/>
          <w:szCs w:val="32"/>
          <w:highlight w:val="none"/>
          <w:lang w:val="en-US" w:eastAsia="zh-CN"/>
        </w:rPr>
        <w:t>12.</w:t>
      </w:r>
      <w:r>
        <w:rPr>
          <w:rStyle w:val="17"/>
          <w:rFonts w:hint="eastAsia" w:ascii="仿宋" w:hAnsi="仿宋" w:eastAsia="仿宋"/>
          <w:b w:val="0"/>
          <w:bCs/>
          <w:color w:val="auto"/>
          <w:sz w:val="32"/>
          <w:szCs w:val="32"/>
          <w:highlight w:val="none"/>
          <w:lang w:val="en-US" w:eastAsia="zh-CN"/>
        </w:rPr>
        <w:t xml:space="preserve"> </w:t>
      </w:r>
      <w:r>
        <w:rPr>
          <w:rFonts w:hint="eastAsia" w:ascii="仿宋" w:hAnsi="仿宋" w:eastAsia="仿宋"/>
          <w:b/>
          <w:bCs/>
          <w:color w:val="auto"/>
          <w:sz w:val="32"/>
          <w:szCs w:val="32"/>
          <w:highlight w:val="none"/>
        </w:rPr>
        <w:t>交通运输支出</w:t>
      </w:r>
      <w:r>
        <w:rPr>
          <w:rStyle w:val="17"/>
          <w:rFonts w:hint="eastAsia" w:ascii="仿宋" w:hAnsi="仿宋" w:eastAsia="仿宋"/>
          <w:bCs/>
          <w:color w:val="auto"/>
          <w:sz w:val="32"/>
          <w:szCs w:val="32"/>
          <w:highlight w:val="none"/>
        </w:rPr>
        <w:t>（类）公路水路运输（款）公路建设（项）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829.79</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lang w:eastAsia="zh-CN"/>
        </w:rPr>
        <w:t>。</w:t>
      </w:r>
    </w:p>
    <w:p>
      <w:pPr>
        <w:pStyle w:val="6"/>
        <w:ind w:firstLine="643" w:firstLineChars="200"/>
        <w:rPr>
          <w:rStyle w:val="17"/>
          <w:rFonts w:hint="eastAsia" w:ascii="仿宋" w:hAnsi="仿宋" w:eastAsia="仿宋"/>
          <w:b w:val="0"/>
          <w:bCs/>
          <w:color w:val="auto"/>
          <w:sz w:val="32"/>
          <w:szCs w:val="32"/>
          <w:highlight w:val="none"/>
          <w:lang w:eastAsia="zh-CN"/>
        </w:rPr>
      </w:pPr>
      <w:r>
        <w:rPr>
          <w:rStyle w:val="17"/>
          <w:rFonts w:hint="eastAsia" w:ascii="仿宋" w:hAnsi="仿宋" w:eastAsia="仿宋"/>
          <w:b/>
          <w:bCs w:val="0"/>
          <w:color w:val="auto"/>
          <w:sz w:val="32"/>
          <w:szCs w:val="32"/>
          <w:highlight w:val="none"/>
          <w:lang w:val="en-US" w:eastAsia="zh-CN"/>
        </w:rPr>
        <w:t xml:space="preserve">13. </w:t>
      </w:r>
      <w:r>
        <w:rPr>
          <w:rFonts w:hint="eastAsia" w:ascii="仿宋" w:hAnsi="仿宋" w:eastAsia="仿宋"/>
          <w:b/>
          <w:bCs/>
          <w:color w:val="auto"/>
          <w:sz w:val="32"/>
          <w:szCs w:val="32"/>
          <w:highlight w:val="none"/>
        </w:rPr>
        <w:t>交通运输支出</w:t>
      </w:r>
      <w:r>
        <w:rPr>
          <w:rStyle w:val="17"/>
          <w:rFonts w:hint="eastAsia" w:ascii="仿宋" w:hAnsi="仿宋" w:eastAsia="仿宋"/>
          <w:bCs/>
          <w:color w:val="auto"/>
          <w:sz w:val="32"/>
          <w:szCs w:val="32"/>
          <w:highlight w:val="none"/>
        </w:rPr>
        <w:t>（类）公路水路运输（款）公路养护（项）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2952.15</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lang w:eastAsia="zh-CN"/>
        </w:rPr>
        <w:t>。</w:t>
      </w:r>
    </w:p>
    <w:p>
      <w:pPr>
        <w:pStyle w:val="6"/>
        <w:ind w:firstLine="643" w:firstLineChars="200"/>
        <w:rPr>
          <w:rStyle w:val="17"/>
          <w:rFonts w:hint="eastAsia" w:ascii="仿宋" w:hAnsi="仿宋" w:eastAsia="仿宋"/>
          <w:b w:val="0"/>
          <w:bCs/>
          <w:color w:val="auto"/>
          <w:sz w:val="32"/>
          <w:szCs w:val="32"/>
          <w:highlight w:val="none"/>
          <w:lang w:eastAsia="zh-CN"/>
        </w:rPr>
      </w:pPr>
      <w:r>
        <w:rPr>
          <w:rStyle w:val="17"/>
          <w:rFonts w:hint="eastAsia" w:ascii="仿宋" w:hAnsi="仿宋" w:eastAsia="仿宋"/>
          <w:b/>
          <w:bCs w:val="0"/>
          <w:color w:val="auto"/>
          <w:sz w:val="32"/>
          <w:szCs w:val="32"/>
          <w:highlight w:val="none"/>
          <w:lang w:val="en-US" w:eastAsia="zh-CN"/>
        </w:rPr>
        <w:t xml:space="preserve">14. </w:t>
      </w:r>
      <w:r>
        <w:rPr>
          <w:rFonts w:hint="eastAsia" w:ascii="仿宋" w:hAnsi="仿宋" w:eastAsia="仿宋"/>
          <w:b/>
          <w:bCs/>
          <w:color w:val="auto"/>
          <w:sz w:val="32"/>
          <w:szCs w:val="32"/>
          <w:highlight w:val="none"/>
        </w:rPr>
        <w:t>交通运输支出</w:t>
      </w:r>
      <w:r>
        <w:rPr>
          <w:rStyle w:val="17"/>
          <w:rFonts w:hint="eastAsia" w:ascii="仿宋" w:hAnsi="仿宋" w:eastAsia="仿宋"/>
          <w:bCs/>
          <w:color w:val="auto"/>
          <w:sz w:val="32"/>
          <w:szCs w:val="32"/>
          <w:highlight w:val="none"/>
        </w:rPr>
        <w:t>（类）公路水路运输（款）其他公路水路运输支出（项）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3461.58</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lang w:eastAsia="zh-CN"/>
        </w:rPr>
        <w:t>。</w:t>
      </w:r>
    </w:p>
    <w:p>
      <w:pPr>
        <w:pStyle w:val="6"/>
        <w:ind w:firstLine="643" w:firstLineChars="200"/>
        <w:rPr>
          <w:rStyle w:val="17"/>
          <w:rFonts w:hint="eastAsia" w:ascii="仿宋" w:hAnsi="仿宋" w:eastAsia="仿宋"/>
          <w:b w:val="0"/>
          <w:bCs/>
          <w:color w:val="auto"/>
          <w:sz w:val="32"/>
          <w:szCs w:val="32"/>
          <w:highlight w:val="none"/>
          <w:lang w:eastAsia="zh-CN"/>
        </w:rPr>
      </w:pPr>
      <w:r>
        <w:rPr>
          <w:rStyle w:val="17"/>
          <w:rFonts w:hint="eastAsia" w:ascii="仿宋" w:hAnsi="仿宋" w:eastAsia="仿宋"/>
          <w:b/>
          <w:bCs w:val="0"/>
          <w:color w:val="auto"/>
          <w:sz w:val="32"/>
          <w:szCs w:val="32"/>
          <w:highlight w:val="none"/>
          <w:lang w:val="en-US" w:eastAsia="zh-CN"/>
        </w:rPr>
        <w:t xml:space="preserve">15. </w:t>
      </w:r>
      <w:r>
        <w:rPr>
          <w:rFonts w:hint="eastAsia" w:ascii="仿宋" w:hAnsi="仿宋" w:eastAsia="仿宋"/>
          <w:b/>
          <w:bCs/>
          <w:color w:val="auto"/>
          <w:sz w:val="32"/>
          <w:szCs w:val="32"/>
          <w:highlight w:val="none"/>
        </w:rPr>
        <w:t>交通运输支出</w:t>
      </w:r>
      <w:r>
        <w:rPr>
          <w:rStyle w:val="17"/>
          <w:rFonts w:hint="eastAsia" w:ascii="仿宋" w:hAnsi="仿宋" w:eastAsia="仿宋"/>
          <w:bCs/>
          <w:color w:val="auto"/>
          <w:sz w:val="32"/>
          <w:szCs w:val="32"/>
          <w:highlight w:val="none"/>
        </w:rPr>
        <w:t>（类）其他交通运输支出（款）其他交通运输支出（项）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644.86</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lang w:eastAsia="zh-CN"/>
        </w:rPr>
        <w:t>。</w:t>
      </w:r>
    </w:p>
    <w:p>
      <w:pPr>
        <w:pStyle w:val="6"/>
        <w:ind w:firstLine="643" w:firstLineChars="200"/>
        <w:rPr>
          <w:rStyle w:val="17"/>
          <w:rFonts w:hint="eastAsia" w:ascii="仿宋" w:hAnsi="仿宋" w:eastAsia="仿宋"/>
          <w:b w:val="0"/>
          <w:bCs/>
          <w:color w:val="auto"/>
          <w:sz w:val="32"/>
          <w:szCs w:val="32"/>
          <w:highlight w:val="none"/>
          <w:lang w:eastAsia="zh-CN"/>
        </w:rPr>
      </w:pPr>
      <w:r>
        <w:rPr>
          <w:rFonts w:hint="eastAsia" w:ascii="仿宋" w:hAnsi="仿宋" w:eastAsia="仿宋"/>
          <w:b/>
          <w:bCs/>
          <w:color w:val="auto"/>
          <w:sz w:val="32"/>
          <w:szCs w:val="32"/>
          <w:highlight w:val="none"/>
          <w:lang w:val="en-US" w:eastAsia="zh-CN"/>
        </w:rPr>
        <w:t>16.</w:t>
      </w:r>
      <w:r>
        <w:rPr>
          <w:rFonts w:hint="eastAsia" w:ascii="仿宋" w:hAnsi="仿宋" w:eastAsia="仿宋"/>
          <w:b/>
          <w:bCs/>
          <w:color w:val="auto"/>
          <w:sz w:val="32"/>
          <w:szCs w:val="32"/>
          <w:highlight w:val="none"/>
        </w:rPr>
        <w:t>住房保障支出</w:t>
      </w:r>
      <w:r>
        <w:rPr>
          <w:rStyle w:val="17"/>
          <w:rFonts w:hint="eastAsia" w:ascii="仿宋" w:hAnsi="仿宋" w:eastAsia="仿宋"/>
          <w:bCs/>
          <w:color w:val="auto"/>
          <w:sz w:val="32"/>
          <w:szCs w:val="32"/>
          <w:highlight w:val="none"/>
        </w:rPr>
        <w:t>（类）住房改革支出（款）住房公积金（项）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36.84</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lang w:eastAsia="zh-CN"/>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1-1表和财决08表，仅罗列本部门涉及的全部功能分类科目，至项级。上述“预算”口径为全年预算数。增减变动原因为决算数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pPr>
        <w:spacing w:line="600" w:lineRule="exact"/>
        <w:ind w:firstLine="640"/>
        <w:rPr>
          <w:rFonts w:ascii="仿宋" w:hAnsi="仿宋" w:eastAsia="仿宋"/>
          <w:b/>
          <w:sz w:val="32"/>
          <w:szCs w:val="32"/>
        </w:rPr>
      </w:pPr>
    </w:p>
    <w:p>
      <w:pPr>
        <w:tabs>
          <w:tab w:val="right" w:pos="8306"/>
        </w:tabs>
        <w:spacing w:line="600" w:lineRule="exact"/>
        <w:ind w:firstLine="640"/>
        <w:outlineLvl w:val="1"/>
        <w:rPr>
          <w:rStyle w:val="29"/>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34"/>
      <w:bookmarkEnd w:id="35"/>
      <w:r>
        <w:rPr>
          <w:rStyle w:val="29"/>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sz w:val="32"/>
          <w:szCs w:val="32"/>
        </w:rPr>
        <w:t>719.6</w:t>
      </w:r>
      <w:r>
        <w:rPr>
          <w:rFonts w:hint="eastAsia" w:ascii="仿宋" w:hAnsi="仿宋" w:eastAsia="仿宋"/>
          <w:sz w:val="32"/>
          <w:szCs w:val="32"/>
        </w:rPr>
        <w:t>万元，其中：</w:t>
      </w:r>
    </w:p>
    <w:p>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w:t>
      </w:r>
      <w:r>
        <w:rPr>
          <w:sz w:val="32"/>
          <w:szCs w:val="32"/>
        </w:rPr>
        <w:t>653.05</w:t>
      </w:r>
      <w:r>
        <w:rPr>
          <w:rFonts w:hint="eastAsia" w:ascii="仿宋" w:hAnsi="仿宋" w:eastAsia="仿宋"/>
          <w:sz w:val="32"/>
          <w:szCs w:val="32"/>
        </w:rPr>
        <w:t>万元，主要包括：基本工资、津贴补贴、奖金、</w:t>
      </w:r>
      <w:r>
        <w:rPr>
          <w:rFonts w:hint="eastAsia" w:ascii="仿宋" w:hAnsi="仿宋" w:eastAsia="仿宋"/>
          <w:sz w:val="32"/>
          <w:szCs w:val="32"/>
          <w:lang w:eastAsia="zh-CN"/>
        </w:rPr>
        <w:t>伙食补助费、</w:t>
      </w:r>
      <w:r>
        <w:rPr>
          <w:rFonts w:hint="eastAsia" w:ascii="仿宋" w:hAnsi="仿宋" w:eastAsia="仿宋"/>
          <w:sz w:val="32"/>
          <w:szCs w:val="32"/>
        </w:rPr>
        <w:t>机关事业单位基本养老保险缴费、职业年金缴费、</w:t>
      </w:r>
      <w:r>
        <w:rPr>
          <w:rFonts w:hint="eastAsia" w:ascii="仿宋" w:hAnsi="仿宋" w:eastAsia="仿宋"/>
          <w:sz w:val="32"/>
          <w:szCs w:val="32"/>
          <w:lang w:eastAsia="zh-CN"/>
        </w:rPr>
        <w:t>职工基本医疗保险缴费、</w:t>
      </w:r>
      <w:r>
        <w:rPr>
          <w:rFonts w:hint="eastAsia" w:ascii="仿宋" w:hAnsi="仿宋" w:eastAsia="仿宋"/>
          <w:sz w:val="32"/>
          <w:szCs w:val="32"/>
        </w:rPr>
        <w:t>其他社会保障缴费、住房公积金、对个人和家庭的补助</w:t>
      </w:r>
      <w:r>
        <w:rPr>
          <w:rFonts w:hint="eastAsia" w:ascii="仿宋" w:hAnsi="仿宋" w:eastAsia="仿宋"/>
          <w:sz w:val="32"/>
          <w:szCs w:val="32"/>
          <w:lang w:eastAsia="zh-CN"/>
        </w:rPr>
        <w:t>、退休费、抚恤金、生活补助</w:t>
      </w:r>
      <w:r>
        <w:rPr>
          <w:rFonts w:hint="eastAsia" w:ascii="仿宋" w:hAnsi="仿宋" w:eastAsia="仿宋"/>
          <w:sz w:val="32"/>
          <w:szCs w:val="32"/>
        </w:rPr>
        <w:t>支出等。</w:t>
      </w:r>
    </w:p>
    <w:p>
      <w:pPr>
        <w:spacing w:line="600" w:lineRule="exact"/>
        <w:ind w:firstLine="645"/>
        <w:rPr>
          <w:rFonts w:ascii="仿宋" w:hAnsi="仿宋" w:eastAsia="仿宋"/>
          <w:sz w:val="32"/>
          <w:szCs w:val="32"/>
        </w:rPr>
      </w:pPr>
      <w:r>
        <w:rPr>
          <w:rFonts w:hint="eastAsia" w:ascii="仿宋" w:hAnsi="仿宋" w:eastAsia="仿宋"/>
          <w:sz w:val="32"/>
          <w:szCs w:val="32"/>
        </w:rPr>
        <w:t>公用经费</w:t>
      </w:r>
      <w:r>
        <w:rPr>
          <w:sz w:val="32"/>
          <w:szCs w:val="32"/>
        </w:rPr>
        <w:t>66.54</w:t>
      </w:r>
      <w:r>
        <w:rPr>
          <w:rFonts w:hint="eastAsia" w:ascii="仿宋" w:hAnsi="仿宋" w:eastAsia="仿宋"/>
          <w:sz w:val="32"/>
          <w:szCs w:val="32"/>
        </w:rPr>
        <w:t>万元，主要包括：办公费、水费、电费、邮电费、差旅费、公务接待费、劳务费、工会经费、办公设备购置等。</w:t>
      </w:r>
    </w:p>
    <w:p>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7表和财决08-1表，仅罗列本部门实际支出涉及的经济分类科目。）</w:t>
      </w:r>
    </w:p>
    <w:p>
      <w:pPr>
        <w:spacing w:line="600" w:lineRule="exact"/>
        <w:ind w:firstLine="640"/>
        <w:rPr>
          <w:rFonts w:ascii="仿宋" w:hAnsi="仿宋" w:eastAsia="仿宋"/>
          <w:b/>
          <w:sz w:val="32"/>
          <w:szCs w:val="32"/>
        </w:rPr>
      </w:pPr>
    </w:p>
    <w:p>
      <w:pPr>
        <w:spacing w:line="600" w:lineRule="exact"/>
        <w:ind w:firstLine="640"/>
        <w:outlineLvl w:val="1"/>
        <w:rPr>
          <w:rStyle w:val="29"/>
          <w:rFonts w:ascii="黑体" w:hAnsi="黑体" w:eastAsia="黑体"/>
          <w:b w:val="0"/>
        </w:rPr>
      </w:pPr>
      <w:bookmarkStart w:id="36" w:name="_Toc15377215"/>
      <w:bookmarkStart w:id="37" w:name="_Toc15396609"/>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2023年度“三公”经费财政拨款支出决算为</w:t>
      </w:r>
      <w:r>
        <w:rPr>
          <w:sz w:val="32"/>
          <w:szCs w:val="32"/>
        </w:rPr>
        <w:t>1.98</w:t>
      </w:r>
      <w:r>
        <w:rPr>
          <w:rFonts w:hint="eastAsia" w:ascii="仿宋" w:hAnsi="仿宋" w:eastAsia="仿宋"/>
          <w:sz w:val="32"/>
          <w:szCs w:val="32"/>
        </w:rPr>
        <w:t>万元，完成预算</w:t>
      </w:r>
      <w:r>
        <w:rPr>
          <w:sz w:val="32"/>
          <w:szCs w:val="32"/>
        </w:rPr>
        <w:t>100</w:t>
      </w:r>
      <w:r>
        <w:rPr>
          <w:rFonts w:ascii="仿宋" w:hAnsi="仿宋" w:eastAsia="仿宋"/>
          <w:sz w:val="32"/>
          <w:szCs w:val="32"/>
        </w:rPr>
        <w:t>%</w:t>
      </w:r>
      <w:r>
        <w:rPr>
          <w:rFonts w:hint="eastAsia" w:ascii="仿宋" w:hAnsi="仿宋" w:eastAsia="仿宋"/>
          <w:sz w:val="32"/>
          <w:szCs w:val="32"/>
        </w:rPr>
        <w:t>，较上年度减少</w:t>
      </w:r>
      <w:r>
        <w:rPr>
          <w:rFonts w:hint="eastAsia" w:ascii="仿宋" w:hAnsi="仿宋" w:eastAsia="仿宋"/>
          <w:sz w:val="32"/>
          <w:szCs w:val="32"/>
          <w:lang w:val="en-US" w:eastAsia="zh-CN"/>
        </w:rPr>
        <w:t>1.53</w:t>
      </w:r>
      <w:r>
        <w:rPr>
          <w:rFonts w:hint="eastAsia" w:ascii="仿宋" w:hAnsi="仿宋" w:eastAsia="仿宋"/>
          <w:sz w:val="32"/>
          <w:szCs w:val="32"/>
        </w:rPr>
        <w:t>万元，下降</w:t>
      </w:r>
      <w:r>
        <w:rPr>
          <w:rFonts w:hint="eastAsia" w:ascii="仿宋" w:hAnsi="仿宋" w:eastAsia="仿宋"/>
          <w:sz w:val="32"/>
          <w:szCs w:val="32"/>
          <w:lang w:val="en-US" w:eastAsia="zh-CN"/>
        </w:rPr>
        <w:t>42</w:t>
      </w:r>
      <w:r>
        <w:rPr>
          <w:rFonts w:hint="eastAsia" w:ascii="仿宋" w:hAnsi="仿宋" w:eastAsia="仿宋"/>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pPr>
      <w:r>
        <w:rPr>
          <w:rFonts w:hint="eastAsia" w:ascii="仿宋" w:hAnsi="仿宋" w:eastAsia="仿宋"/>
          <w:sz w:val="32"/>
          <w:szCs w:val="32"/>
        </w:rPr>
        <w:t>2023年度“三公”经费财政拨款支出决算中，因公出国（境）费支出决算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；公务接待费支出决算</w:t>
      </w:r>
      <w:r>
        <w:rPr>
          <w:sz w:val="32"/>
          <w:szCs w:val="32"/>
        </w:rPr>
        <w:t>1.98</w:t>
      </w:r>
      <w:r>
        <w:rPr>
          <w:rFonts w:hint="eastAsia" w:ascii="仿宋" w:hAnsi="仿宋" w:eastAsia="仿宋"/>
          <w:sz w:val="32"/>
          <w:szCs w:val="32"/>
        </w:rPr>
        <w:t>万元，占</w:t>
      </w:r>
      <w:r>
        <w:rPr>
          <w:sz w:val="32"/>
          <w:szCs w:val="32"/>
        </w:rPr>
        <w:t>100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pPr>
    </w:p>
    <w:p>
      <w:pPr>
        <w:spacing w:line="600" w:lineRule="exact"/>
        <w:ind w:firstLine="640"/>
      </w:pPr>
    </w:p>
    <w:p>
      <w:pPr>
        <w:spacing w:line="600" w:lineRule="exact"/>
        <w:ind w:firstLine="640"/>
      </w:pPr>
    </w:p>
    <w:p>
      <w:pPr>
        <w:spacing w:line="600" w:lineRule="exact"/>
        <w:ind w:firstLine="640"/>
      </w:pPr>
    </w:p>
    <w:p>
      <w:pPr>
        <w:spacing w:line="600" w:lineRule="exact"/>
        <w:ind w:firstLine="640"/>
      </w:pPr>
    </w:p>
    <w:p>
      <w:pPr>
        <w:spacing w:line="600" w:lineRule="exact"/>
        <w:ind w:firstLine="640"/>
      </w:pPr>
    </w:p>
    <w:p>
      <w:pPr>
        <w:spacing w:line="600" w:lineRule="exact"/>
        <w:ind w:firstLine="640"/>
      </w:pPr>
    </w:p>
    <w:p>
      <w:pPr>
        <w:spacing w:line="600" w:lineRule="exact"/>
        <w:ind w:firstLine="640"/>
        <w:rPr>
          <w:rFonts w:hint="eastAsia" w:ascii="仿宋" w:hAnsi="仿宋" w:eastAsia="仿宋"/>
          <w:sz w:val="32"/>
          <w:szCs w:val="32"/>
        </w:rPr>
      </w:pPr>
      <w:r>
        <w:drawing>
          <wp:anchor distT="0" distB="0" distL="114300" distR="114300" simplePos="0" relativeHeight="251659264" behindDoc="1" locked="0" layoutInCell="1" allowOverlap="1">
            <wp:simplePos x="0" y="0"/>
            <wp:positionH relativeFrom="column">
              <wp:posOffset>406400</wp:posOffset>
            </wp:positionH>
            <wp:positionV relativeFrom="paragraph">
              <wp:posOffset>-2438400</wp:posOffset>
            </wp:positionV>
            <wp:extent cx="4733925" cy="2733675"/>
            <wp:effectExtent l="0" t="0" r="9525" b="952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stretch>
                      <a:fillRect/>
                    </a:stretch>
                  </pic:blipFill>
                  <pic:spPr>
                    <a:xfrm>
                      <a:off x="0" y="0"/>
                      <a:ext cx="4733925" cy="2733675"/>
                    </a:xfrm>
                    <a:prstGeom prst="rect">
                      <a:avLst/>
                    </a:prstGeom>
                    <a:noFill/>
                    <a:ln>
                      <a:noFill/>
                    </a:ln>
                  </pic:spPr>
                </pic:pic>
              </a:graphicData>
            </a:graphic>
          </wp:anchor>
        </w:drawing>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sz w:val="32"/>
          <w:szCs w:val="32"/>
        </w:rPr>
        <w:t>0</w:t>
      </w:r>
      <w:r>
        <w:rPr>
          <w:rFonts w:hint="eastAsia" w:ascii="仿宋_GB2312" w:eastAsia="仿宋_GB2312"/>
          <w:sz w:val="32"/>
          <w:szCs w:val="32"/>
        </w:rPr>
        <w:t>万元</w:t>
      </w:r>
      <w:r>
        <w:rPr>
          <w:rFonts w:hint="eastAsia" w:ascii="仿宋_GB2312" w:eastAsia="仿宋_GB2312"/>
          <w:sz w:val="32"/>
          <w:szCs w:val="32"/>
          <w:lang w:eastAsia="zh-CN"/>
        </w:rPr>
        <w:t>。</w:t>
      </w:r>
    </w:p>
    <w:p>
      <w:pPr>
        <w:spacing w:line="600" w:lineRule="exact"/>
        <w:ind w:firstLine="64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sz w:val="32"/>
          <w:szCs w:val="32"/>
        </w:rPr>
        <w:t>0</w:t>
      </w:r>
      <w:r>
        <w:rPr>
          <w:rFonts w:hint="eastAsia" w:ascii="仿宋_GB2312" w:eastAsia="仿宋_GB2312"/>
          <w:sz w:val="32"/>
          <w:szCs w:val="32"/>
        </w:rPr>
        <w:t>万元</w:t>
      </w:r>
      <w:r>
        <w:rPr>
          <w:rFonts w:hint="eastAsia" w:ascii="仿宋_GB2312" w:eastAsia="仿宋_GB2312"/>
          <w:sz w:val="32"/>
          <w:szCs w:val="32"/>
          <w:lang w:eastAsia="zh-CN"/>
        </w:rPr>
        <w:t>。</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sz w:val="32"/>
          <w:szCs w:val="32"/>
        </w:rPr>
        <w:t>1.98</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sz w:val="32"/>
          <w:szCs w:val="32"/>
        </w:rPr>
        <w:t>100%</w:t>
      </w:r>
      <w:r>
        <w:rPr>
          <w:rStyle w:val="17"/>
          <w:rFonts w:hint="eastAsia" w:ascii="仿宋" w:hAnsi="仿宋" w:eastAsia="仿宋"/>
          <w:b w:val="0"/>
          <w:bCs/>
          <w:sz w:val="32"/>
          <w:szCs w:val="32"/>
        </w:rPr>
        <w:t>。</w:t>
      </w:r>
      <w:r>
        <w:rPr>
          <w:rFonts w:hint="eastAsia" w:ascii="仿宋_GB2312" w:eastAsia="仿宋_GB2312"/>
          <w:sz w:val="32"/>
          <w:szCs w:val="32"/>
        </w:rPr>
        <w:t>公务接待费支出决算比2022年度减少</w:t>
      </w:r>
      <w:r>
        <w:rPr>
          <w:rFonts w:hint="eastAsia" w:ascii="仿宋_GB2312" w:eastAsia="仿宋_GB2312"/>
          <w:sz w:val="32"/>
          <w:szCs w:val="32"/>
          <w:lang w:val="en-US" w:eastAsia="zh-CN"/>
        </w:rPr>
        <w:t>1.53</w:t>
      </w:r>
      <w:r>
        <w:rPr>
          <w:rFonts w:hint="eastAsia" w:ascii="仿宋_GB2312" w:eastAsia="仿宋_GB2312"/>
          <w:sz w:val="32"/>
          <w:szCs w:val="32"/>
        </w:rPr>
        <w:t>万元，下降</w:t>
      </w:r>
      <w:r>
        <w:rPr>
          <w:rFonts w:hint="eastAsia" w:ascii="仿宋_GB2312" w:eastAsia="仿宋_GB2312"/>
          <w:sz w:val="32"/>
          <w:szCs w:val="32"/>
          <w:lang w:val="en-US" w:eastAsia="zh-CN"/>
        </w:rPr>
        <w:t>42</w:t>
      </w:r>
      <w:r>
        <w:rPr>
          <w:rFonts w:ascii="仿宋_GB2312" w:eastAsia="仿宋_GB2312"/>
          <w:sz w:val="32"/>
          <w:szCs w:val="32"/>
        </w:rPr>
        <w:t>%</w:t>
      </w:r>
      <w:r>
        <w:rPr>
          <w:rFonts w:hint="eastAsia" w:ascii="仿宋_GB2312" w:eastAsia="仿宋_GB2312"/>
          <w:sz w:val="32"/>
          <w:szCs w:val="32"/>
        </w:rPr>
        <w:t>。主要原因</w:t>
      </w:r>
      <w:r>
        <w:rPr>
          <w:rFonts w:hint="eastAsia" w:ascii="仿宋_GB2312" w:eastAsia="仿宋_GB2312"/>
          <w:color w:val="auto"/>
          <w:sz w:val="32"/>
          <w:szCs w:val="32"/>
          <w:highlight w:val="none"/>
        </w:rPr>
        <w:t>是</w:t>
      </w:r>
      <w:r>
        <w:rPr>
          <w:rFonts w:hint="eastAsia" w:ascii="仿宋_GB2312" w:eastAsia="仿宋_GB2312"/>
          <w:color w:val="auto"/>
          <w:sz w:val="32"/>
          <w:szCs w:val="32"/>
          <w:highlight w:val="none"/>
          <w:lang w:eastAsia="zh-CN"/>
        </w:rPr>
        <w:t>三公经费压减</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b/>
          <w:sz w:val="32"/>
          <w:szCs w:val="32"/>
          <w:lang w:val="en-US" w:eastAsia="zh-CN"/>
        </w:rPr>
        <w:t>1.98</w:t>
      </w:r>
      <w:r>
        <w:rPr>
          <w:rFonts w:hint="eastAsia" w:ascii="仿宋_GB2312" w:eastAsia="仿宋_GB2312"/>
          <w:sz w:val="32"/>
          <w:szCs w:val="32"/>
        </w:rPr>
        <w:t>万元，主要用于</w:t>
      </w:r>
      <w:r>
        <w:rPr>
          <w:rFonts w:hint="eastAsia" w:ascii="仿宋_GB2312" w:eastAsia="仿宋_GB2312"/>
          <w:sz w:val="32"/>
          <w:szCs w:val="32"/>
          <w:lang w:eastAsia="zh-CN"/>
        </w:rPr>
        <w:t>上级检查、</w:t>
      </w:r>
      <w:r>
        <w:rPr>
          <w:rFonts w:hint="eastAsia" w:ascii="仿宋_GB2312" w:eastAsia="仿宋_GB2312"/>
          <w:sz w:val="32"/>
          <w:szCs w:val="32"/>
        </w:rPr>
        <w:t>执行公务、开展业务活动开支的交通费、用餐费等。国内公务接</w:t>
      </w:r>
      <w:r>
        <w:rPr>
          <w:rFonts w:hint="eastAsia" w:ascii="仿宋_GB2312" w:eastAsia="仿宋_GB2312"/>
          <w:sz w:val="32"/>
          <w:szCs w:val="32"/>
          <w:highlight w:val="none"/>
        </w:rPr>
        <w:t>待</w:t>
      </w:r>
      <w:r>
        <w:rPr>
          <w:rFonts w:hint="eastAsia" w:ascii="仿宋_GB2312" w:eastAsia="仿宋_GB2312"/>
          <w:color w:val="auto"/>
          <w:sz w:val="32"/>
          <w:szCs w:val="32"/>
          <w:highlight w:val="none"/>
          <w:lang w:val="en-US" w:eastAsia="zh-CN"/>
        </w:rPr>
        <w:t>32</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400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3.51</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eastAsia="zh-CN"/>
        </w:rPr>
        <w:t>上级交通局、公路局等到我单位考察调研等接待</w:t>
      </w:r>
      <w:r>
        <w:rPr>
          <w:rFonts w:hint="eastAsia" w:ascii="仿宋_GB2312" w:eastAsia="仿宋_GB2312"/>
          <w:color w:val="auto"/>
          <w:sz w:val="32"/>
          <w:szCs w:val="32"/>
          <w:highlight w:val="none"/>
        </w:rPr>
        <w:t>。</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b/>
          <w:sz w:val="32"/>
          <w:szCs w:val="32"/>
          <w:lang w:val="en-US" w:eastAsia="zh-CN"/>
        </w:rPr>
        <w:t>0</w:t>
      </w:r>
      <w:r>
        <w:rPr>
          <w:rFonts w:hint="eastAsia" w:ascii="仿宋_GB2312" w:eastAsia="仿宋_GB2312"/>
          <w:sz w:val="32"/>
          <w:szCs w:val="32"/>
        </w:rPr>
        <w:t>万元。</w:t>
      </w:r>
      <w:bookmarkStart w:id="40" w:name="_Toc15396610"/>
      <w:bookmarkStart w:id="41" w:name="_Toc15377218"/>
    </w:p>
    <w:p>
      <w:pPr>
        <w:spacing w:line="600" w:lineRule="exact"/>
        <w:ind w:firstLine="640"/>
        <w:outlineLvl w:val="1"/>
        <w:rPr>
          <w:rStyle w:val="29"/>
          <w:rFonts w:ascii="黑体" w:hAnsi="黑体" w:eastAsia="黑体"/>
        </w:rPr>
      </w:pPr>
      <w:r>
        <w:rPr>
          <w:rFonts w:hint="eastAsia" w:ascii="黑体" w:eastAsia="黑体"/>
          <w:sz w:val="32"/>
          <w:szCs w:val="32"/>
        </w:rPr>
        <w:t>八、</w:t>
      </w:r>
      <w:r>
        <w:rPr>
          <w:rStyle w:val="29"/>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sz w:val="32"/>
          <w:szCs w:val="32"/>
        </w:rPr>
        <w:t>0</w:t>
      </w:r>
      <w:r>
        <w:rPr>
          <w:rFonts w:hint="eastAsia" w:ascii="仿宋_GB2312" w:eastAsia="仿宋_GB2312"/>
          <w:sz w:val="32"/>
          <w:szCs w:val="32"/>
        </w:rPr>
        <w:t>万元。</w:t>
      </w:r>
    </w:p>
    <w:p>
      <w:pPr>
        <w:numPr>
          <w:ilvl w:val="0"/>
          <w:numId w:val="3"/>
        </w:numPr>
        <w:spacing w:line="600" w:lineRule="exact"/>
        <w:ind w:firstLine="640"/>
        <w:outlineLvl w:val="1"/>
        <w:rPr>
          <w:rStyle w:val="29"/>
          <w:rFonts w:ascii="黑体" w:hAnsi="黑体" w:eastAsia="黑体"/>
          <w:b w:val="0"/>
        </w:rPr>
      </w:pPr>
      <w:bookmarkStart w:id="42" w:name="_Toc15377219"/>
      <w:bookmarkStart w:id="43" w:name="_Toc15396611"/>
      <w:r>
        <w:rPr>
          <w:rStyle w:val="29"/>
          <w:rFonts w:hint="eastAsia" w:ascii="黑体" w:hAnsi="黑体" w:eastAsia="黑体"/>
          <w:b w:val="0"/>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sz w:val="32"/>
          <w:szCs w:val="32"/>
        </w:rPr>
        <w:t>3</w:t>
      </w:r>
      <w:r>
        <w:rPr>
          <w:rFonts w:hint="eastAsia" w:ascii="仿宋_GB2312" w:eastAsia="仿宋_GB2312"/>
          <w:sz w:val="32"/>
          <w:szCs w:val="32"/>
        </w:rPr>
        <w:t>万元。</w:t>
      </w:r>
    </w:p>
    <w:p>
      <w:pPr>
        <w:numPr>
          <w:ilvl w:val="0"/>
          <w:numId w:val="3"/>
        </w:numPr>
        <w:spacing w:line="600" w:lineRule="exact"/>
        <w:ind w:firstLine="640"/>
        <w:outlineLvl w:val="1"/>
        <w:rPr>
          <w:rStyle w:val="29"/>
          <w:rFonts w:ascii="黑体" w:hAnsi="黑体" w:eastAsia="黑体"/>
          <w:b w:val="0"/>
        </w:rPr>
      </w:pPr>
      <w:bookmarkStart w:id="44" w:name="_Toc15396612"/>
      <w:bookmarkStart w:id="45" w:name="_Toc15377221"/>
      <w:r>
        <w:rPr>
          <w:rStyle w:val="29"/>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hint="eastAsia"/>
          <w:sz w:val="32"/>
          <w:szCs w:val="32"/>
        </w:rPr>
        <w:t>万源市交通运输局</w:t>
      </w:r>
      <w:r>
        <w:rPr>
          <w:rFonts w:hint="eastAsia" w:ascii="仿宋_GB2312" w:eastAsia="仿宋_GB2312"/>
          <w:sz w:val="32"/>
          <w:szCs w:val="32"/>
        </w:rPr>
        <w:t>机关运行经费支出</w:t>
      </w:r>
      <w:r>
        <w:rPr>
          <w:sz w:val="32"/>
          <w:szCs w:val="32"/>
        </w:rPr>
        <w:t>66.54</w:t>
      </w:r>
      <w:r>
        <w:rPr>
          <w:rFonts w:hint="eastAsia" w:ascii="仿宋_GB2312" w:eastAsia="仿宋_GB2312"/>
          <w:sz w:val="32"/>
          <w:szCs w:val="32"/>
        </w:rPr>
        <w:t>万元，比2022年度增加</w:t>
      </w:r>
      <w:r>
        <w:rPr>
          <w:rFonts w:hint="eastAsia" w:ascii="仿宋_GB2312" w:eastAsia="仿宋_GB2312"/>
          <w:sz w:val="32"/>
          <w:szCs w:val="32"/>
          <w:lang w:val="en-US" w:eastAsia="zh-CN"/>
        </w:rPr>
        <w:t>26.27</w:t>
      </w:r>
      <w:r>
        <w:rPr>
          <w:rFonts w:hint="eastAsia" w:ascii="仿宋_GB2312" w:eastAsia="仿宋_GB2312"/>
          <w:sz w:val="32"/>
          <w:szCs w:val="32"/>
        </w:rPr>
        <w:t>万元，增长</w:t>
      </w:r>
      <w:r>
        <w:rPr>
          <w:rFonts w:hint="eastAsia" w:ascii="仿宋_GB2312" w:eastAsia="仿宋_GB2312"/>
          <w:sz w:val="32"/>
          <w:szCs w:val="32"/>
          <w:lang w:val="en-US" w:eastAsia="zh-CN"/>
        </w:rPr>
        <w:t>65</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办公费增加</w:t>
      </w:r>
      <w:r>
        <w:rPr>
          <w:rFonts w:hint="eastAsia" w:ascii="仿宋_GB2312" w:eastAsia="仿宋_GB2312"/>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2023年度</w:t>
      </w:r>
      <w:r>
        <w:rPr>
          <w:rFonts w:hint="eastAsia"/>
          <w:sz w:val="32"/>
          <w:szCs w:val="32"/>
        </w:rPr>
        <w:t>万源市交通运输局</w:t>
      </w:r>
      <w:r>
        <w:rPr>
          <w:rFonts w:hint="eastAsia" w:ascii="仿宋_GB2312" w:eastAsia="仿宋_GB2312"/>
          <w:sz w:val="32"/>
          <w:szCs w:val="32"/>
        </w:rPr>
        <w:t>政府采购支出总额</w:t>
      </w:r>
      <w:r>
        <w:rPr>
          <w:sz w:val="32"/>
          <w:szCs w:val="32"/>
        </w:rPr>
        <w:t>0</w:t>
      </w:r>
      <w:r>
        <w:rPr>
          <w:rFonts w:hint="eastAsia" w:ascii="仿宋_GB2312" w:eastAsia="仿宋_GB2312"/>
          <w:sz w:val="32"/>
          <w:szCs w:val="32"/>
        </w:rPr>
        <w:t>万元</w:t>
      </w:r>
      <w:r>
        <w:rPr>
          <w:rFonts w:hint="eastAsia" w:ascii="仿宋_GB2312" w:eastAsia="仿宋_GB2312"/>
          <w:sz w:val="32"/>
          <w:szCs w:val="32"/>
          <w:lang w:eastAsia="zh-CN"/>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sz w:val="32"/>
          <w:szCs w:val="32"/>
        </w:rPr>
        <w:t>万源市交通运输局</w:t>
      </w:r>
      <w:r>
        <w:rPr>
          <w:rFonts w:hint="eastAsia" w:ascii="仿宋_GB2312" w:eastAsia="仿宋_GB2312"/>
          <w:sz w:val="32"/>
          <w:szCs w:val="32"/>
        </w:rPr>
        <w:t>共有车辆</w:t>
      </w:r>
      <w:r>
        <w:rPr>
          <w:rFonts w:ascii="仿宋_GB2312" w:eastAsia="仿宋_GB2312"/>
          <w:sz w:val="32"/>
          <w:szCs w:val="32"/>
        </w:rPr>
        <w:t>0</w:t>
      </w:r>
      <w:r>
        <w:rPr>
          <w:rFonts w:hint="eastAsia" w:ascii="仿宋_GB2312" w:eastAsia="仿宋_GB2312"/>
          <w:sz w:val="32"/>
          <w:szCs w:val="32"/>
        </w:rPr>
        <w:t>辆</w:t>
      </w:r>
      <w:r>
        <w:rPr>
          <w:rFonts w:hint="eastAsia" w:ascii="仿宋_GB2312" w:eastAsia="仿宋_GB2312"/>
          <w:sz w:val="32"/>
          <w:szCs w:val="32"/>
          <w:lang w:eastAsia="zh-CN"/>
        </w:rPr>
        <w:t>。</w:t>
      </w:r>
    </w:p>
    <w:p>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表，按部门决算报表填报数据罗列车辆情况。）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根据预算绩效管理要求，本部门在2023年度预算编制阶段，组织对</w:t>
      </w:r>
      <w:r>
        <w:rPr>
          <w:rFonts w:hint="eastAsia" w:ascii="仿宋_GB2312" w:hAnsi="仿宋_GB2312" w:eastAsia="仿宋_GB2312" w:cs="仿宋_GB2312"/>
          <w:sz w:val="32"/>
          <w:szCs w:val="32"/>
          <w:highlight w:val="none"/>
          <w:lang w:eastAsia="zh-CN"/>
        </w:rPr>
        <w:t>道路应急抢险经费、交通管理工作经费、安全管理工作经费、2022年新冠疫情防控资金</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个项目开展绩效监控。</w:t>
      </w:r>
    </w:p>
    <w:p>
      <w:pPr>
        <w:spacing w:line="580" w:lineRule="exact"/>
        <w:ind w:firstLine="640" w:firstLineChars="200"/>
        <w:rPr>
          <w:rFonts w:hint="eastAsia"/>
        </w:rPr>
      </w:pPr>
      <w:r>
        <w:rPr>
          <w:rFonts w:hint="eastAsia" w:ascii="仿宋_GB2312" w:hAnsi="仿宋_GB2312" w:eastAsia="仿宋_GB2312" w:cs="仿宋_GB2312"/>
          <w:sz w:val="32"/>
          <w:szCs w:val="32"/>
        </w:rPr>
        <w:t>组织对2023年度一般公共预算、政府性基金预算、国有资本经营预算、社会保险基金预算以及资本资产、债券资金等全面开展绩效自评，形成绩效自评报告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绩效自评报告详见附件。</w:t>
      </w:r>
    </w:p>
    <w:p>
      <w:pPr>
        <w:pStyle w:val="2"/>
        <w:jc w:val="both"/>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jc w:val="center"/>
      </w:pPr>
      <w:r>
        <w:rPr>
          <w:rFonts w:hint="eastAsia"/>
        </w:rPr>
        <w:t>第三部分 名词解释</w:t>
      </w:r>
    </w:p>
    <w:p/>
    <w:p>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r>
        <w:rPr>
          <w:rFonts w:ascii="仿宋_GB2312" w:eastAsia="仿宋_GB2312"/>
          <w:color w:val="auto"/>
          <w:sz w:val="32"/>
          <w:szCs w:val="32"/>
          <w:highlight w:val="none"/>
        </w:rPr>
        <w:t xml:space="preserve"> </w:t>
      </w:r>
    </w:p>
    <w:p>
      <w:pPr>
        <w:pStyle w:val="26"/>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6"/>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6"/>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年末结转和结余：指单位按有关规定结转到下年或以后年度继续使用的资金。</w:t>
      </w:r>
    </w:p>
    <w:p>
      <w:pPr>
        <w:pStyle w:val="26"/>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社会保障和就业（类）行政事业单位养老支出（款）事业单位离退休（项）</w:t>
      </w:r>
      <w:r>
        <w:rPr>
          <w:rFonts w:hint="eastAsia" w:ascii="仿宋_GB2312" w:eastAsia="仿宋_GB2312"/>
          <w:color w:val="auto"/>
          <w:sz w:val="32"/>
          <w:szCs w:val="32"/>
          <w:highlight w:val="none"/>
          <w:lang w:eastAsia="zh-CN"/>
        </w:rPr>
        <w:t>：指</w:t>
      </w:r>
      <w:r>
        <w:rPr>
          <w:rFonts w:hint="eastAsia" w:ascii="仿宋_GB2312" w:eastAsia="仿宋_GB2312"/>
          <w:color w:val="auto"/>
          <w:sz w:val="32"/>
          <w:szCs w:val="32"/>
          <w:highlight w:val="none"/>
        </w:rPr>
        <w:t>反应实行归口管理的行政单位（包括实行公务员管理的事业单位）开支的离退休经费。</w:t>
      </w:r>
    </w:p>
    <w:p>
      <w:pPr>
        <w:pStyle w:val="26"/>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社会保障和就业（类）行政事业单位养老支出（款）机关事业单位基本养老保险缴费支出</w:t>
      </w:r>
      <w:r>
        <w:rPr>
          <w:rFonts w:hint="eastAsia" w:ascii="仿宋_GB2312" w:eastAsia="仿宋_GB2312"/>
          <w:color w:val="auto"/>
          <w:sz w:val="32"/>
          <w:szCs w:val="32"/>
          <w:highlight w:val="none"/>
          <w:lang w:eastAsia="zh-CN"/>
        </w:rPr>
        <w:t>（项）：指：为职工缴纳的基本养老保险缴费支出。</w:t>
      </w:r>
    </w:p>
    <w:p>
      <w:pPr>
        <w:pStyle w:val="26"/>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 xml:space="preserve">社会保障和就业支出（类）抚恤（款）死亡抚恤（项）: </w:t>
      </w:r>
      <w:r>
        <w:rPr>
          <w:rFonts w:hint="eastAsia" w:ascii="仿宋_GB2312" w:eastAsia="仿宋_GB2312"/>
          <w:color w:val="auto"/>
          <w:sz w:val="32"/>
          <w:szCs w:val="32"/>
          <w:highlight w:val="none"/>
          <w:lang w:eastAsia="zh-CN"/>
        </w:rPr>
        <w:t>指死亡抚恤金。</w:t>
      </w:r>
    </w:p>
    <w:p>
      <w:pPr>
        <w:pStyle w:val="26"/>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卫生健康（类）公共卫生（款）重大公共卫生服务（项）:</w:t>
      </w:r>
      <w:r>
        <w:rPr>
          <w:rFonts w:hint="eastAsia" w:ascii="仿宋_GB2312" w:eastAsia="仿宋_GB2312"/>
          <w:color w:val="auto"/>
          <w:sz w:val="32"/>
          <w:szCs w:val="32"/>
          <w:highlight w:val="none"/>
          <w:lang w:eastAsia="zh-CN"/>
        </w:rPr>
        <w:t>指重大公共卫生服务类支出。</w:t>
      </w:r>
    </w:p>
    <w:p>
      <w:pPr>
        <w:pStyle w:val="26"/>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卫生健康（类）行政事业单位医疗（款）行政单位医疗（项）:指主要用于机关及下属事业单位按照规定标准为职工缴纳的基本医疗保险及公务员医疗补助等支出。</w:t>
      </w:r>
    </w:p>
    <w:p>
      <w:pPr>
        <w:pStyle w:val="26"/>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卫生健康（类）行政事业单位医疗（款）</w:t>
      </w:r>
      <w:r>
        <w:rPr>
          <w:rFonts w:hint="eastAsia" w:ascii="仿宋_GB2312" w:eastAsia="仿宋_GB2312"/>
          <w:color w:val="auto"/>
          <w:sz w:val="32"/>
          <w:szCs w:val="32"/>
          <w:highlight w:val="none"/>
          <w:lang w:eastAsia="zh-CN"/>
        </w:rPr>
        <w:t>事业</w:t>
      </w:r>
      <w:r>
        <w:rPr>
          <w:rFonts w:hint="eastAsia" w:ascii="仿宋_GB2312" w:eastAsia="仿宋_GB2312"/>
          <w:color w:val="auto"/>
          <w:sz w:val="32"/>
          <w:szCs w:val="32"/>
          <w:highlight w:val="none"/>
        </w:rPr>
        <w:t>单位医疗（项）:指主要用于机关及下属事业单位按照规定标准为职工缴纳的基本医疗保险及公务员医疗补助等支出。</w:t>
      </w:r>
    </w:p>
    <w:p>
      <w:pPr>
        <w:pStyle w:val="26"/>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11.农林水支出（类）农业农村（款）农村道路建设（项）</w:t>
      </w:r>
    </w:p>
    <w:p>
      <w:pPr>
        <w:pStyle w:val="26"/>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12.农林水支出（类）巩固脱贫衔接乡村振兴（款）农村基础设施建设（项）</w:t>
      </w:r>
    </w:p>
    <w:p>
      <w:pPr>
        <w:pStyle w:val="26"/>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13.</w:t>
      </w:r>
      <w:r>
        <w:rPr>
          <w:rFonts w:hint="eastAsia" w:ascii="仿宋_GB2312" w:eastAsia="仿宋_GB2312"/>
          <w:color w:val="auto"/>
          <w:sz w:val="32"/>
          <w:szCs w:val="32"/>
          <w:highlight w:val="none"/>
        </w:rPr>
        <w:t>交通运输支出（类）公路水路运输（款）行政运行（项）</w:t>
      </w:r>
    </w:p>
    <w:p>
      <w:pPr>
        <w:pStyle w:val="26"/>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hint="eastAsia" w:ascii="仿宋_GB2312" w:eastAsia="仿宋_GB2312"/>
          <w:color w:val="auto"/>
          <w:sz w:val="32"/>
          <w:szCs w:val="32"/>
          <w:highlight w:val="none"/>
        </w:rPr>
        <w:t>交通运输支出（类）公路水路运输（款）一般行政管理事务（项）:指人员经费及工作经费。</w:t>
      </w:r>
    </w:p>
    <w:p>
      <w:pPr>
        <w:pStyle w:val="26"/>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rPr>
        <w:t>交通运输支出（类）公路水路运输（款）公路建设（项）</w:t>
      </w:r>
    </w:p>
    <w:p>
      <w:pPr>
        <w:pStyle w:val="26"/>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16.</w:t>
      </w:r>
      <w:r>
        <w:rPr>
          <w:rFonts w:hint="eastAsia" w:ascii="仿宋_GB2312" w:eastAsia="仿宋_GB2312"/>
          <w:color w:val="auto"/>
          <w:sz w:val="32"/>
          <w:szCs w:val="32"/>
          <w:highlight w:val="none"/>
        </w:rPr>
        <w:t>交通运输支出（类）公路水路运输（款）公路养护（项）:指公路养护类的支出，如道路应急抢险经费、波形护栏安装经费等。</w:t>
      </w:r>
    </w:p>
    <w:p>
      <w:pPr>
        <w:pStyle w:val="26"/>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17.</w:t>
      </w:r>
      <w:r>
        <w:rPr>
          <w:rFonts w:hint="eastAsia" w:ascii="仿宋_GB2312" w:eastAsia="仿宋_GB2312"/>
          <w:color w:val="auto"/>
          <w:sz w:val="32"/>
          <w:szCs w:val="32"/>
          <w:highlight w:val="none"/>
        </w:rPr>
        <w:t>交通运输支出（类）公路水路运输（款）其他公路水路运输支出（项）</w:t>
      </w:r>
    </w:p>
    <w:p>
      <w:pPr>
        <w:pStyle w:val="26"/>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18.</w:t>
      </w:r>
      <w:r>
        <w:rPr>
          <w:rFonts w:hint="eastAsia" w:ascii="仿宋_GB2312" w:eastAsia="仿宋_GB2312"/>
          <w:color w:val="auto"/>
          <w:sz w:val="32"/>
          <w:szCs w:val="32"/>
          <w:highlight w:val="none"/>
        </w:rPr>
        <w:t>交通运输支出（类）其他交通运输支出（款）其他交通运输支出（项）</w:t>
      </w:r>
    </w:p>
    <w:p>
      <w:pPr>
        <w:pStyle w:val="26"/>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19.</w:t>
      </w:r>
      <w:r>
        <w:rPr>
          <w:rFonts w:hint="eastAsia" w:ascii="仿宋_GB2312" w:eastAsia="仿宋_GB2312"/>
          <w:color w:val="auto"/>
          <w:sz w:val="32"/>
          <w:szCs w:val="32"/>
          <w:highlight w:val="none"/>
        </w:rPr>
        <w:t>住房保障支出（类）住房改革支出（款）住房公积金（项）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指为按照规定标准为职工缴纳住房公积金支出。</w:t>
      </w:r>
    </w:p>
    <w:p>
      <w:pPr>
        <w:pStyle w:val="26"/>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lang w:eastAsia="zh-CN"/>
        </w:rPr>
        <w:t>国有资本经营预算支出（类）解决历史遗留问题及改革成本支出（款）国有企业退休人员社会化管理补助支出（项）</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1</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color w:val="auto"/>
          <w:sz w:val="32"/>
          <w:szCs w:val="32"/>
          <w:highlight w:val="none"/>
          <w:lang w:val="en-US" w:eastAsia="zh-CN"/>
        </w:rPr>
        <w:t>22</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sz w:val="32"/>
          <w:szCs w:val="32"/>
        </w:rPr>
      </w:pPr>
      <w:r>
        <w:rPr>
          <w:rFonts w:hint="eastAsia" w:ascii="仿宋_GB2312" w:eastAsia="仿宋_GB2312"/>
          <w:sz w:val="32"/>
          <w:szCs w:val="32"/>
          <w:lang w:val="en-US" w:eastAsia="zh-CN"/>
        </w:rPr>
        <w:t>23</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24</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仿宋" w:hAnsi="仿宋" w:eastAsia="仿宋"/>
          <w:b/>
          <w:sz w:val="32"/>
          <w:szCs w:val="32"/>
        </w:rPr>
      </w:pPr>
      <w:r>
        <w:rPr>
          <w:rFonts w:ascii="仿宋" w:hAnsi="仿宋" w:eastAsia="仿宋"/>
          <w:b/>
          <w:sz w:val="32"/>
          <w:szCs w:val="32"/>
        </w:rPr>
        <w:br w:type="page"/>
      </w:r>
    </w:p>
    <w:p>
      <w:pPr>
        <w:pStyle w:val="2"/>
        <w:jc w:val="center"/>
        <w:rPr>
          <w:rFonts w:ascii="黑体" w:hAnsi="黑体" w:eastAsia="黑体"/>
          <w:b w:val="0"/>
        </w:rPr>
      </w:pPr>
      <w:r>
        <w:rPr>
          <w:rFonts w:hint="eastAsia" w:ascii="黑体" w:hAnsi="黑体" w:eastAsia="黑体"/>
          <w:b w:val="0"/>
        </w:rPr>
        <w:t>第四部分 附件</w:t>
      </w:r>
    </w:p>
    <w:p/>
    <w:p>
      <w:pPr>
        <w:rPr>
          <w:rFonts w:hint="eastAsia" w:ascii="黑体" w:hAnsi="黑体" w:eastAsia="黑体"/>
          <w:sz w:val="32"/>
          <w:szCs w:val="32"/>
        </w:rPr>
      </w:pPr>
      <w:r>
        <w:rPr>
          <w:rFonts w:hint="eastAsia" w:ascii="黑体" w:hAnsi="黑体" w:eastAsia="黑体"/>
          <w:sz w:val="32"/>
          <w:szCs w:val="32"/>
        </w:rPr>
        <w:t>附件1</w:t>
      </w:r>
    </w:p>
    <w:p>
      <w:pPr>
        <w:widowControl/>
        <w:spacing w:line="580" w:lineRule="exact"/>
        <w:contextualSpacing/>
        <w:jc w:val="center"/>
        <w:rPr>
          <w:rFonts w:hint="eastAsia" w:ascii="Times New Roman" w:hAnsi="Times New Roman" w:eastAsia="方正小标宋简体" w:cs="Times New Roman"/>
          <w:b/>
          <w:sz w:val="44"/>
          <w:szCs w:val="44"/>
          <w:shd w:val="clear" w:color="auto" w:fill="FFFFFF"/>
          <w:lang w:eastAsia="zh-CN"/>
        </w:rPr>
      </w:pPr>
      <w:r>
        <w:rPr>
          <w:rFonts w:hint="eastAsia" w:ascii="Times New Roman" w:hAnsi="Times New Roman" w:eastAsia="方正小标宋简体" w:cs="Times New Roman"/>
          <w:b/>
          <w:sz w:val="44"/>
          <w:szCs w:val="44"/>
          <w:shd w:val="clear" w:color="auto" w:fill="FFFFFF"/>
          <w:lang w:eastAsia="zh-CN"/>
        </w:rPr>
        <w:t>万源市交通运输局</w:t>
      </w:r>
    </w:p>
    <w:p>
      <w:pPr>
        <w:widowControl/>
        <w:spacing w:line="580" w:lineRule="exact"/>
        <w:contextualSpacing/>
        <w:jc w:val="center"/>
        <w:rPr>
          <w:rFonts w:eastAsia="方正小标宋简体"/>
          <w:b/>
          <w:sz w:val="44"/>
          <w:szCs w:val="44"/>
          <w:shd w:val="clear" w:color="auto" w:fill="FFFFFF"/>
        </w:rPr>
      </w:pPr>
      <w:r>
        <w:rPr>
          <w:rFonts w:eastAsia="方正小标宋简体"/>
          <w:b/>
          <w:sz w:val="44"/>
          <w:szCs w:val="44"/>
          <w:shd w:val="clear" w:color="auto" w:fill="FFFFFF"/>
        </w:rPr>
        <w:t>202</w:t>
      </w:r>
      <w:r>
        <w:rPr>
          <w:rFonts w:hint="eastAsia" w:eastAsia="方正小标宋简体"/>
          <w:b/>
          <w:sz w:val="44"/>
          <w:szCs w:val="44"/>
          <w:shd w:val="clear" w:color="auto" w:fill="FFFFFF"/>
          <w:lang w:val="en-US" w:eastAsia="zh-CN"/>
        </w:rPr>
        <w:t>3</w:t>
      </w:r>
      <w:r>
        <w:rPr>
          <w:rFonts w:eastAsia="方正小标宋简体"/>
          <w:b/>
          <w:sz w:val="44"/>
          <w:szCs w:val="44"/>
          <w:shd w:val="clear" w:color="auto" w:fill="FFFFFF"/>
        </w:rPr>
        <w:t>年部门整体支出绩效自评报告</w:t>
      </w:r>
    </w:p>
    <w:p>
      <w:pPr>
        <w:widowControl/>
        <w:adjustRightInd w:val="0"/>
        <w:snapToGrid w:val="0"/>
        <w:spacing w:line="578" w:lineRule="exact"/>
        <w:ind w:firstLine="480" w:firstLineChars="200"/>
        <w:contextualSpacing/>
        <w:jc w:val="left"/>
        <w:rPr>
          <w:rFonts w:eastAsia="黑体"/>
          <w:color w:val="000000"/>
          <w:kern w:val="0"/>
          <w:sz w:val="24"/>
          <w:szCs w:val="32"/>
          <w:shd w:val="clear" w:color="auto" w:fill="FFFFFF"/>
        </w:rPr>
      </w:pP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zh-CN"/>
        </w:rPr>
        <w:t>一</w:t>
      </w:r>
      <w:r>
        <w:rPr>
          <w:rFonts w:hint="eastAsia" w:ascii="黑体" w:hAnsi="宋体" w:eastAsia="黑体" w:cs="Times New Roman"/>
          <w:color w:val="auto"/>
          <w:sz w:val="32"/>
          <w:szCs w:val="32"/>
          <w:highlight w:val="none"/>
          <w:lang w:val="zh-CN"/>
        </w:rPr>
        <w:t>、部门（单位）基本情况</w:t>
      </w:r>
    </w:p>
    <w:p>
      <w:pPr>
        <w:ind w:firstLine="640" w:firstLineChars="200"/>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rPr>
        <w:t>（</w:t>
      </w:r>
      <w:r>
        <w:rPr>
          <w:rFonts w:hint="eastAsia" w:ascii="楷体_GB2312" w:hAnsi="楷体_GB2312" w:eastAsia="楷体_GB2312" w:cs="楷体_GB2312"/>
          <w:b/>
          <w:bCs/>
          <w:color w:val="auto"/>
          <w:kern w:val="0"/>
          <w:sz w:val="32"/>
          <w:szCs w:val="32"/>
          <w:highlight w:val="none"/>
          <w:shd w:val="clear" w:color="auto" w:fill="FFFFFF"/>
          <w:lang w:val="zh-CN"/>
        </w:rPr>
        <w:t>一）机构组成。</w:t>
      </w:r>
      <w:r>
        <w:rPr>
          <w:rFonts w:hint="eastAsia" w:ascii="仿宋_GB2312" w:hAnsi="Times New Roman" w:eastAsia="仿宋_GB2312" w:cs="Times New Roman"/>
          <w:sz w:val="32"/>
          <w:szCs w:val="32"/>
          <w:lang w:eastAsia="zh-CN"/>
        </w:rPr>
        <w:t>万源市交通运输局设立办公室、党建办、建设管理股、规划股、公路养护股、人事股、运输管理股、安全监督股、办公室、财务股、公路（水运）工程质量服务中心。</w:t>
      </w:r>
    </w:p>
    <w:p>
      <w:pPr>
        <w:ind w:firstLine="643" w:firstLineChars="200"/>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（二）机构职能。</w:t>
      </w:r>
    </w:p>
    <w:p>
      <w:pPr>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lang w:eastAsia="zh-CN"/>
        </w:rPr>
        <w:t>贯彻执行国家、省和达州市有关交通运输行业的法律法规和规章。拟订并监督实施公路、水路等行业规划、政策和标准，会同有关部门组织编制综合运输体系规划，参与拟订物流业发展战略和规划。</w:t>
      </w:r>
    </w:p>
    <w:p>
      <w:pPr>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lang w:eastAsia="zh-CN"/>
        </w:rPr>
        <w:t>根据省、达州市的总体布局，拟定全市交通运输管理规范性文件，负责本系统、本部门依法行政工作，落实行政执法责任制。指导公路、水路行业有关体制改革工作。</w:t>
      </w:r>
    </w:p>
    <w:p>
      <w:pPr>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lang w:eastAsia="zh-CN"/>
        </w:rPr>
        <w:t>承担公路、水路交通运输市场监管责任，负责城乡客运、出租车行业管理工作，会同有关部门制定运输价格。</w:t>
      </w:r>
    </w:p>
    <w:p>
      <w:pPr>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lang w:eastAsia="zh-CN"/>
        </w:rPr>
        <w:t>承担水上交通安全监管责任。负责水上运输船舶及相关水上设施的监督管理工作，负责船员管理工作。负责水上交通安全事故、船舶及水上设施污染事故的应急处置，依法组织或参与事故调查处理工作。</w:t>
      </w:r>
    </w:p>
    <w:p>
      <w:pPr>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lang w:eastAsia="zh-CN"/>
        </w:rPr>
        <w:t>负责提出公路、水路固定资产投资规模和方向、市财政性资金安排建议，按照规定权限审批、核准规划内和年度计划规模内固定资产投资项目。会同有关部门拟订公路、水路有关规费政策并监督实施，提出有关财政、土地、价格等政策建议。指导交通运输行业审计工作。</w:t>
      </w:r>
    </w:p>
    <w:p>
      <w:pPr>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6.</w:t>
      </w:r>
      <w:r>
        <w:rPr>
          <w:rFonts w:hint="eastAsia" w:ascii="仿宋_GB2312" w:hAnsi="Times New Roman" w:eastAsia="仿宋_GB2312" w:cs="Times New Roman"/>
          <w:sz w:val="32"/>
          <w:szCs w:val="32"/>
          <w:lang w:eastAsia="zh-CN"/>
        </w:rPr>
        <w:t>承担公路、水路建设市场监管责任。拟订公路、水路工程建设相关政策、制度、技术标准并监督实施，组织协调公路、水路有关重点工程建设和工程质量、安全生产监督管理工作。负责对交通行业和产业项目的招标投标活动的监督执法。指导交通运输基础设施管理和维护，承担有关重要设施的管理和维护。会同有关部门组织实施交通运输行业职业资格管理工作。</w:t>
      </w:r>
    </w:p>
    <w:p>
      <w:pPr>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lang w:eastAsia="zh-CN"/>
        </w:rPr>
        <w:t>负责公路、水路行业安全生产和职业健康、应急管理、生态环境保护、节能减排等工作。负责全市交通建设工程项目施工安全监督管理。按规定组织协调省、市重点物资和紧急客货运输，负责全市重点干线路网运行监测和协调。组织协调地方交通战备工作，承担国防动员有关工作。负责辖区范围内的公路、水路、铁路等专业建设工程防雷管理工作。</w:t>
      </w:r>
    </w:p>
    <w:p>
      <w:pPr>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8.</w:t>
      </w:r>
      <w:r>
        <w:rPr>
          <w:rFonts w:hint="eastAsia" w:ascii="仿宋_GB2312" w:hAnsi="Times New Roman" w:eastAsia="仿宋_GB2312" w:cs="Times New Roman"/>
          <w:sz w:val="32"/>
          <w:szCs w:val="32"/>
          <w:lang w:eastAsia="zh-CN"/>
        </w:rPr>
        <w:t>拟订交通运输科技政策并监督实施，组织重大科技开发。指导全市交通运输信息化建设，监测分析运行情况，开展相关统计工作，发布有关信息。</w:t>
      </w:r>
    </w:p>
    <w:p>
      <w:pPr>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lang w:eastAsia="zh-CN"/>
        </w:rPr>
        <w:t>负责职责范围内的审批服务便民化等工作。</w:t>
      </w:r>
    </w:p>
    <w:p>
      <w:pPr>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lang w:eastAsia="zh-CN"/>
        </w:rPr>
        <w:t>负责公路、水路有关涉外工作，开展对外经济技术交流与合作，指导全市交通运输行业招商引资和利用外资工作。</w:t>
      </w:r>
    </w:p>
    <w:p>
      <w:pPr>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11.</w:t>
      </w:r>
      <w:r>
        <w:rPr>
          <w:rFonts w:hint="eastAsia" w:ascii="仿宋_GB2312" w:hAnsi="Times New Roman" w:eastAsia="仿宋_GB2312" w:cs="Times New Roman"/>
          <w:sz w:val="32"/>
          <w:szCs w:val="32"/>
          <w:lang w:eastAsia="zh-CN"/>
        </w:rPr>
        <w:t>负责渔船检验和监督管理工作。</w:t>
      </w:r>
    </w:p>
    <w:p>
      <w:pPr>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12.</w:t>
      </w:r>
      <w:r>
        <w:rPr>
          <w:rFonts w:hint="eastAsia" w:ascii="仿宋_GB2312" w:hAnsi="Times New Roman" w:eastAsia="仿宋_GB2312" w:cs="Times New Roman"/>
          <w:sz w:val="32"/>
          <w:szCs w:val="32"/>
          <w:lang w:eastAsia="zh-CN"/>
        </w:rPr>
        <w:t>负责全市交通运输综合执法工作。负责全市交通运输综合执法队伍整合和建设，推动实行统一的交通运输综合执法，规范执法行为，依法查处违法案件及大案要案疑难案件。</w:t>
      </w:r>
    </w:p>
    <w:p>
      <w:pPr>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13.</w:t>
      </w:r>
      <w:r>
        <w:rPr>
          <w:rFonts w:hint="eastAsia" w:ascii="仿宋_GB2312" w:hAnsi="Times New Roman" w:eastAsia="仿宋_GB2312" w:cs="Times New Roman"/>
          <w:sz w:val="32"/>
          <w:szCs w:val="32"/>
          <w:lang w:eastAsia="zh-CN"/>
        </w:rPr>
        <w:t>完成市委、市政府交办的其他任务。</w:t>
      </w:r>
    </w:p>
    <w:p>
      <w:pPr>
        <w:ind w:firstLine="640" w:firstLineChars="200"/>
        <w:rPr>
          <w:rFonts w:hint="eastAsia" w:ascii="仿宋_GB2312" w:hAnsi="Times New Roman" w:eastAsia="仿宋_GB2312" w:cs="Times New Roman"/>
          <w:sz w:val="32"/>
          <w:szCs w:val="32"/>
          <w:lang w:val="zh-CN"/>
        </w:rPr>
      </w:pPr>
      <w:r>
        <w:rPr>
          <w:rFonts w:hint="eastAsia" w:ascii="仿宋_GB2312" w:hAnsi="Times New Roman" w:eastAsia="仿宋_GB2312" w:cs="Times New Roman"/>
          <w:sz w:val="32"/>
          <w:szCs w:val="32"/>
          <w:lang w:val="en-US" w:eastAsia="zh-CN"/>
        </w:rPr>
        <w:t>14.</w:t>
      </w:r>
      <w:r>
        <w:rPr>
          <w:rFonts w:hint="eastAsia" w:ascii="仿宋_GB2312" w:hAnsi="Times New Roman" w:eastAsia="仿宋_GB2312" w:cs="Times New Roman"/>
          <w:sz w:val="32"/>
          <w:szCs w:val="32"/>
          <w:lang w:eastAsia="zh-CN"/>
        </w:rPr>
        <w:t>职能转变。</w:t>
      </w:r>
    </w:p>
    <w:p>
      <w:pPr>
        <w:ind w:firstLine="643" w:firstLineChars="200"/>
        <w:rPr>
          <w:rFonts w:hint="eastAsia" w:ascii="仿宋_GB2312" w:hAnsi="Times New Roman" w:eastAsia="仿宋_GB2312" w:cs="Times New Roman"/>
          <w:sz w:val="32"/>
          <w:szCs w:val="32"/>
        </w:rPr>
      </w:pPr>
      <w:r>
        <w:rPr>
          <w:rFonts w:hint="eastAsia" w:ascii="楷体_GB2312" w:hAnsi="楷体_GB2312" w:eastAsia="楷体_GB2312" w:cs="楷体_GB2312"/>
          <w:b/>
          <w:bCs/>
          <w:color w:val="auto"/>
          <w:kern w:val="0"/>
          <w:sz w:val="32"/>
          <w:szCs w:val="32"/>
          <w:highlight w:val="none"/>
          <w:shd w:val="clear" w:color="auto" w:fill="FFFFFF"/>
          <w:lang w:val="zh-CN"/>
        </w:rPr>
        <w:t>（三）人员概况。</w:t>
      </w:r>
      <w:r>
        <w:rPr>
          <w:rFonts w:hint="eastAsia" w:ascii="仿宋_GB2312" w:hAnsi="Times New Roman" w:eastAsia="仿宋_GB2312" w:cs="Times New Roman"/>
          <w:sz w:val="32"/>
          <w:szCs w:val="32"/>
        </w:rPr>
        <w:t>截至2023年末万源市交通运输局在职职工为</w:t>
      </w:r>
      <w:r>
        <w:rPr>
          <w:rFonts w:hint="eastAsia" w:ascii="仿宋_GB2312" w:hAnsi="Times New Roman" w:eastAsia="仿宋_GB2312" w:cs="Times New Roman"/>
          <w:sz w:val="32"/>
          <w:szCs w:val="32"/>
          <w:lang w:val="en-US" w:eastAsia="zh-CN"/>
        </w:rPr>
        <w:t>4</w:t>
      </w:r>
      <w:r>
        <w:rPr>
          <w:rFonts w:hint="eastAsia" w:ascii="仿宋_GB2312" w:eastAsia="仿宋_GB2312" w:cs="Times New Roman"/>
          <w:sz w:val="32"/>
          <w:szCs w:val="32"/>
          <w:lang w:val="en-US" w:eastAsia="zh-CN"/>
        </w:rPr>
        <w:t>1</w:t>
      </w:r>
      <w:r>
        <w:rPr>
          <w:rFonts w:hint="eastAsia" w:ascii="仿宋_GB2312" w:hAnsi="Times New Roman" w:eastAsia="仿宋_GB2312" w:cs="Times New Roman"/>
          <w:sz w:val="32"/>
          <w:szCs w:val="32"/>
        </w:rPr>
        <w:t>人</w:t>
      </w:r>
      <w:r>
        <w:rPr>
          <w:rFonts w:hint="eastAsia" w:ascii="仿宋_GB2312" w:hAnsi="Times New Roman" w:eastAsia="仿宋_GB2312" w:cs="Times New Roman"/>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二、部门资金收支情况</w:t>
      </w:r>
    </w:p>
    <w:p>
      <w:pPr>
        <w:ind w:firstLine="643" w:firstLineChars="200"/>
        <w:rPr>
          <w:rFonts w:hint="eastAsia" w:ascii="仿宋_GB2312" w:hAnsi="Times New Roman" w:eastAsia="仿宋_GB2312" w:cs="Times New Roman"/>
          <w:sz w:val="32"/>
          <w:szCs w:val="32"/>
          <w:lang w:val="zh-CN"/>
        </w:rPr>
      </w:pPr>
      <w:r>
        <w:rPr>
          <w:rFonts w:hint="eastAsia" w:ascii="楷体_GB2312" w:hAnsi="楷体_GB2312" w:eastAsia="楷体_GB2312" w:cs="楷体_GB2312"/>
          <w:b/>
          <w:bCs/>
          <w:color w:val="auto"/>
          <w:kern w:val="0"/>
          <w:sz w:val="32"/>
          <w:szCs w:val="32"/>
          <w:highlight w:val="none"/>
          <w:shd w:val="clear" w:color="auto" w:fill="FFFFFF"/>
          <w:lang w:val="zh-CN"/>
        </w:rPr>
        <w:t>（一）收入情况。</w:t>
      </w:r>
      <w:r>
        <w:rPr>
          <w:rFonts w:hint="eastAsia" w:ascii="仿宋_GB2312" w:hAnsi="Times New Roman" w:eastAsia="仿宋_GB2312" w:cs="Times New Roman"/>
          <w:sz w:val="32"/>
          <w:szCs w:val="32"/>
          <w:lang w:eastAsia="zh-CN"/>
        </w:rPr>
        <w:t>截止20</w:t>
      </w:r>
      <w:r>
        <w:rPr>
          <w:rFonts w:hint="eastAsia" w:ascii="仿宋_GB2312" w:hAnsi="Times New Roman" w:eastAsia="仿宋_GB2312" w:cs="Times New Roman"/>
          <w:sz w:val="32"/>
          <w:szCs w:val="32"/>
          <w:lang w:val="en-US" w:eastAsia="zh-CN"/>
        </w:rPr>
        <w:t>23</w:t>
      </w:r>
      <w:r>
        <w:rPr>
          <w:rFonts w:hint="eastAsia" w:ascii="仿宋_GB2312" w:hAnsi="Times New Roman" w:eastAsia="仿宋_GB2312" w:cs="Times New Roman"/>
          <w:sz w:val="32"/>
          <w:szCs w:val="32"/>
          <w:lang w:eastAsia="zh-CN"/>
        </w:rPr>
        <w:t>年</w:t>
      </w:r>
      <w:r>
        <w:rPr>
          <w:rFonts w:hint="eastAsia" w:ascii="仿宋_GB2312" w:hAnsi="Times New Roman" w:eastAsia="仿宋_GB2312" w:cs="Times New Roman"/>
          <w:sz w:val="32"/>
          <w:szCs w:val="32"/>
          <w:lang w:val="en-US" w:eastAsia="zh-CN"/>
        </w:rPr>
        <w:t>12月末</w:t>
      </w:r>
      <w:r>
        <w:rPr>
          <w:rFonts w:hint="eastAsia" w:ascii="仿宋_GB2312" w:hAnsi="Times New Roman" w:eastAsia="仿宋_GB2312" w:cs="Times New Roman"/>
          <w:sz w:val="32"/>
          <w:szCs w:val="32"/>
          <w:lang w:eastAsia="zh-CN"/>
        </w:rPr>
        <w:t>纳入项目绩效监控财政拨款收入</w:t>
      </w:r>
      <w:r>
        <w:rPr>
          <w:rFonts w:hint="eastAsia" w:ascii="仿宋_GB2312" w:eastAsia="仿宋_GB2312" w:cs="Times New Roman"/>
          <w:sz w:val="32"/>
          <w:szCs w:val="32"/>
          <w:lang w:val="en-US" w:eastAsia="zh-CN"/>
        </w:rPr>
        <w:t>25316.08</w:t>
      </w:r>
      <w:r>
        <w:rPr>
          <w:rFonts w:hint="eastAsia" w:ascii="仿宋_GB2312" w:hAnsi="Times New Roman" w:eastAsia="仿宋_GB2312" w:cs="Times New Roman"/>
          <w:sz w:val="32"/>
          <w:szCs w:val="32"/>
          <w:lang w:eastAsia="zh-CN"/>
        </w:rPr>
        <w:t>万元。</w:t>
      </w:r>
    </w:p>
    <w:p>
      <w:pPr>
        <w:ind w:firstLine="643" w:firstLineChars="200"/>
        <w:rPr>
          <w:rFonts w:hint="eastAsia" w:ascii="仿宋_GB2312" w:hAnsi="Times New Roman" w:eastAsia="仿宋_GB2312" w:cs="Times New Roman"/>
          <w:sz w:val="32"/>
          <w:szCs w:val="32"/>
          <w:lang w:val="zh-CN" w:eastAsia="zh-CN"/>
        </w:rPr>
      </w:pPr>
      <w:r>
        <w:rPr>
          <w:rFonts w:hint="eastAsia" w:ascii="楷体_GB2312" w:hAnsi="楷体_GB2312" w:eastAsia="楷体_GB2312" w:cs="楷体_GB2312"/>
          <w:b/>
          <w:bCs/>
          <w:color w:val="auto"/>
          <w:kern w:val="0"/>
          <w:sz w:val="32"/>
          <w:szCs w:val="32"/>
          <w:highlight w:val="none"/>
          <w:shd w:val="clear" w:color="auto" w:fill="FFFFFF"/>
          <w:lang w:val="zh-CN"/>
        </w:rPr>
        <w:t>（二）支出情况。</w:t>
      </w:r>
      <w:r>
        <w:rPr>
          <w:rFonts w:hint="eastAsia" w:ascii="仿宋_GB2312" w:hAnsi="Times New Roman" w:eastAsia="仿宋_GB2312" w:cs="Times New Roman"/>
          <w:sz w:val="32"/>
          <w:szCs w:val="32"/>
          <w:lang w:eastAsia="zh-CN"/>
        </w:rPr>
        <w:t>截止20</w:t>
      </w:r>
      <w:r>
        <w:rPr>
          <w:rFonts w:hint="eastAsia" w:ascii="仿宋_GB2312" w:hAnsi="Times New Roman" w:eastAsia="仿宋_GB2312" w:cs="Times New Roman"/>
          <w:sz w:val="32"/>
          <w:szCs w:val="32"/>
          <w:lang w:val="en-US" w:eastAsia="zh-CN"/>
        </w:rPr>
        <w:t>23</w:t>
      </w:r>
      <w:r>
        <w:rPr>
          <w:rFonts w:hint="eastAsia" w:ascii="仿宋_GB2312" w:hAnsi="Times New Roman" w:eastAsia="仿宋_GB2312" w:cs="Times New Roman"/>
          <w:sz w:val="32"/>
          <w:szCs w:val="32"/>
          <w:lang w:eastAsia="zh-CN"/>
        </w:rPr>
        <w:t>年</w:t>
      </w:r>
      <w:r>
        <w:rPr>
          <w:rFonts w:hint="eastAsia" w:ascii="仿宋_GB2312" w:hAnsi="Times New Roman" w:eastAsia="仿宋_GB2312" w:cs="Times New Roman"/>
          <w:sz w:val="32"/>
          <w:szCs w:val="32"/>
          <w:lang w:val="en-US" w:eastAsia="zh-CN"/>
        </w:rPr>
        <w:t>12月末</w:t>
      </w:r>
      <w:r>
        <w:rPr>
          <w:rFonts w:hint="eastAsia" w:ascii="仿宋_GB2312" w:hAnsi="Times New Roman" w:eastAsia="仿宋_GB2312" w:cs="Times New Roman"/>
          <w:sz w:val="32"/>
          <w:szCs w:val="32"/>
          <w:lang w:eastAsia="zh-CN"/>
        </w:rPr>
        <w:t>纳入项目绩效监控财政拨款支出</w:t>
      </w:r>
      <w:r>
        <w:rPr>
          <w:rFonts w:hint="eastAsia" w:ascii="仿宋_GB2312" w:eastAsia="仿宋_GB2312" w:cs="Times New Roman"/>
          <w:sz w:val="32"/>
          <w:szCs w:val="32"/>
          <w:lang w:val="en-US" w:eastAsia="zh-CN"/>
        </w:rPr>
        <w:t>25316.08</w:t>
      </w:r>
      <w:r>
        <w:rPr>
          <w:rFonts w:hint="eastAsia" w:ascii="仿宋_GB2312" w:hAnsi="Times New Roman" w:eastAsia="仿宋_GB2312" w:cs="Times New Roman"/>
          <w:sz w:val="32"/>
          <w:szCs w:val="32"/>
          <w:lang w:eastAsia="zh-CN"/>
        </w:rPr>
        <w:t>万元。</w:t>
      </w:r>
    </w:p>
    <w:p>
      <w:pPr>
        <w:ind w:firstLine="643" w:firstLineChars="200"/>
        <w:rPr>
          <w:rFonts w:hint="eastAsia" w:ascii="仿宋_GB2312" w:hAnsi="Times New Roman" w:eastAsia="仿宋_GB2312" w:cs="Times New Roman"/>
          <w:sz w:val="32"/>
          <w:szCs w:val="32"/>
          <w:lang w:val="zh-CN"/>
        </w:rPr>
      </w:pPr>
      <w:r>
        <w:rPr>
          <w:rFonts w:hint="eastAsia" w:ascii="楷体_GB2312" w:hAnsi="楷体_GB2312" w:eastAsia="楷体_GB2312" w:cs="楷体_GB2312"/>
          <w:b/>
          <w:bCs/>
          <w:color w:val="auto"/>
          <w:kern w:val="0"/>
          <w:sz w:val="32"/>
          <w:szCs w:val="32"/>
          <w:highlight w:val="none"/>
          <w:shd w:val="clear" w:color="auto" w:fill="FFFFFF"/>
          <w:lang w:val="zh-CN"/>
        </w:rPr>
        <w:t>（三）结余分配和结转结余情况。</w:t>
      </w:r>
      <w:r>
        <w:rPr>
          <w:rFonts w:hint="eastAsia" w:ascii="仿宋_GB2312" w:hAnsi="Times New Roman" w:eastAsia="仿宋_GB2312" w:cs="Times New Roman"/>
          <w:sz w:val="32"/>
          <w:szCs w:val="32"/>
        </w:rPr>
        <w:t>万源市交通运输局2023年决算报表</w:t>
      </w:r>
      <w:r>
        <w:rPr>
          <w:rFonts w:hint="eastAsia" w:ascii="仿宋_GB2312" w:hAnsi="Times New Roman" w:eastAsia="仿宋_GB2312" w:cs="Times New Roman"/>
          <w:sz w:val="32"/>
          <w:szCs w:val="32"/>
          <w:lang w:eastAsia="zh-CN"/>
        </w:rPr>
        <w:t>无</w:t>
      </w:r>
      <w:r>
        <w:rPr>
          <w:rFonts w:hint="eastAsia" w:ascii="仿宋_GB2312" w:hAnsi="Times New Roman" w:eastAsia="仿宋_GB2312" w:cs="Times New Roman"/>
          <w:sz w:val="32"/>
          <w:szCs w:val="32"/>
        </w:rPr>
        <w:t>结转结余。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三、部门预算绩效分析</w:t>
      </w:r>
    </w:p>
    <w:p>
      <w:pPr>
        <w:ind w:firstLine="640" w:firstLineChars="200"/>
        <w:rPr>
          <w:rFonts w:hint="eastAsia" w:ascii="仿宋_GB2312" w:hAnsi="Times New Roman" w:eastAsia="仿宋_GB2312" w:cs="Times New Roman"/>
          <w:sz w:val="32"/>
          <w:szCs w:val="32"/>
          <w:lang w:val="zh-CN"/>
        </w:rPr>
      </w:pPr>
      <w:r>
        <w:rPr>
          <w:rFonts w:hint="eastAsia" w:ascii="仿宋_GB2312" w:hAnsi="Times New Roman" w:eastAsia="仿宋_GB2312" w:cs="Times New Roman"/>
          <w:sz w:val="32"/>
          <w:szCs w:val="32"/>
          <w:lang w:val="zh-CN"/>
        </w:rPr>
        <w:t>（</w:t>
      </w:r>
      <w:r>
        <w:rPr>
          <w:rFonts w:hint="eastAsia" w:ascii="楷体_GB2312" w:hAnsi="楷体_GB2312" w:eastAsia="楷体_GB2312" w:cs="楷体_GB2312"/>
          <w:b/>
          <w:bCs/>
          <w:color w:val="auto"/>
          <w:kern w:val="0"/>
          <w:sz w:val="32"/>
          <w:szCs w:val="32"/>
          <w:highlight w:val="none"/>
          <w:shd w:val="clear" w:color="auto" w:fill="FFFFFF"/>
          <w:lang w:val="zh-CN"/>
        </w:rPr>
        <w:t>一）部门预算总体绩效分析。</w:t>
      </w: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zh-CN"/>
        </w:rPr>
        <w:t>履职效能。</w:t>
      </w:r>
      <w:r>
        <w:rPr>
          <w:rFonts w:hint="eastAsia" w:ascii="仿宋_GB2312" w:hAnsi="Times New Roman" w:eastAsia="仿宋_GB2312" w:cs="Times New Roman"/>
          <w:sz w:val="32"/>
          <w:szCs w:val="32"/>
          <w:lang w:val="en-US" w:eastAsia="zh-CN"/>
        </w:rPr>
        <w:t>绩效目标制定</w:t>
      </w: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数量指标：至2023年12月31日，严格按照预算要求拨付人员、公用、项目经费。</w:t>
      </w: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质量指标：资金按时拨付，保障本单位各项工作正常运行。</w:t>
      </w: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时效指标：完成时间截止2023年12月31日。</w:t>
      </w: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成本指标：小于等于财政局核定的预算金额。</w:t>
      </w: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可持续影响指标：推进全市交通建设，保障人民群众出行。</w:t>
      </w: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服务对象满意度指标：综合满意度≥95%。</w:t>
      </w:r>
    </w:p>
    <w:p>
      <w:pPr>
        <w:ind w:firstLine="640" w:firstLineChars="200"/>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lang w:val="zh-CN"/>
        </w:rPr>
        <w:t>预算管理。</w:t>
      </w:r>
      <w:r>
        <w:rPr>
          <w:rFonts w:hint="eastAsia" w:ascii="仿宋_GB2312" w:hAnsi="Times New Roman" w:eastAsia="仿宋_GB2312" w:cs="Times New Roman"/>
          <w:sz w:val="32"/>
          <w:szCs w:val="32"/>
          <w:lang w:val="en-US" w:eastAsia="zh-CN"/>
        </w:rPr>
        <w:t>截止2023年12月31日，我单位支出控制率为：</w:t>
      </w:r>
      <w:r>
        <w:rPr>
          <w:rFonts w:hint="eastAsia" w:ascii="仿宋_GB2312" w:eastAsia="仿宋_GB2312" w:cs="Times New Roman"/>
          <w:sz w:val="32"/>
          <w:szCs w:val="32"/>
          <w:lang w:val="en-US" w:eastAsia="zh-CN"/>
        </w:rPr>
        <w:t>25316.08</w:t>
      </w:r>
      <w:r>
        <w:rPr>
          <w:rFonts w:hint="eastAsia" w:ascii="仿宋_GB2312" w:hAnsi="Times New Roman" w:eastAsia="仿宋_GB2312" w:cs="Times New Roman"/>
          <w:sz w:val="32"/>
          <w:szCs w:val="32"/>
          <w:lang w:val="en-US" w:eastAsia="zh-CN"/>
        </w:rPr>
        <w:t>/</w:t>
      </w:r>
      <w:r>
        <w:rPr>
          <w:rFonts w:hint="eastAsia" w:ascii="仿宋_GB2312" w:eastAsia="仿宋_GB2312" w:cs="Times New Roman"/>
          <w:sz w:val="32"/>
          <w:szCs w:val="32"/>
          <w:lang w:val="en-US" w:eastAsia="zh-CN"/>
        </w:rPr>
        <w:t>25316.08</w:t>
      </w:r>
      <w:r>
        <w:rPr>
          <w:rFonts w:hint="eastAsia" w:ascii="仿宋_GB2312" w:hAnsi="Times New Roman" w:eastAsia="仿宋_GB2312" w:cs="Times New Roman"/>
          <w:sz w:val="32"/>
          <w:szCs w:val="32"/>
          <w:lang w:val="en-US" w:eastAsia="zh-CN"/>
        </w:rPr>
        <w:t>*100%=100%。我单位预算资金结存为零。</w:t>
      </w:r>
    </w:p>
    <w:p>
      <w:pPr>
        <w:ind w:firstLine="640" w:firstLineChars="200"/>
        <w:rPr>
          <w:rFonts w:hint="eastAsia" w:ascii="仿宋_GB2312" w:hAnsi="Times New Roman" w:eastAsia="仿宋_GB2312" w:cs="Times New Roman"/>
          <w:sz w:val="32"/>
          <w:szCs w:val="32"/>
          <w:lang w:val="zh-CN"/>
        </w:rPr>
      </w:pPr>
      <w:r>
        <w:rPr>
          <w:rFonts w:hint="eastAsia" w:ascii="仿宋_GB2312" w:hAnsi="Times New Roman" w:eastAsia="仿宋_GB2312" w:cs="Times New Roman"/>
          <w:sz w:val="32"/>
          <w:szCs w:val="32"/>
        </w:rPr>
        <w:t>3.</w:t>
      </w:r>
      <w:r>
        <w:rPr>
          <w:rFonts w:hint="eastAsia" w:ascii="仿宋_GB2312" w:hAnsi="Times New Roman" w:eastAsia="仿宋_GB2312" w:cs="Times New Roman"/>
          <w:sz w:val="32"/>
          <w:szCs w:val="32"/>
          <w:lang w:val="zh-CN"/>
        </w:rPr>
        <w:t>财务管理。我单位绩效管理制度、财务管理制度、财务岗位设置健全、资金使用规范。</w:t>
      </w:r>
    </w:p>
    <w:p>
      <w:pPr>
        <w:ind w:firstLine="640" w:firstLineChars="200"/>
        <w:rPr>
          <w:rFonts w:hint="eastAsia" w:ascii="仿宋_GB2312" w:hAnsi="Times New Roman" w:eastAsia="仿宋_GB2312" w:cs="Times New Roman"/>
          <w:sz w:val="32"/>
          <w:szCs w:val="32"/>
          <w:lang w:val="zh-CN"/>
        </w:rPr>
      </w:pPr>
      <w:r>
        <w:rPr>
          <w:rFonts w:hint="eastAsia" w:ascii="仿宋_GB2312" w:hAnsi="Times New Roman" w:eastAsia="仿宋_GB2312" w:cs="Times New Roman"/>
          <w:sz w:val="32"/>
          <w:szCs w:val="32"/>
        </w:rPr>
        <w:t>4.</w:t>
      </w:r>
      <w:r>
        <w:rPr>
          <w:rFonts w:hint="eastAsia" w:ascii="仿宋_GB2312" w:hAnsi="Times New Roman" w:eastAsia="仿宋_GB2312" w:cs="Times New Roman"/>
          <w:sz w:val="32"/>
          <w:szCs w:val="32"/>
          <w:lang w:val="zh-CN"/>
        </w:rPr>
        <w:t>资产管理。围绕人均资产变化率、资产利用率、资产盘活率进行绩效分析。</w:t>
      </w:r>
    </w:p>
    <w:p>
      <w:pPr>
        <w:ind w:firstLine="640" w:firstLineChars="200"/>
        <w:rPr>
          <w:rFonts w:hint="eastAsia" w:ascii="仿宋_GB2312" w:hAnsi="Times New Roman" w:eastAsia="仿宋_GB2312" w:cs="Times New Roman"/>
          <w:sz w:val="32"/>
          <w:szCs w:val="32"/>
          <w:lang w:val="zh-CN"/>
        </w:rPr>
      </w:pPr>
      <w:r>
        <w:rPr>
          <w:rFonts w:hint="eastAsia" w:ascii="仿宋_GB2312" w:hAnsi="Times New Roman" w:eastAsia="仿宋_GB2312" w:cs="Times New Roman"/>
          <w:sz w:val="32"/>
          <w:szCs w:val="32"/>
        </w:rPr>
        <w:t>5.</w:t>
      </w:r>
      <w:r>
        <w:rPr>
          <w:rFonts w:hint="eastAsia" w:ascii="仿宋_GB2312" w:hAnsi="Times New Roman" w:eastAsia="仿宋_GB2312" w:cs="Times New Roman"/>
          <w:sz w:val="32"/>
          <w:szCs w:val="32"/>
          <w:lang w:val="zh-CN"/>
        </w:rPr>
        <w:t>采购管理。围绕支持中小企业发展、采购执行率进行绩效分析。</w:t>
      </w:r>
    </w:p>
    <w:p>
      <w:pPr>
        <w:ind w:firstLine="643" w:firstLineChars="200"/>
        <w:rPr>
          <w:rFonts w:hint="eastAsia" w:ascii="仿宋_GB2312" w:hAnsi="Times New Roman" w:eastAsia="仿宋_GB2312" w:cs="Times New Roman"/>
          <w:sz w:val="32"/>
          <w:szCs w:val="32"/>
        </w:rPr>
      </w:pPr>
      <w:r>
        <w:rPr>
          <w:rFonts w:hint="eastAsia" w:ascii="楷体_GB2312" w:hAnsi="楷体_GB2312" w:eastAsia="楷体_GB2312" w:cs="楷体_GB2312"/>
          <w:b/>
          <w:bCs/>
          <w:color w:val="auto"/>
          <w:kern w:val="0"/>
          <w:sz w:val="32"/>
          <w:szCs w:val="32"/>
          <w:highlight w:val="none"/>
          <w:shd w:val="clear" w:color="auto" w:fill="FFFFFF"/>
          <w:lang w:val="zh-CN"/>
        </w:rPr>
        <w:t>（二）部门预算项目绩效分析。</w:t>
      </w:r>
      <w:r>
        <w:rPr>
          <w:rFonts w:hint="eastAsia" w:ascii="仿宋_GB2312" w:hAnsi="Times New Roman" w:eastAsia="仿宋_GB2312" w:cs="Times New Roman"/>
          <w:sz w:val="32"/>
          <w:szCs w:val="32"/>
          <w:lang w:val="zh-CN"/>
        </w:rPr>
        <w:t>填报以下数据，并根据部门预算绩效评价指标体系“项目绩效”涉及二、三级指标进行逐项绩效分析并评分，依次包括项目</w:t>
      </w:r>
      <w:r>
        <w:rPr>
          <w:rFonts w:hint="eastAsia" w:ascii="仿宋_GB2312" w:hAnsi="Times New Roman" w:eastAsia="仿宋_GB2312" w:cs="Times New Roman"/>
          <w:sz w:val="32"/>
          <w:szCs w:val="32"/>
        </w:rPr>
        <w:t>决策、项目执行、目标实现等情况。</w:t>
      </w:r>
    </w:p>
    <w:p>
      <w:pPr>
        <w:ind w:firstLine="640" w:firstLineChars="200"/>
        <w:rPr>
          <w:rFonts w:hint="eastAsia" w:ascii="仿宋_GB2312" w:hAnsi="Times New Roman" w:eastAsia="仿宋_GB2312" w:cs="Times New Roman"/>
          <w:sz w:val="32"/>
          <w:szCs w:val="32"/>
          <w:lang w:val="zh-CN"/>
        </w:rPr>
      </w:pPr>
      <w:r>
        <w:rPr>
          <w:rFonts w:hint="eastAsia" w:ascii="仿宋_GB2312" w:hAnsi="Times New Roman" w:eastAsia="仿宋_GB2312" w:cs="Times New Roman"/>
          <w:sz w:val="32"/>
          <w:szCs w:val="32"/>
        </w:rPr>
        <w:t>常年项目绩效分析。</w:t>
      </w:r>
      <w:r>
        <w:rPr>
          <w:rFonts w:hint="eastAsia" w:ascii="仿宋_GB2312" w:hAnsi="Times New Roman" w:eastAsia="仿宋_GB2312" w:cs="Times New Roman"/>
          <w:sz w:val="32"/>
          <w:szCs w:val="32"/>
          <w:lang w:val="zh-CN"/>
        </w:rPr>
        <w:t>该类项目总数</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lang w:val="zh-CN"/>
        </w:rPr>
        <w:t>个，涉及预算总金额</w:t>
      </w:r>
      <w:r>
        <w:rPr>
          <w:rFonts w:hint="eastAsia" w:ascii="仿宋_GB2312" w:hAnsi="Times New Roman" w:eastAsia="仿宋_GB2312" w:cs="Times New Roman"/>
          <w:sz w:val="32"/>
          <w:szCs w:val="32"/>
          <w:lang w:val="en-US" w:eastAsia="zh-CN"/>
        </w:rPr>
        <w:t>125</w:t>
      </w:r>
      <w:r>
        <w:rPr>
          <w:rFonts w:hint="eastAsia" w:ascii="仿宋_GB2312" w:hAnsi="Times New Roman" w:eastAsia="仿宋_GB2312" w:cs="Times New Roman"/>
          <w:sz w:val="32"/>
          <w:szCs w:val="32"/>
          <w:lang w:val="zh-CN"/>
        </w:rPr>
        <w:t>万元，1—1</w:t>
      </w:r>
      <w:r>
        <w:rPr>
          <w:rFonts w:hint="eastAsia" w:ascii="仿宋_GB2312" w:hAnsi="Times New Roman" w:eastAsia="仿宋_GB2312" w:cs="Times New Roman"/>
          <w:sz w:val="32"/>
          <w:szCs w:val="32"/>
        </w:rPr>
        <w:t>2</w:t>
      </w:r>
      <w:r>
        <w:rPr>
          <w:rFonts w:hint="eastAsia" w:ascii="仿宋_GB2312" w:hAnsi="Times New Roman" w:eastAsia="仿宋_GB2312" w:cs="Times New Roman"/>
          <w:sz w:val="32"/>
          <w:szCs w:val="32"/>
          <w:lang w:val="zh-CN"/>
        </w:rPr>
        <w:t>月预算执行总体进度为</w:t>
      </w:r>
      <w:r>
        <w:rPr>
          <w:rFonts w:hint="eastAsia" w:ascii="仿宋_GB2312" w:hAnsi="Times New Roman" w:eastAsia="仿宋_GB2312" w:cs="Times New Roman"/>
          <w:sz w:val="32"/>
          <w:szCs w:val="32"/>
          <w:lang w:val="en-US" w:eastAsia="zh-CN"/>
        </w:rPr>
        <w:t>100</w:t>
      </w:r>
      <w:r>
        <w:rPr>
          <w:rFonts w:hint="eastAsia" w:ascii="仿宋_GB2312" w:hAnsi="Times New Roman" w:eastAsia="仿宋_GB2312" w:cs="Times New Roman"/>
          <w:sz w:val="32"/>
          <w:szCs w:val="32"/>
          <w:lang w:val="zh-CN"/>
        </w:rPr>
        <w:t>%，其中：预算结余率大于</w:t>
      </w:r>
      <w:r>
        <w:rPr>
          <w:rFonts w:hint="eastAsia" w:ascii="仿宋_GB2312" w:hAnsi="Times New Roman" w:eastAsia="仿宋_GB2312" w:cs="Times New Roman"/>
          <w:sz w:val="32"/>
          <w:szCs w:val="32"/>
        </w:rPr>
        <w:t>10%</w:t>
      </w:r>
      <w:r>
        <w:rPr>
          <w:rFonts w:hint="eastAsia" w:ascii="仿宋_GB2312" w:hAnsi="Times New Roman" w:eastAsia="仿宋_GB2312" w:cs="Times New Roman"/>
          <w:sz w:val="32"/>
          <w:szCs w:val="32"/>
          <w:lang w:val="zh-CN"/>
        </w:rPr>
        <w:t>的项目共计</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lang w:val="zh-CN"/>
        </w:rPr>
        <w:t>个。</w:t>
      </w:r>
    </w:p>
    <w:p>
      <w:pPr>
        <w:ind w:firstLine="640" w:firstLineChars="200"/>
        <w:rPr>
          <w:rFonts w:hint="eastAsia" w:ascii="仿宋_GB2312" w:hAnsi="Times New Roman" w:eastAsia="仿宋_GB2312" w:cs="Times New Roman"/>
          <w:sz w:val="32"/>
          <w:szCs w:val="32"/>
          <w:lang w:val="zh-CN"/>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zh-CN"/>
        </w:rPr>
        <w:t>项目决策。部门预算项目设立按规定履行评估论证、申报程序。绩效目标与计划期内的任务量、预算安排的资金量匹配，绩效目标设置科学合理、规范完整、量化细化、预算匹配。</w:t>
      </w:r>
    </w:p>
    <w:p>
      <w:pPr>
        <w:ind w:firstLine="640" w:firstLineChars="200"/>
        <w:rPr>
          <w:rFonts w:hint="eastAsia" w:ascii="仿宋_GB2312" w:hAnsi="Times New Roman" w:eastAsia="仿宋_GB2312" w:cs="Times New Roman"/>
          <w:sz w:val="32"/>
          <w:szCs w:val="32"/>
          <w:lang w:val="zh-CN"/>
        </w:rPr>
      </w:pPr>
      <w:r>
        <w:rPr>
          <w:rFonts w:hint="eastAsia" w:ascii="仿宋_GB2312" w:hAnsi="Times New Roman" w:eastAsia="仿宋_GB2312" w:cs="Times New Roman"/>
          <w:sz w:val="32"/>
          <w:szCs w:val="32"/>
        </w:rPr>
        <w:t>2.项目执行</w:t>
      </w:r>
      <w:r>
        <w:rPr>
          <w:rFonts w:hint="eastAsia" w:ascii="仿宋_GB2312" w:hAnsi="Times New Roman" w:eastAsia="仿宋_GB2312" w:cs="Times New Roman"/>
          <w:sz w:val="32"/>
          <w:szCs w:val="32"/>
          <w:lang w:val="zh-CN"/>
        </w:rPr>
        <w:t>。围绕资金执行同向、项目调整、执行结果进行绩效分析。</w:t>
      </w:r>
    </w:p>
    <w:p>
      <w:pPr>
        <w:ind w:firstLine="640" w:firstLineChars="200"/>
        <w:rPr>
          <w:rFonts w:hint="eastAsia" w:ascii="仿宋_GB2312" w:hAnsi="Times New Roman" w:eastAsia="仿宋_GB2312" w:cs="Times New Roman"/>
          <w:sz w:val="32"/>
          <w:szCs w:val="32"/>
          <w:lang w:val="zh-CN"/>
        </w:rPr>
      </w:pPr>
      <w:r>
        <w:rPr>
          <w:rFonts w:hint="eastAsia" w:ascii="仿宋_GB2312" w:hAnsi="Times New Roman" w:eastAsia="仿宋_GB2312" w:cs="Times New Roman"/>
          <w:sz w:val="32"/>
          <w:szCs w:val="32"/>
        </w:rPr>
        <w:t>3.</w:t>
      </w:r>
      <w:r>
        <w:rPr>
          <w:rFonts w:hint="eastAsia" w:ascii="仿宋_GB2312" w:hAnsi="Times New Roman" w:eastAsia="仿宋_GB2312" w:cs="Times New Roman"/>
          <w:sz w:val="32"/>
          <w:szCs w:val="32"/>
          <w:lang w:val="zh-CN"/>
        </w:rPr>
        <w:t>目标实现。部门预算项目实际列支内容与绩效目标设置方向相符。</w:t>
      </w:r>
    </w:p>
    <w:p>
      <w:pPr>
        <w:ind w:firstLine="643" w:firstLineChars="200"/>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（三）重点领域绩效分析。</w:t>
      </w:r>
    </w:p>
    <w:p>
      <w:pPr>
        <w:ind w:firstLine="640" w:firstLineChars="200"/>
        <w:rPr>
          <w:rFonts w:hint="eastAsia" w:ascii="仿宋_GB2312" w:hAnsi="Times New Roman" w:eastAsia="仿宋_GB2312" w:cs="Times New Roman"/>
          <w:sz w:val="32"/>
          <w:szCs w:val="32"/>
          <w:lang w:val="zh-CN"/>
        </w:rPr>
      </w:pPr>
      <w:r>
        <w:rPr>
          <w:rFonts w:hint="eastAsia" w:ascii="仿宋_GB2312" w:hAnsi="Times New Roman" w:eastAsia="仿宋_GB2312" w:cs="Times New Roman"/>
          <w:sz w:val="32"/>
          <w:szCs w:val="32"/>
          <w:lang w:val="zh-CN"/>
        </w:rPr>
        <w:t>无</w:t>
      </w:r>
    </w:p>
    <w:p>
      <w:pPr>
        <w:ind w:firstLine="643" w:firstLineChars="200"/>
        <w:rPr>
          <w:rFonts w:hint="eastAsia" w:ascii="仿宋_GB2312" w:hAnsi="Times New Roman" w:eastAsia="仿宋_GB2312" w:cs="Times New Roman"/>
          <w:sz w:val="32"/>
          <w:szCs w:val="32"/>
          <w:lang w:val="zh-CN"/>
        </w:rPr>
      </w:pPr>
      <w:r>
        <w:rPr>
          <w:rFonts w:hint="eastAsia" w:ascii="楷体_GB2312" w:hAnsi="楷体_GB2312" w:eastAsia="楷体_GB2312" w:cs="楷体_GB2312"/>
          <w:b/>
          <w:bCs/>
          <w:color w:val="auto"/>
          <w:kern w:val="0"/>
          <w:sz w:val="32"/>
          <w:szCs w:val="32"/>
          <w:highlight w:val="none"/>
          <w:shd w:val="clear" w:color="auto" w:fill="FFFFFF"/>
          <w:lang w:val="zh-CN"/>
        </w:rPr>
        <w:t>（四）绩效结果应用情况。</w:t>
      </w:r>
      <w:r>
        <w:rPr>
          <w:rFonts w:hint="eastAsia" w:ascii="仿宋_GB2312" w:hAnsi="Times New Roman" w:eastAsia="仿宋_GB2312" w:cs="Times New Roman"/>
          <w:sz w:val="32"/>
          <w:szCs w:val="32"/>
          <w:lang w:val="en-US" w:eastAsia="zh-CN"/>
        </w:rPr>
        <w:t>按要求定期进行绩效目标公开和自评公开。</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四、评价结论及建议</w:t>
      </w:r>
    </w:p>
    <w:p>
      <w:pPr>
        <w:ind w:firstLine="643" w:firstLineChars="200"/>
        <w:rPr>
          <w:rFonts w:hint="eastAsia" w:ascii="仿宋_GB2312" w:hAnsi="Times New Roman" w:eastAsia="仿宋_GB2312" w:cs="Times New Roman"/>
          <w:sz w:val="32"/>
          <w:szCs w:val="32"/>
          <w:lang w:val="zh-CN" w:eastAsia="zh-CN"/>
        </w:rPr>
      </w:pPr>
      <w:r>
        <w:rPr>
          <w:rFonts w:hint="eastAsia" w:ascii="楷体_GB2312" w:hAnsi="楷体_GB2312" w:eastAsia="楷体_GB2312" w:cs="楷体_GB2312"/>
          <w:b/>
          <w:bCs/>
          <w:color w:val="auto"/>
          <w:kern w:val="0"/>
          <w:sz w:val="32"/>
          <w:szCs w:val="32"/>
          <w:highlight w:val="none"/>
          <w:shd w:val="clear" w:color="auto" w:fill="FFFFFF"/>
          <w:lang w:val="zh-CN"/>
        </w:rPr>
        <w:t>（一）评价结论。</w:t>
      </w:r>
      <w:r>
        <w:rPr>
          <w:rFonts w:hint="eastAsia" w:ascii="仿宋_GB2312" w:hAnsi="Times New Roman" w:eastAsia="仿宋_GB2312" w:cs="Times New Roman"/>
          <w:sz w:val="32"/>
          <w:szCs w:val="32"/>
          <w:lang w:val="en-US" w:eastAsia="zh-CN"/>
        </w:rPr>
        <w:t>我单位2023年部门整体预算绩效管理情况较好，绩效目标制定合理、预算编制准确、支出控制较好、预算动态调整及时合理、严格管控预算执行进度及时分析预算执行情况。</w:t>
      </w:r>
    </w:p>
    <w:p>
      <w:pPr>
        <w:ind w:firstLine="643" w:firstLineChars="200"/>
        <w:rPr>
          <w:rFonts w:hint="eastAsia" w:ascii="仿宋_GB2312" w:hAnsi="Times New Roman" w:eastAsia="仿宋_GB2312" w:cs="Times New Roman"/>
          <w:sz w:val="32"/>
          <w:szCs w:val="32"/>
        </w:rPr>
      </w:pPr>
      <w:r>
        <w:rPr>
          <w:rFonts w:hint="eastAsia" w:ascii="楷体_GB2312" w:hAnsi="楷体_GB2312" w:eastAsia="楷体_GB2312" w:cs="楷体_GB2312"/>
          <w:b/>
          <w:bCs/>
          <w:color w:val="auto"/>
          <w:kern w:val="0"/>
          <w:sz w:val="32"/>
          <w:szCs w:val="32"/>
          <w:highlight w:val="none"/>
          <w:shd w:val="clear" w:color="auto" w:fill="FFFFFF"/>
          <w:lang w:val="zh-CN"/>
        </w:rPr>
        <w:t>（二）存在问题</w:t>
      </w:r>
      <w:r>
        <w:rPr>
          <w:rFonts w:hint="eastAsia" w:ascii="仿宋_GB2312" w:hAnsi="Times New Roman" w:eastAsia="仿宋_GB2312" w:cs="Times New Roman"/>
          <w:sz w:val="32"/>
          <w:szCs w:val="32"/>
          <w:lang w:val="zh-CN"/>
        </w:rPr>
        <w:t>。</w:t>
      </w:r>
      <w:r>
        <w:rPr>
          <w:rFonts w:hint="eastAsia" w:ascii="仿宋_GB2312" w:hAnsi="Times New Roman" w:eastAsia="仿宋_GB2312" w:cs="Times New Roman"/>
          <w:sz w:val="32"/>
          <w:szCs w:val="32"/>
          <w:lang w:eastAsia="zh-CN"/>
        </w:rPr>
        <w:t>无</w:t>
      </w:r>
      <w:r>
        <w:rPr>
          <w:rFonts w:hint="eastAsia" w:ascii="仿宋_GB2312" w:hAnsi="Times New Roman" w:eastAsia="仿宋_GB2312" w:cs="Times New Roman"/>
          <w:sz w:val="32"/>
          <w:szCs w:val="32"/>
        </w:rPr>
        <w:t>。</w:t>
      </w:r>
    </w:p>
    <w:p>
      <w:pPr>
        <w:ind w:firstLine="643" w:firstLineChars="200"/>
        <w:rPr>
          <w:rFonts w:hint="eastAsia" w:ascii="仿宋_GB2312" w:hAnsi="Times New Roman" w:eastAsia="仿宋_GB2312" w:cs="Times New Roman"/>
          <w:sz w:val="32"/>
          <w:szCs w:val="32"/>
          <w:lang w:val="zh-CN"/>
        </w:rPr>
      </w:pPr>
      <w:r>
        <w:rPr>
          <w:rFonts w:hint="eastAsia" w:ascii="楷体_GB2312" w:hAnsi="楷体_GB2312" w:eastAsia="楷体_GB2312" w:cs="楷体_GB2312"/>
          <w:b/>
          <w:bCs/>
          <w:color w:val="auto"/>
          <w:kern w:val="0"/>
          <w:sz w:val="32"/>
          <w:szCs w:val="32"/>
          <w:highlight w:val="none"/>
          <w:shd w:val="clear" w:color="auto" w:fill="FFFFFF"/>
          <w:lang w:val="zh-CN"/>
        </w:rPr>
        <w:t>（三）改进建议</w:t>
      </w:r>
      <w:r>
        <w:rPr>
          <w:rFonts w:hint="eastAsia" w:ascii="仿宋_GB2312" w:hAnsi="Times New Roman" w:eastAsia="仿宋_GB2312" w:cs="Times New Roman"/>
          <w:sz w:val="32"/>
          <w:szCs w:val="32"/>
          <w:lang w:val="zh-CN"/>
        </w:rPr>
        <w:t>。</w:t>
      </w:r>
      <w:bookmarkStart w:id="49" w:name="_Hlk110546638"/>
      <w:r>
        <w:rPr>
          <w:rFonts w:hint="eastAsia" w:ascii="仿宋_GB2312" w:hAnsi="Times New Roman" w:eastAsia="仿宋_GB2312" w:cs="Times New Roman"/>
          <w:sz w:val="32"/>
          <w:szCs w:val="32"/>
          <w:lang w:eastAsia="zh-CN"/>
        </w:rPr>
        <w:t>无</w:t>
      </w:r>
      <w:bookmarkEnd w:id="49"/>
    </w:p>
    <w:p>
      <w:pPr>
        <w:rPr>
          <w:rFonts w:hint="eastAsia" w:ascii="仿宋_GB2312" w:hAnsi="Times New Roman" w:eastAsia="仿宋_GB2312" w:cs="Times New Roman"/>
          <w:sz w:val="32"/>
          <w:szCs w:val="32"/>
        </w:rPr>
      </w:pP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附表：部门整体支出绩效目标完成情况自评表</w:t>
      </w:r>
    </w:p>
    <w:p>
      <w:pPr>
        <w:ind w:firstLine="640" w:firstLineChars="200"/>
        <w:rPr>
          <w:rFonts w:hint="eastAsia" w:ascii="仿宋_GB2312" w:hAnsi="Times New Roman" w:eastAsia="仿宋_GB2312" w:cs="Times New Roman"/>
          <w:sz w:val="32"/>
          <w:szCs w:val="32"/>
        </w:rPr>
      </w:pPr>
    </w:p>
    <w:p>
      <w:pPr>
        <w:ind w:firstLine="640" w:firstLineChars="200"/>
        <w:rPr>
          <w:rFonts w:hint="eastAsia" w:ascii="仿宋_GB2312" w:hAnsi="Times New Roman" w:eastAsia="仿宋_GB2312" w:cs="Times New Roman"/>
          <w:sz w:val="32"/>
          <w:szCs w:val="32"/>
        </w:rPr>
      </w:pPr>
    </w:p>
    <w:p>
      <w:pPr>
        <w:ind w:firstLine="640" w:firstLineChars="200"/>
        <w:rPr>
          <w:rFonts w:hint="eastAsia" w:ascii="仿宋_GB2312" w:hAnsi="Times New Roman" w:eastAsia="仿宋_GB2312" w:cs="Times New Roman"/>
          <w:sz w:val="32"/>
          <w:szCs w:val="32"/>
        </w:rPr>
      </w:pPr>
    </w:p>
    <w:p>
      <w:pPr>
        <w:ind w:firstLine="640" w:firstLineChars="200"/>
        <w:rPr>
          <w:rFonts w:hint="eastAsia" w:ascii="仿宋_GB2312" w:hAnsi="Times New Roman" w:eastAsia="仿宋_GB2312" w:cs="Times New Roman"/>
          <w:sz w:val="32"/>
          <w:szCs w:val="32"/>
        </w:rPr>
      </w:pPr>
    </w:p>
    <w:p>
      <w:pPr>
        <w:ind w:firstLine="640" w:firstLineChars="200"/>
        <w:rPr>
          <w:rFonts w:hint="eastAsia" w:ascii="仿宋_GB2312" w:hAnsi="Times New Roman" w:eastAsia="仿宋_GB2312" w:cs="Times New Roman"/>
          <w:sz w:val="32"/>
          <w:szCs w:val="32"/>
        </w:rPr>
      </w:pPr>
    </w:p>
    <w:p>
      <w:pPr>
        <w:ind w:firstLine="640" w:firstLineChars="200"/>
        <w:rPr>
          <w:rFonts w:hint="eastAsia" w:ascii="仿宋_GB2312" w:hAnsi="Times New Roman" w:eastAsia="仿宋_GB2312" w:cs="Times New Roman"/>
          <w:sz w:val="32"/>
          <w:szCs w:val="32"/>
        </w:rPr>
      </w:pPr>
    </w:p>
    <w:p>
      <w:pPr>
        <w:ind w:firstLine="640" w:firstLineChars="200"/>
        <w:rPr>
          <w:rFonts w:hint="eastAsia" w:ascii="仿宋_GB2312" w:hAnsi="Times New Roman" w:eastAsia="仿宋_GB2312" w:cs="Times New Roman"/>
          <w:sz w:val="32"/>
          <w:szCs w:val="32"/>
        </w:rPr>
      </w:pPr>
    </w:p>
    <w:p>
      <w:pPr>
        <w:ind w:firstLine="640" w:firstLineChars="200"/>
        <w:rPr>
          <w:rFonts w:hint="eastAsia" w:ascii="仿宋_GB2312" w:hAnsi="Times New Roman" w:eastAsia="仿宋_GB2312" w:cs="Times New Roman"/>
          <w:sz w:val="32"/>
          <w:szCs w:val="32"/>
        </w:rPr>
      </w:pPr>
    </w:p>
    <w:p>
      <w:pPr>
        <w:ind w:firstLine="640" w:firstLineChars="200"/>
        <w:rPr>
          <w:rFonts w:hint="eastAsia" w:ascii="仿宋_GB2312" w:hAnsi="Times New Roman" w:eastAsia="仿宋_GB2312" w:cs="Times New Roman"/>
          <w:sz w:val="32"/>
          <w:szCs w:val="32"/>
        </w:rPr>
      </w:pPr>
    </w:p>
    <w:p>
      <w:pPr>
        <w:ind w:firstLine="640" w:firstLineChars="200"/>
        <w:rPr>
          <w:rFonts w:hint="eastAsia" w:ascii="仿宋_GB2312" w:hAnsi="Times New Roman" w:eastAsia="仿宋_GB2312" w:cs="Times New Roman"/>
          <w:sz w:val="32"/>
          <w:szCs w:val="32"/>
        </w:rPr>
      </w:pPr>
    </w:p>
    <w:p>
      <w:pPr>
        <w:ind w:firstLine="640" w:firstLineChars="200"/>
        <w:rPr>
          <w:rFonts w:hint="eastAsia" w:ascii="仿宋_GB2312" w:hAnsi="Times New Roman" w:eastAsia="仿宋_GB2312" w:cs="Times New Roman"/>
          <w:sz w:val="32"/>
          <w:szCs w:val="32"/>
        </w:rPr>
      </w:pPr>
    </w:p>
    <w:p>
      <w:pPr>
        <w:ind w:firstLine="640" w:firstLineChars="200"/>
        <w:rPr>
          <w:rFonts w:hint="eastAsia" w:ascii="仿宋_GB2312" w:hAnsi="Times New Roman" w:eastAsia="仿宋_GB2312" w:cs="Times New Roman"/>
          <w:sz w:val="32"/>
          <w:szCs w:val="32"/>
        </w:rPr>
      </w:pPr>
    </w:p>
    <w:p>
      <w:pPr>
        <w:ind w:firstLine="640" w:firstLineChars="200"/>
        <w:rPr>
          <w:rFonts w:hint="eastAsia" w:ascii="仿宋_GB2312" w:hAnsi="Times New Roman" w:eastAsia="仿宋_GB2312" w:cs="Times New Roman"/>
          <w:sz w:val="32"/>
          <w:szCs w:val="32"/>
        </w:rPr>
      </w:pPr>
    </w:p>
    <w:p>
      <w:pPr>
        <w:ind w:firstLine="640" w:firstLineChars="200"/>
        <w:rPr>
          <w:rFonts w:hint="eastAsia" w:ascii="仿宋_GB2312" w:hAnsi="Times New Roman" w:eastAsia="仿宋_GB2312" w:cs="Times New Roman"/>
          <w:sz w:val="32"/>
          <w:szCs w:val="32"/>
        </w:rPr>
      </w:pPr>
    </w:p>
    <w:p>
      <w:pPr>
        <w:ind w:firstLine="640" w:firstLineChars="200"/>
        <w:rPr>
          <w:rFonts w:hint="eastAsia" w:ascii="仿宋_GB2312" w:hAnsi="Times New Roman" w:eastAsia="仿宋_GB2312" w:cs="Times New Roman"/>
          <w:sz w:val="32"/>
          <w:szCs w:val="32"/>
        </w:rPr>
      </w:pPr>
    </w:p>
    <w:p>
      <w:pPr>
        <w:ind w:firstLine="640" w:firstLineChars="200"/>
        <w:rPr>
          <w:rFonts w:hint="eastAsia" w:ascii="仿宋_GB2312" w:hAnsi="Times New Roman" w:eastAsia="仿宋_GB2312" w:cs="Times New Roman"/>
          <w:sz w:val="32"/>
          <w:szCs w:val="32"/>
        </w:rPr>
      </w:pPr>
    </w:p>
    <w:p>
      <w:pPr>
        <w:ind w:firstLine="640" w:firstLineChars="200"/>
        <w:rPr>
          <w:rFonts w:hint="eastAsia" w:ascii="仿宋_GB2312" w:hAnsi="Times New Roman" w:eastAsia="仿宋_GB2312" w:cs="Times New Roman"/>
          <w:sz w:val="32"/>
          <w:szCs w:val="32"/>
        </w:rPr>
      </w:pPr>
    </w:p>
    <w:p>
      <w:pPr>
        <w:spacing w:line="578" w:lineRule="exact"/>
        <w:ind w:firstLine="1260" w:firstLineChars="600"/>
        <w:rPr>
          <w:rFonts w:hint="eastAsia"/>
          <w:color w:val="000000"/>
          <w:kern w:val="0"/>
          <w:szCs w:val="32"/>
          <w:shd w:val="clear" w:color="auto" w:fill="FFFFFF"/>
          <w:lang w:eastAsia="zh-CN"/>
        </w:rPr>
      </w:pPr>
    </w:p>
    <w:tbl>
      <w:tblPr>
        <w:tblStyle w:val="15"/>
        <w:tblW w:w="10560" w:type="dxa"/>
        <w:jc w:val="center"/>
        <w:tblLayout w:type="fixed"/>
        <w:tblCellMar>
          <w:top w:w="15" w:type="dxa"/>
          <w:left w:w="15" w:type="dxa"/>
          <w:bottom w:w="15" w:type="dxa"/>
          <w:right w:w="15" w:type="dxa"/>
        </w:tblCellMar>
      </w:tblPr>
      <w:tblGrid>
        <w:gridCol w:w="1308"/>
        <w:gridCol w:w="1347"/>
        <w:gridCol w:w="1273"/>
        <w:gridCol w:w="1100"/>
        <w:gridCol w:w="1145"/>
        <w:gridCol w:w="1289"/>
        <w:gridCol w:w="1058"/>
        <w:gridCol w:w="926"/>
        <w:gridCol w:w="1114"/>
      </w:tblGrid>
      <w:tr>
        <w:tblPrEx>
          <w:tblCellMar>
            <w:top w:w="15" w:type="dxa"/>
            <w:left w:w="15" w:type="dxa"/>
            <w:bottom w:w="15" w:type="dxa"/>
            <w:right w:w="15" w:type="dxa"/>
          </w:tblCellMar>
        </w:tblPrEx>
        <w:trPr>
          <w:trHeight w:val="762" w:hRule="exact"/>
          <w:jc w:val="center"/>
        </w:trPr>
        <w:tc>
          <w:tcPr>
            <w:tcW w:w="10560" w:type="dxa"/>
            <w:gridSpan w:val="9"/>
            <w:shd w:val="clear" w:color="auto" w:fill="auto"/>
            <w:vAlign w:val="center"/>
          </w:tcPr>
          <w:p>
            <w:pPr>
              <w:widowControl/>
              <w:spacing w:line="600" w:lineRule="exact"/>
              <w:jc w:val="center"/>
              <w:textAlignment w:val="center"/>
              <w:rPr>
                <w:rFonts w:eastAsia="黑体"/>
                <w:color w:val="000000"/>
                <w:sz w:val="28"/>
                <w:szCs w:val="28"/>
              </w:rPr>
            </w:pPr>
            <w:r>
              <w:rPr>
                <w:rFonts w:eastAsia="方正小标宋简体"/>
                <w:color w:val="000000"/>
                <w:kern w:val="0"/>
                <w:sz w:val="44"/>
                <w:szCs w:val="44"/>
                <w:lang w:bidi="ar"/>
              </w:rPr>
              <w:t>部门整体支出绩效目标完成情况自评表</w:t>
            </w:r>
          </w:p>
        </w:tc>
      </w:tr>
      <w:tr>
        <w:tblPrEx>
          <w:tblCellMar>
            <w:top w:w="15" w:type="dxa"/>
            <w:left w:w="15" w:type="dxa"/>
            <w:bottom w:w="15" w:type="dxa"/>
            <w:right w:w="15" w:type="dxa"/>
          </w:tblCellMar>
        </w:tblPrEx>
        <w:trPr>
          <w:trHeight w:val="23" w:hRule="atLeast"/>
          <w:jc w:val="center"/>
        </w:trPr>
        <w:tc>
          <w:tcPr>
            <w:tcW w:w="10560" w:type="dxa"/>
            <w:gridSpan w:val="9"/>
            <w:shd w:val="clear" w:color="auto" w:fill="auto"/>
            <w:vAlign w:val="center"/>
          </w:tcPr>
          <w:p>
            <w:pPr>
              <w:widowControl/>
              <w:spacing w:line="300" w:lineRule="exact"/>
              <w:jc w:val="center"/>
              <w:textAlignment w:val="center"/>
              <w:rPr>
                <w:rFonts w:eastAsia="宋体"/>
                <w:color w:val="000000"/>
                <w:sz w:val="28"/>
                <w:szCs w:val="28"/>
              </w:rPr>
            </w:pPr>
            <w:r>
              <w:rPr>
                <w:rFonts w:eastAsia="宋体"/>
                <w:color w:val="000000"/>
                <w:kern w:val="0"/>
                <w:sz w:val="28"/>
                <w:szCs w:val="28"/>
                <w:lang w:bidi="ar"/>
              </w:rPr>
              <w:t>（2023年度）</w:t>
            </w:r>
          </w:p>
        </w:tc>
      </w:tr>
      <w:tr>
        <w:tblPrEx>
          <w:tblCellMar>
            <w:top w:w="15" w:type="dxa"/>
            <w:left w:w="15" w:type="dxa"/>
            <w:bottom w:w="15" w:type="dxa"/>
            <w:right w:w="15" w:type="dxa"/>
          </w:tblCellMar>
        </w:tblPrEx>
        <w:trPr>
          <w:trHeight w:val="23" w:hRule="atLeast"/>
          <w:jc w:val="center"/>
        </w:trPr>
        <w:tc>
          <w:tcPr>
            <w:tcW w:w="10560" w:type="dxa"/>
            <w:gridSpan w:val="9"/>
            <w:tcBorders>
              <w:bottom w:val="single" w:color="000000" w:sz="4" w:space="0"/>
            </w:tcBorders>
            <w:shd w:val="clear" w:color="auto" w:fill="auto"/>
            <w:vAlign w:val="center"/>
          </w:tcPr>
          <w:p>
            <w:pPr>
              <w:widowControl/>
              <w:spacing w:line="300" w:lineRule="exact"/>
              <w:jc w:val="right"/>
              <w:textAlignment w:val="center"/>
              <w:rPr>
                <w:rFonts w:eastAsia="宋体"/>
                <w:color w:val="000000"/>
                <w:sz w:val="21"/>
                <w:szCs w:val="21"/>
              </w:rPr>
            </w:pPr>
            <w:r>
              <w:rPr>
                <w:rFonts w:eastAsia="宋体"/>
                <w:color w:val="000000"/>
                <w:kern w:val="0"/>
                <w:sz w:val="21"/>
                <w:szCs w:val="21"/>
                <w:lang w:bidi="ar"/>
              </w:rPr>
              <w:t>单位：万元</w:t>
            </w:r>
          </w:p>
        </w:tc>
      </w:tr>
      <w:tr>
        <w:tblPrEx>
          <w:tblCellMar>
            <w:top w:w="15" w:type="dxa"/>
            <w:left w:w="15" w:type="dxa"/>
            <w:bottom w:w="15" w:type="dxa"/>
            <w:right w:w="15" w:type="dxa"/>
          </w:tblCellMar>
        </w:tblPrEx>
        <w:trPr>
          <w:trHeight w:val="23" w:hRule="atLeast"/>
          <w:jc w:val="center"/>
        </w:trPr>
        <w:tc>
          <w:tcPr>
            <w:tcW w:w="39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部门名称</w:t>
            </w:r>
          </w:p>
        </w:tc>
        <w:tc>
          <w:tcPr>
            <w:tcW w:w="66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both"/>
              <w:textAlignment w:val="center"/>
              <w:rPr>
                <w:rFonts w:hint="eastAsia" w:eastAsia="宋体"/>
                <w:color w:val="000000"/>
                <w:sz w:val="24"/>
                <w:lang w:eastAsia="zh-CN"/>
              </w:rPr>
            </w:pPr>
            <w:r>
              <w:rPr>
                <w:rFonts w:hint="eastAsia" w:eastAsia="宋体"/>
                <w:color w:val="000000"/>
                <w:sz w:val="24"/>
                <w:lang w:eastAsia="zh-CN"/>
              </w:rPr>
              <w:t>万源市交通运输局</w:t>
            </w:r>
          </w:p>
        </w:tc>
      </w:tr>
      <w:tr>
        <w:tblPrEx>
          <w:tblCellMar>
            <w:top w:w="15" w:type="dxa"/>
            <w:left w:w="15" w:type="dxa"/>
            <w:bottom w:w="15" w:type="dxa"/>
            <w:right w:w="15" w:type="dxa"/>
          </w:tblCellMar>
        </w:tblPrEx>
        <w:trPr>
          <w:trHeight w:val="23" w:hRule="atLeast"/>
          <w:jc w:val="center"/>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年度部门整体支出预算</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资金总额</w:t>
            </w:r>
          </w:p>
        </w:tc>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财政拨款</w:t>
            </w:r>
          </w:p>
        </w:tc>
        <w:tc>
          <w:tcPr>
            <w:tcW w:w="43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其他资金</w:t>
            </w:r>
          </w:p>
        </w:tc>
      </w:tr>
      <w:tr>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both"/>
              <w:textAlignment w:val="center"/>
              <w:rPr>
                <w:rFonts w:hint="default" w:eastAsia="宋体"/>
                <w:color w:val="000000"/>
                <w:sz w:val="24"/>
                <w:lang w:val="en-US" w:eastAsia="zh-CN"/>
              </w:rPr>
            </w:pPr>
            <w:r>
              <w:rPr>
                <w:rFonts w:hint="eastAsia"/>
                <w:color w:val="000000"/>
                <w:sz w:val="24"/>
                <w:lang w:val="en-US" w:eastAsia="zh-CN"/>
              </w:rPr>
              <w:t>11206.95</w:t>
            </w:r>
          </w:p>
        </w:tc>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eastAsia="宋体"/>
                <w:color w:val="000000"/>
                <w:sz w:val="24"/>
                <w:lang w:val="en-US" w:eastAsia="zh-CN"/>
              </w:rPr>
            </w:pPr>
            <w:r>
              <w:rPr>
                <w:rFonts w:hint="eastAsia"/>
                <w:color w:val="000000"/>
                <w:sz w:val="24"/>
                <w:lang w:val="en-US" w:eastAsia="zh-CN"/>
              </w:rPr>
              <w:t>11206.95</w:t>
            </w:r>
          </w:p>
        </w:tc>
        <w:tc>
          <w:tcPr>
            <w:tcW w:w="43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eastAsia="宋体"/>
                <w:color w:val="000000"/>
                <w:sz w:val="24"/>
                <w:lang w:val="en-US" w:eastAsia="zh-CN"/>
              </w:rPr>
            </w:pPr>
            <w:r>
              <w:rPr>
                <w:rFonts w:hint="eastAsia" w:eastAsia="宋体"/>
                <w:color w:val="000000"/>
                <w:sz w:val="24"/>
                <w:lang w:val="en-US" w:eastAsia="zh-CN"/>
              </w:rPr>
              <w:t>0</w:t>
            </w:r>
          </w:p>
        </w:tc>
      </w:tr>
      <w:tr>
        <w:tblPrEx>
          <w:tblCellMar>
            <w:top w:w="15" w:type="dxa"/>
            <w:left w:w="15" w:type="dxa"/>
            <w:bottom w:w="15" w:type="dxa"/>
            <w:right w:w="15" w:type="dxa"/>
          </w:tblCellMar>
        </w:tblPrEx>
        <w:trPr>
          <w:trHeight w:val="23" w:hRule="atLeast"/>
          <w:jc w:val="center"/>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kern w:val="0"/>
                <w:sz w:val="24"/>
                <w:lang w:bidi="ar"/>
              </w:rPr>
            </w:pPr>
            <w:r>
              <w:rPr>
                <w:rFonts w:eastAsia="宋体"/>
                <w:color w:val="000000"/>
                <w:kern w:val="0"/>
                <w:sz w:val="24"/>
                <w:lang w:bidi="ar"/>
              </w:rPr>
              <w:t>年度总体</w:t>
            </w:r>
          </w:p>
          <w:p>
            <w:pPr>
              <w:widowControl/>
              <w:spacing w:line="300" w:lineRule="exact"/>
              <w:jc w:val="center"/>
              <w:textAlignment w:val="center"/>
              <w:rPr>
                <w:rFonts w:eastAsia="宋体"/>
                <w:color w:val="000000"/>
                <w:sz w:val="24"/>
              </w:rPr>
            </w:pPr>
            <w:r>
              <w:rPr>
                <w:rFonts w:eastAsia="宋体"/>
                <w:color w:val="000000"/>
                <w:kern w:val="0"/>
                <w:sz w:val="24"/>
                <w:lang w:bidi="ar"/>
              </w:rPr>
              <w:t>目标</w:t>
            </w:r>
          </w:p>
        </w:tc>
        <w:tc>
          <w:tcPr>
            <w:tcW w:w="925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olor w:val="000000"/>
                <w:sz w:val="24"/>
              </w:rPr>
            </w:pPr>
            <w:r>
              <w:rPr>
                <w:rFonts w:hint="eastAsia" w:eastAsia="宋体"/>
                <w:color w:val="000000"/>
                <w:kern w:val="0"/>
                <w:sz w:val="24"/>
                <w:lang w:bidi="ar"/>
              </w:rPr>
              <w:t>保障人员、公用、项目经费拨付，维持单位正常运转，促使全市交通运输行业良性发展，管养、建设工程质量安全等得到有效监管。</w:t>
            </w:r>
          </w:p>
        </w:tc>
      </w:tr>
      <w:tr>
        <w:tblPrEx>
          <w:tblCellMar>
            <w:top w:w="15" w:type="dxa"/>
            <w:left w:w="15" w:type="dxa"/>
            <w:bottom w:w="15" w:type="dxa"/>
            <w:right w:w="15" w:type="dxa"/>
          </w:tblCellMar>
        </w:tblPrEx>
        <w:trPr>
          <w:trHeight w:val="23" w:hRule="atLeast"/>
          <w:jc w:val="center"/>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kern w:val="0"/>
                <w:sz w:val="24"/>
                <w:lang w:bidi="ar"/>
              </w:rPr>
            </w:pPr>
            <w:r>
              <w:rPr>
                <w:rFonts w:eastAsia="宋体"/>
                <w:color w:val="000000"/>
                <w:kern w:val="0"/>
                <w:sz w:val="24"/>
                <w:lang w:bidi="ar"/>
              </w:rPr>
              <w:t>年度主要</w:t>
            </w:r>
          </w:p>
          <w:p>
            <w:pPr>
              <w:widowControl/>
              <w:spacing w:line="300" w:lineRule="exact"/>
              <w:jc w:val="center"/>
              <w:textAlignment w:val="center"/>
              <w:rPr>
                <w:rFonts w:eastAsia="宋体"/>
                <w:color w:val="000000"/>
                <w:sz w:val="24"/>
              </w:rPr>
            </w:pPr>
            <w:r>
              <w:rPr>
                <w:rFonts w:eastAsia="宋体"/>
                <w:color w:val="000000"/>
                <w:kern w:val="0"/>
                <w:sz w:val="24"/>
                <w:lang w:bidi="ar"/>
              </w:rPr>
              <w:t>任务</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任务名称</w:t>
            </w:r>
          </w:p>
        </w:tc>
        <w:tc>
          <w:tcPr>
            <w:tcW w:w="66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主要内容</w:t>
            </w:r>
          </w:p>
        </w:tc>
      </w:tr>
      <w:tr>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olor w:val="000000"/>
                <w:sz w:val="24"/>
              </w:rPr>
            </w:pPr>
            <w:r>
              <w:rPr>
                <w:rFonts w:hint="eastAsia" w:eastAsia="宋体"/>
                <w:color w:val="000000"/>
                <w:kern w:val="0"/>
                <w:sz w:val="24"/>
                <w:lang w:bidi="ar"/>
              </w:rPr>
              <w:t>保障人员经费、公用经费正常拨付；保障全市管养道路正常使用；保障全市客货运良性发展；保障建、养工程安全及资金拨付</w:t>
            </w:r>
          </w:p>
        </w:tc>
        <w:tc>
          <w:tcPr>
            <w:tcW w:w="66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hint="eastAsia" w:eastAsia="宋体"/>
                <w:color w:val="000000"/>
                <w:sz w:val="24"/>
                <w:lang w:eastAsia="zh-CN"/>
              </w:rPr>
            </w:pPr>
            <w:r>
              <w:rPr>
                <w:rFonts w:hint="eastAsia" w:eastAsia="宋体"/>
                <w:color w:val="000000"/>
                <w:sz w:val="24"/>
              </w:rPr>
              <w:t>按时按额保障职工工资及各项社会保障缴费，保障局机关正常运转，严格执行相关政策，保障工资及时发放、足额发放，预算编制科学合理，减少结余资金；保障在建工程安全工作开展及资金拨付；保障管养道路正常运转，维护人民群众正常出行；保障全市客货运企业良性发展，促进公共交通发展</w:t>
            </w:r>
            <w:r>
              <w:rPr>
                <w:rFonts w:hint="eastAsia" w:eastAsia="宋体"/>
                <w:color w:val="000000"/>
                <w:sz w:val="24"/>
                <w:lang w:eastAsia="zh-CN"/>
              </w:rPr>
              <w:t>。</w:t>
            </w:r>
          </w:p>
        </w:tc>
      </w:tr>
      <w:tr>
        <w:tblPrEx>
          <w:tblCellMar>
            <w:top w:w="15" w:type="dxa"/>
            <w:left w:w="15" w:type="dxa"/>
            <w:bottom w:w="15" w:type="dxa"/>
            <w:right w:w="15" w:type="dxa"/>
          </w:tblCellMar>
        </w:tblPrEx>
        <w:trPr>
          <w:trHeight w:val="23" w:hRule="atLeast"/>
          <w:jc w:val="center"/>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kern w:val="0"/>
                <w:sz w:val="24"/>
                <w:lang w:bidi="ar"/>
              </w:rPr>
            </w:pPr>
            <w:r>
              <w:rPr>
                <w:rFonts w:eastAsia="宋体"/>
                <w:color w:val="000000"/>
                <w:kern w:val="0"/>
                <w:sz w:val="24"/>
                <w:lang w:bidi="ar"/>
              </w:rPr>
              <w:t>年度绩效</w:t>
            </w:r>
          </w:p>
          <w:p>
            <w:pPr>
              <w:widowControl/>
              <w:spacing w:line="300" w:lineRule="exact"/>
              <w:jc w:val="center"/>
              <w:textAlignment w:val="center"/>
              <w:rPr>
                <w:rFonts w:eastAsia="宋体"/>
                <w:color w:val="000000"/>
                <w:sz w:val="24"/>
              </w:rPr>
            </w:pPr>
            <w:r>
              <w:rPr>
                <w:rFonts w:eastAsia="宋体"/>
                <w:color w:val="000000"/>
                <w:kern w:val="0"/>
                <w:sz w:val="24"/>
                <w:lang w:bidi="ar"/>
              </w:rPr>
              <w:t>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一级指标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二级指标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三级指标</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kern w:val="0"/>
                <w:sz w:val="24"/>
                <w:lang w:bidi="ar"/>
              </w:rPr>
            </w:pPr>
            <w:r>
              <w:rPr>
                <w:rFonts w:eastAsia="宋体"/>
                <w:color w:val="000000"/>
                <w:kern w:val="0"/>
                <w:sz w:val="24"/>
                <w:lang w:bidi="ar"/>
              </w:rPr>
              <w:t>绩效指标</w:t>
            </w:r>
          </w:p>
          <w:p>
            <w:pPr>
              <w:widowControl/>
              <w:spacing w:line="300" w:lineRule="exact"/>
              <w:jc w:val="center"/>
              <w:textAlignment w:val="center"/>
              <w:rPr>
                <w:rFonts w:eastAsia="宋体"/>
                <w:color w:val="000000"/>
                <w:sz w:val="24"/>
              </w:rPr>
            </w:pPr>
            <w:r>
              <w:rPr>
                <w:rFonts w:eastAsia="宋体"/>
                <w:color w:val="000000"/>
                <w:kern w:val="0"/>
                <w:sz w:val="24"/>
                <w:lang w:bidi="ar"/>
              </w:rPr>
              <w:t>性质</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绩效指标值</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绩效度量单位</w:t>
            </w:r>
          </w:p>
        </w:tc>
        <w:tc>
          <w:tcPr>
            <w:tcW w:w="926" w:type="dxa"/>
            <w:tcBorders>
              <w:top w:val="single" w:color="000000" w:sz="4" w:space="0"/>
              <w:left w:val="single" w:color="000000" w:sz="4" w:space="0"/>
              <w:bottom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权重</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kern w:val="0"/>
                <w:sz w:val="24"/>
                <w:lang w:bidi="ar"/>
              </w:rPr>
            </w:pPr>
            <w:r>
              <w:rPr>
                <w:rFonts w:eastAsia="宋体"/>
                <w:color w:val="000000"/>
                <w:kern w:val="0"/>
                <w:sz w:val="24"/>
                <w:lang w:bidi="ar"/>
              </w:rPr>
              <w:t>实际完成</w:t>
            </w:r>
          </w:p>
          <w:p>
            <w:pPr>
              <w:widowControl/>
              <w:spacing w:line="300" w:lineRule="exact"/>
              <w:jc w:val="center"/>
              <w:textAlignment w:val="center"/>
              <w:rPr>
                <w:rFonts w:eastAsia="宋体"/>
                <w:color w:val="000000"/>
                <w:sz w:val="24"/>
              </w:rPr>
            </w:pPr>
            <w:r>
              <w:rPr>
                <w:rFonts w:eastAsia="宋体"/>
                <w:color w:val="000000"/>
                <w:kern w:val="0"/>
                <w:sz w:val="24"/>
                <w:lang w:bidi="ar"/>
              </w:rPr>
              <w:t>指标值</w:t>
            </w:r>
          </w:p>
        </w:tc>
      </w:tr>
      <w:tr>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134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rPr>
                <w:rFonts w:hint="default" w:eastAsia="宋体"/>
                <w:color w:val="000000"/>
                <w:sz w:val="24"/>
                <w:lang w:val="en-US" w:eastAsia="zh-CN"/>
              </w:rPr>
            </w:pPr>
            <w:r>
              <w:rPr>
                <w:rFonts w:hint="eastAsia"/>
                <w:color w:val="000000"/>
                <w:sz w:val="24"/>
                <w:lang w:val="en-US" w:eastAsia="zh-CN"/>
              </w:rPr>
              <w:t>产出指标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hint="eastAsia" w:eastAsia="宋体"/>
                <w:color w:val="000000"/>
                <w:sz w:val="24"/>
                <w:lang w:eastAsia="zh-CN"/>
              </w:rPr>
            </w:pPr>
            <w:r>
              <w:rPr>
                <w:rFonts w:hint="eastAsia" w:eastAsia="宋体"/>
                <w:color w:val="000000"/>
                <w:sz w:val="24"/>
                <w:lang w:eastAsia="zh-CN"/>
              </w:rPr>
              <w:t>数量指标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eastAsia="宋体"/>
                <w:color w:val="000000"/>
                <w:sz w:val="24"/>
              </w:rPr>
            </w:pPr>
            <w:r>
              <w:rPr>
                <w:rFonts w:hint="eastAsia" w:ascii="宋体" w:hAnsi="宋体" w:eastAsia="宋体" w:cs="宋体"/>
                <w:i w:val="0"/>
                <w:iCs w:val="0"/>
                <w:color w:val="000000"/>
                <w:kern w:val="0"/>
                <w:sz w:val="22"/>
                <w:szCs w:val="22"/>
                <w:u w:val="none"/>
                <w:lang w:val="en-US" w:eastAsia="zh-CN" w:bidi="ar"/>
              </w:rPr>
              <w:t>开展各项检查次数</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eastAsia="宋体"/>
                <w:color w:val="000000"/>
                <w:sz w:val="24"/>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hint="default" w:eastAsia="宋体"/>
                <w:color w:val="000000"/>
                <w:sz w:val="24"/>
                <w:lang w:val="en-US" w:eastAsia="zh-CN"/>
              </w:rPr>
            </w:pPr>
            <w:r>
              <w:rPr>
                <w:rFonts w:hint="eastAsia" w:eastAsia="宋体"/>
                <w:color w:val="000000"/>
                <w:sz w:val="24"/>
                <w:lang w:val="en-US" w:eastAsia="zh-CN"/>
              </w:rPr>
              <w:t>150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hint="eastAsia" w:eastAsia="宋体"/>
                <w:color w:val="000000"/>
                <w:sz w:val="24"/>
                <w:lang w:eastAsia="zh-CN"/>
              </w:rPr>
            </w:pPr>
            <w:r>
              <w:rPr>
                <w:rFonts w:hint="eastAsia" w:eastAsia="宋体"/>
                <w:color w:val="000000"/>
                <w:sz w:val="24"/>
                <w:lang w:eastAsia="zh-CN"/>
              </w:rPr>
              <w:t>次</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hint="default" w:eastAsia="宋体"/>
                <w:color w:val="000000"/>
                <w:sz w:val="24"/>
                <w:lang w:val="en-US" w:eastAsia="zh-CN"/>
              </w:rPr>
            </w:pPr>
            <w:r>
              <w:rPr>
                <w:rFonts w:hint="eastAsia" w:eastAsia="宋体"/>
                <w:color w:val="000000"/>
                <w:sz w:val="24"/>
                <w:lang w:val="en-US" w:eastAsia="zh-CN"/>
              </w:rPr>
              <w:t>20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hint="default" w:eastAsia="宋体"/>
                <w:color w:val="000000"/>
                <w:sz w:val="24"/>
                <w:lang w:val="en-US" w:eastAsia="zh-CN"/>
              </w:rPr>
            </w:pPr>
            <w:r>
              <w:rPr>
                <w:rFonts w:hint="eastAsia" w:eastAsia="宋体"/>
                <w:color w:val="000000"/>
                <w:sz w:val="24"/>
                <w:lang w:val="en-US" w:eastAsia="zh-CN"/>
              </w:rPr>
              <w:t>160次</w:t>
            </w:r>
          </w:p>
        </w:tc>
      </w:tr>
      <w:tr>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质量指标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eastAsia="宋体"/>
                <w:color w:val="000000"/>
                <w:sz w:val="24"/>
              </w:rPr>
            </w:pPr>
            <w:r>
              <w:rPr>
                <w:rFonts w:hint="eastAsia" w:ascii="宋体" w:hAnsi="宋体" w:eastAsia="宋体" w:cs="宋体"/>
                <w:i w:val="0"/>
                <w:iCs w:val="0"/>
                <w:color w:val="000000"/>
                <w:kern w:val="0"/>
                <w:sz w:val="22"/>
                <w:szCs w:val="22"/>
                <w:u w:val="none"/>
                <w:lang w:val="en-US" w:eastAsia="zh-CN" w:bidi="ar"/>
              </w:rPr>
              <w:t>检查合格率</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eastAsia="宋体"/>
                <w:color w:val="000000"/>
                <w:sz w:val="24"/>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hint="default" w:eastAsia="宋体"/>
                <w:color w:val="000000"/>
                <w:sz w:val="24"/>
                <w:lang w:val="en-US" w:eastAsia="zh-CN"/>
              </w:rPr>
            </w:pPr>
            <w:r>
              <w:rPr>
                <w:rFonts w:hint="eastAsia" w:eastAsia="宋体"/>
                <w:color w:val="000000"/>
                <w:sz w:val="24"/>
                <w:lang w:val="en-US" w:eastAsia="zh-CN"/>
              </w:rPr>
              <w:t>100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eastAsia="宋体"/>
                <w:color w:val="000000"/>
                <w:sz w:val="24"/>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hint="default" w:eastAsia="宋体"/>
                <w:color w:val="000000"/>
                <w:sz w:val="24"/>
                <w:lang w:val="en-US" w:eastAsia="zh-CN"/>
              </w:rPr>
            </w:pPr>
            <w:r>
              <w:rPr>
                <w:rFonts w:hint="eastAsia" w:eastAsia="宋体"/>
                <w:color w:val="000000"/>
                <w:sz w:val="24"/>
                <w:lang w:val="en-US" w:eastAsia="zh-CN"/>
              </w:rPr>
              <w:t>20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hint="default" w:eastAsia="宋体"/>
                <w:color w:val="000000"/>
                <w:sz w:val="24"/>
                <w:lang w:val="en-US" w:eastAsia="zh-CN"/>
              </w:rPr>
            </w:pPr>
            <w:r>
              <w:rPr>
                <w:rFonts w:hint="eastAsia" w:eastAsia="宋体"/>
                <w:color w:val="000000"/>
                <w:sz w:val="24"/>
                <w:lang w:val="en-US" w:eastAsia="zh-CN"/>
              </w:rPr>
              <w:t>100%</w:t>
            </w:r>
          </w:p>
        </w:tc>
      </w:tr>
      <w:tr>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时效指标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eastAsia="宋体"/>
                <w:color w:val="000000"/>
                <w:sz w:val="24"/>
              </w:rPr>
            </w:pPr>
            <w:r>
              <w:rPr>
                <w:rFonts w:hint="eastAsia" w:ascii="宋体" w:hAnsi="宋体" w:eastAsia="宋体" w:cs="宋体"/>
                <w:i w:val="0"/>
                <w:iCs w:val="0"/>
                <w:color w:val="000000"/>
                <w:kern w:val="0"/>
                <w:sz w:val="22"/>
                <w:szCs w:val="22"/>
                <w:u w:val="none"/>
                <w:lang w:val="en-US" w:eastAsia="zh-CN" w:bidi="ar"/>
              </w:rPr>
              <w:t>按时发放率</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eastAsia="宋体"/>
                <w:color w:val="000000"/>
                <w:sz w:val="24"/>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hint="default" w:eastAsia="宋体"/>
                <w:color w:val="000000"/>
                <w:sz w:val="24"/>
                <w:lang w:val="en-US" w:eastAsia="zh-CN"/>
              </w:rPr>
            </w:pPr>
            <w:r>
              <w:rPr>
                <w:rFonts w:hint="eastAsia" w:eastAsia="宋体"/>
                <w:color w:val="000000"/>
                <w:sz w:val="24"/>
                <w:lang w:val="en-US" w:eastAsia="zh-CN"/>
              </w:rPr>
              <w:t>100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eastAsia="宋体"/>
                <w:color w:val="000000"/>
                <w:sz w:val="24"/>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hint="default" w:eastAsia="宋体"/>
                <w:color w:val="000000"/>
                <w:sz w:val="24"/>
                <w:lang w:val="en-US" w:eastAsia="zh-CN"/>
              </w:rPr>
            </w:pPr>
            <w:r>
              <w:rPr>
                <w:rFonts w:hint="eastAsia" w:eastAsia="宋体"/>
                <w:color w:val="000000"/>
                <w:sz w:val="24"/>
                <w:lang w:val="en-US" w:eastAsia="zh-CN"/>
              </w:rPr>
              <w:t>10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eastAsia="宋体"/>
                <w:color w:val="000000"/>
                <w:sz w:val="24"/>
                <w:lang w:val="en-US" w:eastAsia="zh-CN"/>
              </w:rPr>
              <w:t>100%</w:t>
            </w:r>
          </w:p>
        </w:tc>
      </w:tr>
      <w:tr>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p>
        </w:tc>
      </w:tr>
      <w:tr>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效益指标</w:t>
            </w:r>
          </w:p>
        </w:tc>
        <w:tc>
          <w:tcPr>
            <w:tcW w:w="1273" w:type="dxa"/>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kern w:val="0"/>
                <w:sz w:val="24"/>
                <w:lang w:bidi="ar"/>
              </w:rPr>
            </w:pPr>
            <w:r>
              <w:rPr>
                <w:rFonts w:eastAsia="宋体"/>
                <w:color w:val="000000"/>
                <w:kern w:val="0"/>
                <w:sz w:val="24"/>
                <w:lang w:bidi="ar"/>
              </w:rPr>
              <w:t>社会效益</w:t>
            </w:r>
          </w:p>
          <w:p>
            <w:pPr>
              <w:widowControl/>
              <w:spacing w:line="300" w:lineRule="exact"/>
              <w:jc w:val="center"/>
              <w:textAlignment w:val="center"/>
              <w:rPr>
                <w:rFonts w:eastAsia="宋体"/>
                <w:color w:val="000000"/>
                <w:sz w:val="24"/>
              </w:rPr>
            </w:pPr>
            <w:r>
              <w:rPr>
                <w:rFonts w:eastAsia="宋体"/>
                <w:color w:val="000000"/>
                <w:kern w:val="0"/>
                <w:sz w:val="24"/>
                <w:lang w:bidi="ar"/>
              </w:rPr>
              <w:t>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eastAsia="宋体"/>
                <w:color w:val="000000"/>
                <w:sz w:val="24"/>
              </w:rPr>
              <w:t>安全质量事故较上年减少率</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eastAsia="宋体"/>
                <w:color w:val="000000"/>
                <w:sz w:val="24"/>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hint="eastAsia" w:eastAsia="宋体"/>
                <w:color w:val="000000"/>
                <w:sz w:val="24"/>
                <w:lang w:val="en-US" w:eastAsia="zh-CN"/>
              </w:rPr>
            </w:pPr>
            <w:r>
              <w:rPr>
                <w:rFonts w:hint="eastAsia" w:eastAsia="宋体"/>
                <w:color w:val="000000"/>
                <w:sz w:val="24"/>
                <w:lang w:val="en-US" w:eastAsia="zh-CN"/>
              </w:rPr>
              <w:t>3</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eastAsia="宋体"/>
                <w:color w:val="000000"/>
                <w:sz w:val="24"/>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hint="default" w:eastAsia="宋体"/>
                <w:color w:val="000000"/>
                <w:sz w:val="24"/>
                <w:lang w:val="en-US" w:eastAsia="zh-CN"/>
              </w:rPr>
            </w:pPr>
            <w:r>
              <w:rPr>
                <w:rFonts w:hint="eastAsia" w:eastAsia="宋体"/>
                <w:color w:val="000000"/>
                <w:sz w:val="24"/>
                <w:lang w:val="en-US" w:eastAsia="zh-CN"/>
              </w:rPr>
              <w:t>30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hint="default" w:eastAsia="宋体"/>
                <w:color w:val="000000"/>
                <w:sz w:val="24"/>
                <w:lang w:val="en-US" w:eastAsia="zh-CN"/>
              </w:rPr>
            </w:pPr>
            <w:r>
              <w:rPr>
                <w:rFonts w:hint="eastAsia" w:eastAsia="宋体"/>
                <w:color w:val="000000"/>
                <w:sz w:val="24"/>
                <w:lang w:val="en-US" w:eastAsia="zh-CN"/>
              </w:rPr>
              <w:t>4%</w:t>
            </w:r>
          </w:p>
        </w:tc>
      </w:tr>
      <w:tr>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1273" w:type="dxa"/>
            <w:vMerge w:val="continue"/>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p>
        </w:tc>
      </w:tr>
      <w:tr>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p>
        </w:tc>
      </w:tr>
      <w:tr>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宋体"/>
                <w:color w:val="000000"/>
                <w:sz w:val="24"/>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满意度指标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olor w:val="000000"/>
                <w:sz w:val="24"/>
              </w:rPr>
            </w:pPr>
            <w:r>
              <w:rPr>
                <w:rFonts w:eastAsia="宋体"/>
                <w:color w:val="000000"/>
                <w:kern w:val="0"/>
                <w:sz w:val="24"/>
                <w:lang w:bidi="ar"/>
              </w:rPr>
              <w:t>满意度指标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eastAsia="宋体"/>
                <w:color w:val="000000"/>
                <w:sz w:val="24"/>
              </w:rPr>
              <w:t>受益群众满意度</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eastAsia="宋体"/>
                <w:color w:val="000000"/>
                <w:sz w:val="24"/>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hint="default" w:eastAsia="宋体"/>
                <w:color w:val="000000"/>
                <w:sz w:val="24"/>
                <w:lang w:val="en-US" w:eastAsia="zh-CN"/>
              </w:rPr>
            </w:pPr>
            <w:r>
              <w:rPr>
                <w:rFonts w:hint="eastAsia" w:eastAsia="宋体"/>
                <w:color w:val="000000"/>
                <w:sz w:val="24"/>
                <w:lang w:val="en-US" w:eastAsia="zh-CN"/>
              </w:rPr>
              <w:t>95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宋体"/>
                <w:color w:val="000000"/>
                <w:sz w:val="24"/>
              </w:rPr>
            </w:pPr>
            <w:r>
              <w:rPr>
                <w:rFonts w:hint="eastAsia" w:eastAsia="宋体"/>
                <w:color w:val="000000"/>
                <w:sz w:val="24"/>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hint="default" w:eastAsia="宋体"/>
                <w:color w:val="000000"/>
                <w:sz w:val="24"/>
                <w:lang w:val="en-US" w:eastAsia="zh-CN"/>
              </w:rPr>
            </w:pPr>
            <w:r>
              <w:rPr>
                <w:rFonts w:hint="eastAsia" w:eastAsia="宋体"/>
                <w:color w:val="000000"/>
                <w:sz w:val="24"/>
                <w:lang w:val="en-US" w:eastAsia="zh-CN"/>
              </w:rPr>
              <w:t>10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hint="default" w:eastAsia="宋体"/>
                <w:color w:val="000000"/>
                <w:sz w:val="24"/>
                <w:lang w:val="en-US" w:eastAsia="zh-CN"/>
              </w:rPr>
            </w:pPr>
            <w:r>
              <w:rPr>
                <w:rFonts w:hint="eastAsia" w:eastAsia="宋体"/>
                <w:color w:val="000000"/>
                <w:sz w:val="24"/>
                <w:lang w:val="en-US" w:eastAsia="zh-CN"/>
              </w:rPr>
              <w:t>96%</w:t>
            </w:r>
          </w:p>
        </w:tc>
      </w:tr>
    </w:tbl>
    <w:p>
      <w:pPr>
        <w:rPr>
          <w:rFonts w:hint="eastAsia" w:ascii="黑体" w:hAnsi="黑体" w:eastAsia="黑体"/>
          <w:sz w:val="32"/>
          <w:szCs w:val="32"/>
        </w:rPr>
      </w:pPr>
      <w:r>
        <w:rPr>
          <w:color w:val="000000"/>
          <w:kern w:val="0"/>
          <w:szCs w:val="32"/>
          <w:shd w:val="clear" w:color="auto" w:fill="FFFFFF"/>
        </w:rPr>
        <w:br w:type="page"/>
      </w:r>
    </w:p>
    <w:p>
      <w:pPr>
        <w:rPr>
          <w:rFonts w:hint="default" w:ascii="黑体" w:hAnsi="黑体" w:eastAsia="黑体"/>
          <w:sz w:val="32"/>
          <w:szCs w:val="32"/>
          <w:lang w:val="en-US" w:eastAsia="zh-CN"/>
        </w:rPr>
      </w:pPr>
      <w:r>
        <w:rPr>
          <w:rFonts w:hint="eastAsia" w:ascii="黑体" w:hAnsi="黑体" w:eastAsia="黑体"/>
          <w:sz w:val="32"/>
          <w:szCs w:val="32"/>
          <w:lang w:eastAsia="zh-CN"/>
        </w:rPr>
        <w:t>附件</w:t>
      </w:r>
      <w:r>
        <w:rPr>
          <w:rFonts w:hint="eastAsia" w:ascii="黑体" w:hAnsi="黑体" w:eastAsia="黑体"/>
          <w:sz w:val="32"/>
          <w:szCs w:val="32"/>
          <w:lang w:val="en-US" w:eastAsia="zh-CN"/>
        </w:rPr>
        <w:t>2</w:t>
      </w:r>
    </w:p>
    <w:p>
      <w:pPr>
        <w:pStyle w:val="34"/>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color w:val="auto"/>
          <w:kern w:val="2"/>
          <w:sz w:val="32"/>
          <w:szCs w:val="32"/>
          <w:highlight w:val="none"/>
        </w:rPr>
      </w:pPr>
      <w:r>
        <w:rPr>
          <w:rFonts w:hint="eastAsia" w:eastAsia="方正小标宋简体"/>
          <w:b/>
          <w:sz w:val="44"/>
          <w:szCs w:val="44"/>
          <w:shd w:val="clear" w:color="auto" w:fill="FFFFFF"/>
          <w:lang w:eastAsia="zh-CN"/>
        </w:rPr>
        <w:t>万源市交通运输局</w:t>
      </w:r>
      <w:r>
        <w:rPr>
          <w:rFonts w:hint="eastAsia" w:eastAsia="方正小标宋简体"/>
          <w:b/>
          <w:sz w:val="44"/>
          <w:szCs w:val="44"/>
          <w:shd w:val="clear" w:color="auto" w:fill="FFFFFF"/>
          <w:lang w:val="en-US" w:eastAsia="zh-CN"/>
        </w:rPr>
        <w:t>2023年</w:t>
      </w:r>
      <w:r>
        <w:rPr>
          <w:rFonts w:hint="eastAsia" w:eastAsia="方正小标宋简体"/>
          <w:b/>
          <w:sz w:val="44"/>
          <w:szCs w:val="44"/>
          <w:shd w:val="clear" w:color="auto" w:fill="FFFFFF"/>
          <w:lang w:eastAsia="zh-CN"/>
        </w:rPr>
        <w:t>道路应急抢险项目</w:t>
      </w:r>
      <w:r>
        <w:rPr>
          <w:rFonts w:eastAsia="方正小标宋简体"/>
          <w:b/>
          <w:sz w:val="44"/>
          <w:szCs w:val="44"/>
          <w:shd w:val="clear" w:color="auto" w:fill="FFFFFF"/>
        </w:rPr>
        <w:t>绩效自评报告</w:t>
      </w: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lang w:val="zh-CN"/>
        </w:rPr>
      </w:pPr>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（一）项目基本情况。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2023年，万源市交通运输局道路应急抢险项目年初预算资金100万元，该资金主要</w:t>
      </w:r>
      <w:r>
        <w:rPr>
          <w:rFonts w:hint="eastAsia" w:ascii="Times New Roman" w:hAnsi="Times New Roman" w:eastAsia="仿宋_GB2312" w:cs="Times New Roman"/>
          <w:sz w:val="32"/>
          <w:szCs w:val="32"/>
          <w:lang w:val="en-US" w:eastAsia="zh-CN"/>
        </w:rPr>
        <w:t>用于灾毁水毁道路桥梁抢险工程款。</w:t>
      </w:r>
    </w:p>
    <w:p>
      <w:pPr>
        <w:keepNext w:val="0"/>
        <w:keepLines w:val="0"/>
        <w:pageBreakBefore w:val="0"/>
        <w:numPr>
          <w:ilvl w:val="0"/>
          <w:numId w:val="4"/>
        </w:numPr>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项目绩效目标。</w:t>
      </w:r>
    </w:p>
    <w:p>
      <w:pPr>
        <w:pStyle w:val="6"/>
        <w:numPr>
          <w:ilvl w:val="0"/>
          <w:numId w:val="0"/>
        </w:numPr>
        <w:rPr>
          <w:rFonts w:hint="default" w:eastAsia="仿宋_GB2312"/>
          <w:lang w:val="en-US" w:eastAsia="zh-CN"/>
        </w:rPr>
      </w:pPr>
      <w:r>
        <w:rPr>
          <w:rFonts w:hint="eastAsia"/>
          <w:lang w:val="en-US" w:eastAsia="zh-CN"/>
        </w:rPr>
        <w:t xml:space="preserve"> </w:t>
      </w:r>
      <w:r>
        <w:rPr>
          <w:rFonts w:hint="eastAsia" w:ascii="Times New Roman" w:hAnsi="Times New Roman" w:eastAsia="仿宋_GB2312" w:cs="Times New Roman"/>
          <w:kern w:val="2"/>
          <w:sz w:val="32"/>
          <w:szCs w:val="32"/>
          <w:lang w:val="en-US" w:eastAsia="zh-CN" w:bidi="ar-SA"/>
        </w:rPr>
        <w:t xml:space="preserve">   通过项目实施，</w:t>
      </w:r>
      <w:r>
        <w:rPr>
          <w:rFonts w:hint="eastAsia" w:ascii="Times New Roman" w:hAnsi="Times New Roman" w:eastAsia="仿宋_GB2312" w:cs="Times New Roman"/>
          <w:sz w:val="32"/>
          <w:szCs w:val="32"/>
          <w:lang w:val="en-US" w:eastAsia="zh-CN"/>
        </w:rPr>
        <w:t>确保自然灾害发生后及时恢复被破坏的道路、桥梁，保障人民群众正常通行。</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（三）项目自评步骤及方法。</w:t>
      </w:r>
    </w:p>
    <w:p>
      <w:pPr>
        <w:adjustRightInd w:val="0"/>
        <w:snapToGrid w:val="0"/>
        <w:spacing w:line="520" w:lineRule="exact"/>
        <w:rPr>
          <w:rFonts w:hint="default" w:ascii="Times New Roman" w:hAnsi="Times New Roman" w:eastAsia="仿宋_GB2312" w:cs="Times New Roman"/>
          <w:sz w:val="32"/>
          <w:szCs w:val="32"/>
          <w:lang w:val="en-US" w:eastAsia="zh-CN"/>
        </w:rPr>
      </w:pPr>
      <w:r>
        <w:rPr>
          <w:rFonts w:hint="eastAsia" w:eastAsia="仿宋_GB2312"/>
          <w:sz w:val="32"/>
          <w:szCs w:val="32"/>
          <w:lang w:val="en-US" w:eastAsia="zh-CN"/>
        </w:rPr>
        <w:t xml:space="preserve">    </w:t>
      </w:r>
      <w:r>
        <w:rPr>
          <w:rFonts w:hint="eastAsia" w:ascii="Times New Roman" w:hAnsi="Times New Roman" w:eastAsia="仿宋_GB2312" w:cs="Times New Roman"/>
          <w:sz w:val="32"/>
          <w:szCs w:val="32"/>
          <w:lang w:val="en-US" w:eastAsia="zh-CN"/>
        </w:rPr>
        <w:t>主要设置项目完成、效益指标、满意度指标等绩效指标，绩效目标和绩效指标可量化可考核（资金至年底支付进度需达到</w:t>
      </w:r>
      <w:r>
        <w:rPr>
          <w:rFonts w:hint="default" w:ascii="Times New Roman" w:hAnsi="Times New Roman" w:eastAsia="仿宋_GB2312" w:cs="Times New Roman"/>
          <w:sz w:val="32"/>
          <w:szCs w:val="32"/>
          <w:lang w:val="en-US" w:eastAsia="zh-CN"/>
        </w:rPr>
        <w:t>100%），相互匹配、全面完整，契合项目实质，与年度工作目标相一致，产出和效果相关联，满意度指标预测≥9</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二、项目资金申报及使用情况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（一）项目资金申报及批复情况。</w:t>
      </w:r>
    </w:p>
    <w:p>
      <w:pPr>
        <w:adjustRightInd w:val="0"/>
        <w:snapToGrid w:val="0"/>
        <w:spacing w:line="52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zh-CN" w:eastAsia="zh-CN"/>
        </w:rPr>
        <w:t>万源市交通运输局道路应急抢险资金在年初预算中申报</w:t>
      </w:r>
      <w:r>
        <w:rPr>
          <w:rFonts w:hint="eastAsia" w:eastAsia="仿宋_GB2312" w:cs="Times New Roman"/>
          <w:sz w:val="32"/>
          <w:szCs w:val="32"/>
          <w:lang w:val="zh-CN" w:eastAsia="zh-CN"/>
        </w:rPr>
        <w:t>，</w:t>
      </w:r>
      <w:r>
        <w:rPr>
          <w:rFonts w:hint="eastAsia" w:eastAsia="仿宋_GB2312" w:cs="Times New Roman"/>
          <w:sz w:val="32"/>
          <w:szCs w:val="32"/>
          <w:lang w:val="en-US" w:eastAsia="zh-CN"/>
        </w:rPr>
        <w:t>2023年度预算100万元，下达资金100万元，2023年度共计使用资金100万元。</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（二）资金计划、到位及使用情况。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zh-CN"/>
        </w:rPr>
        <w:t>1．资金计划。</w:t>
      </w:r>
      <w:r>
        <w:rPr>
          <w:rFonts w:hint="eastAsia" w:ascii="Times New Roman" w:hAnsi="Times New Roman" w:eastAsia="仿宋_GB2312" w:cs="Times New Roman"/>
          <w:sz w:val="32"/>
          <w:szCs w:val="32"/>
          <w:lang w:val="zh-CN" w:eastAsia="zh-CN"/>
        </w:rPr>
        <w:t>道路应急抢险资金</w:t>
      </w:r>
      <w:r>
        <w:rPr>
          <w:rFonts w:hint="eastAsia" w:eastAsia="仿宋_GB2312" w:cs="Times New Roman"/>
          <w:sz w:val="32"/>
          <w:szCs w:val="32"/>
          <w:lang w:val="zh-CN" w:eastAsia="zh-CN"/>
        </w:rPr>
        <w:t>由财政局下达，我单位通过预算申报资金</w:t>
      </w:r>
      <w:r>
        <w:rPr>
          <w:rFonts w:hint="eastAsia" w:eastAsia="仿宋_GB2312" w:cs="Times New Roman"/>
          <w:sz w:val="32"/>
          <w:szCs w:val="32"/>
          <w:lang w:val="en-US" w:eastAsia="zh-CN"/>
        </w:rPr>
        <w:t>100万元。</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仿宋_GB2312" w:hAnsi="仿宋_GB2312" w:eastAsia="仿宋_GB2312" w:cs="仿宋_GB2312"/>
          <w:color w:val="auto"/>
          <w:kern w:val="0"/>
          <w:sz w:val="32"/>
          <w:szCs w:val="32"/>
          <w:highlight w:val="none"/>
          <w:u w:val="none"/>
          <w:shd w:val="clear" w:color="auto" w:fill="FFFFFF"/>
          <w:lang w:val="en-US"/>
        </w:rPr>
      </w:pPr>
      <w:r>
        <w:rPr>
          <w:rFonts w:hint="eastAsia" w:ascii="仿宋_GB2312" w:hAnsi="仿宋_GB2312" w:eastAsia="仿宋_GB2312" w:cs="仿宋_GB2312"/>
          <w:color w:val="auto"/>
          <w:kern w:val="0"/>
          <w:sz w:val="32"/>
          <w:szCs w:val="32"/>
          <w:highlight w:val="none"/>
          <w:u w:val="none"/>
          <w:shd w:val="clear" w:color="auto" w:fill="FFFFFF"/>
          <w:lang w:val="zh-CN"/>
        </w:rPr>
        <w:t>2．资金到位。</w:t>
      </w:r>
      <w:r>
        <w:rPr>
          <w:rFonts w:hint="eastAsia" w:ascii="Times New Roman" w:hAnsi="Times New Roman" w:eastAsia="仿宋_GB2312" w:cs="Times New Roman"/>
          <w:sz w:val="32"/>
          <w:szCs w:val="32"/>
          <w:lang w:val="zh-CN" w:eastAsia="zh-CN"/>
        </w:rPr>
        <w:t>道路应急抢险资金在</w:t>
      </w:r>
      <w:r>
        <w:rPr>
          <w:rFonts w:hint="eastAsia" w:eastAsia="仿宋_GB2312" w:cs="Times New Roman"/>
          <w:sz w:val="32"/>
          <w:szCs w:val="32"/>
          <w:lang w:val="zh-CN" w:eastAsia="zh-CN"/>
        </w:rPr>
        <w:t>预算一体化平台下达</w:t>
      </w:r>
      <w:r>
        <w:rPr>
          <w:rFonts w:hint="eastAsia" w:eastAsia="仿宋_GB2312" w:cs="Times New Roman"/>
          <w:sz w:val="32"/>
          <w:szCs w:val="32"/>
          <w:lang w:val="en-US" w:eastAsia="zh-CN"/>
        </w:rPr>
        <w:t>100万元。</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zh-CN"/>
        </w:rPr>
        <w:t>3．资金使用。</w:t>
      </w:r>
      <w:r>
        <w:rPr>
          <w:rFonts w:hint="eastAsia" w:ascii="仿宋_GB2312" w:hAnsi="仿宋_GB2312" w:eastAsia="仿宋_GB2312" w:cs="仿宋_GB2312"/>
          <w:color w:val="auto"/>
          <w:kern w:val="0"/>
          <w:sz w:val="32"/>
          <w:szCs w:val="32"/>
          <w:highlight w:val="none"/>
          <w:u w:val="none"/>
          <w:shd w:val="clear" w:color="auto" w:fill="FFFFFF"/>
          <w:lang w:val="en-US" w:eastAsia="zh-CN"/>
        </w:rPr>
        <w:t>2023年度道路应急抢险资金使用100万元。</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（三）项目财务管理情况。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我单位财务管理制度健全，严格执行财务管理制度，账务处理及时，会计核算规范。</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三、项目实施及管理情况</w:t>
      </w:r>
    </w:p>
    <w:p>
      <w:pPr>
        <w:keepNext w:val="0"/>
        <w:keepLines w:val="0"/>
        <w:pageBreakBefore w:val="0"/>
        <w:numPr>
          <w:ilvl w:val="0"/>
          <w:numId w:val="5"/>
        </w:numPr>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项目组织架构及实施流程。</w:t>
      </w:r>
    </w:p>
    <w:p>
      <w:pPr>
        <w:keepNext w:val="0"/>
        <w:keepLines w:val="0"/>
        <w:pageBreakBefore w:val="0"/>
        <w:numPr>
          <w:ilvl w:val="0"/>
          <w:numId w:val="0"/>
        </w:numPr>
        <w:kinsoku/>
        <w:wordWrap/>
        <w:overflowPunct/>
        <w:topLinePunct w:val="0"/>
        <w:autoSpaceDE/>
        <w:autoSpaceDN/>
        <w:bidi w:val="0"/>
        <w:adjustRightInd w:val="0"/>
        <w:snapToGrid w:val="0"/>
        <w:spacing w:line="578" w:lineRule="exact"/>
        <w:textAlignment w:val="auto"/>
        <w:rPr>
          <w:rFonts w:hint="default" w:ascii="楷体_GB2312" w:hAnsi="宋体" w:eastAsia="楷体_GB2312"/>
          <w:b/>
          <w:color w:val="auto"/>
          <w:sz w:val="32"/>
          <w:szCs w:val="32"/>
          <w:highlight w:val="none"/>
          <w:u w:val="none"/>
          <w:lang w:val="en-US" w:eastAsia="zh-CN"/>
        </w:rPr>
      </w:pPr>
      <w:r>
        <w:rPr>
          <w:rFonts w:hint="eastAsia" w:ascii="楷体_GB2312" w:hAnsi="宋体" w:eastAsia="楷体_GB2312"/>
          <w:b/>
          <w:color w:val="auto"/>
          <w:sz w:val="32"/>
          <w:szCs w:val="32"/>
          <w:highlight w:val="none"/>
          <w:u w:val="none"/>
          <w:lang w:val="en-US" w:eastAsia="zh-CN"/>
        </w:rPr>
        <w:t xml:space="preserve">   </w:t>
      </w:r>
      <w:r>
        <w:rPr>
          <w:rFonts w:hint="eastAsia" w:ascii="仿宋_GB2312" w:hAnsi="仿宋_GB2312" w:eastAsia="仿宋_GB2312" w:cs="仿宋_GB2312"/>
          <w:color w:val="auto"/>
          <w:kern w:val="0"/>
          <w:sz w:val="32"/>
          <w:szCs w:val="32"/>
          <w:highlight w:val="none"/>
          <w:u w:val="none"/>
          <w:shd w:val="clear" w:color="auto" w:fill="FFFFFF"/>
          <w:lang w:val="en-US" w:eastAsia="zh-CN"/>
        </w:rPr>
        <w:t xml:space="preserve"> 道路应急抢险资金的具体申报、支付等按照财务相关程序实施。</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楷体_GB2312" w:hAnsi="宋体" w:eastAsia="楷体_GB2312"/>
          <w:b/>
          <w:color w:val="auto"/>
          <w:sz w:val="32"/>
          <w:szCs w:val="32"/>
          <w:highlight w:val="none"/>
          <w:u w:val="none"/>
          <w:lang w:val="zh-CN"/>
        </w:rPr>
        <w:t>（二）项目管理情况。</w:t>
      </w:r>
      <w:r>
        <w:rPr>
          <w:rFonts w:hint="eastAsia" w:ascii="仿宋_GB2312" w:hAnsi="仿宋_GB2312" w:eastAsia="仿宋_GB2312" w:cs="仿宋_GB2312"/>
          <w:color w:val="auto"/>
          <w:kern w:val="0"/>
          <w:sz w:val="32"/>
          <w:szCs w:val="32"/>
          <w:highlight w:val="none"/>
          <w:u w:val="none"/>
          <w:shd w:val="clear" w:color="auto" w:fill="FFFFFF"/>
          <w:lang w:val="zh-CN"/>
        </w:rPr>
        <w:t>道路应急抢险资金严格执行相关法律法规</w:t>
      </w:r>
      <w:r>
        <w:rPr>
          <w:rFonts w:hint="eastAsia" w:ascii="仿宋_GB2312" w:hAnsi="仿宋_GB2312" w:cs="仿宋_GB2312"/>
          <w:color w:val="auto"/>
          <w:kern w:val="0"/>
          <w:sz w:val="32"/>
          <w:szCs w:val="32"/>
          <w:highlight w:val="none"/>
          <w:u w:val="none"/>
          <w:shd w:val="clear" w:color="auto" w:fill="FFFFFF"/>
          <w:lang w:val="zh-CN"/>
        </w:rPr>
        <w:t>、</w:t>
      </w:r>
      <w:r>
        <w:rPr>
          <w:rFonts w:hint="eastAsia" w:ascii="仿宋_GB2312" w:hAnsi="仿宋_GB2312" w:eastAsia="仿宋_GB2312" w:cs="仿宋_GB2312"/>
          <w:color w:val="auto"/>
          <w:kern w:val="0"/>
          <w:sz w:val="32"/>
          <w:szCs w:val="32"/>
          <w:highlight w:val="none"/>
          <w:u w:val="none"/>
          <w:shd w:val="clear" w:color="auto" w:fill="FFFFFF"/>
          <w:lang w:val="zh-CN"/>
        </w:rPr>
        <w:t>项目管理制度等，如招投标、政府采购、项目公示制等相关规定。</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楷体_GB2312" w:hAnsi="宋体" w:eastAsia="楷体_GB2312"/>
          <w:b/>
          <w:color w:val="auto"/>
          <w:sz w:val="32"/>
          <w:szCs w:val="32"/>
          <w:highlight w:val="none"/>
          <w:u w:val="none"/>
          <w:lang w:val="zh-CN"/>
        </w:rPr>
        <w:t>（三）项目监管情况。</w:t>
      </w:r>
      <w:r>
        <w:rPr>
          <w:rFonts w:hint="eastAsia" w:ascii="仿宋_GB2312" w:hAnsi="仿宋_GB2312" w:eastAsia="仿宋_GB2312" w:cs="仿宋_GB2312"/>
          <w:color w:val="auto"/>
          <w:kern w:val="0"/>
          <w:sz w:val="32"/>
          <w:szCs w:val="32"/>
          <w:highlight w:val="none"/>
          <w:u w:val="none"/>
          <w:shd w:val="clear" w:color="auto" w:fill="FFFFFF"/>
          <w:lang w:val="zh-CN"/>
        </w:rPr>
        <w:t>道路应急抢险资金由财政局监管，资金使用旭财政局审批，财政局不定期检查。</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四、项目绩效情况</w:t>
      </w:r>
      <w:r>
        <w:rPr>
          <w:rFonts w:hint="eastAsia" w:ascii="仿宋_GB2312" w:hAnsi="宋体"/>
          <w:color w:val="auto"/>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（一）项目完成情况。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道路应急抢险资金</w:t>
      </w:r>
      <w:r>
        <w:rPr>
          <w:rFonts w:hint="eastAsia" w:ascii="仿宋_GB2312" w:hAnsi="仿宋_GB2312" w:eastAsia="仿宋_GB2312" w:cs="仿宋_GB2312"/>
          <w:color w:val="auto"/>
          <w:kern w:val="0"/>
          <w:sz w:val="32"/>
          <w:szCs w:val="32"/>
          <w:highlight w:val="none"/>
          <w:u w:val="none"/>
          <w:shd w:val="clear" w:color="auto" w:fill="FFFFFF"/>
          <w:lang w:val="zh-CN"/>
        </w:rPr>
        <w:t>完成数量、质量、时效、成本等指标情况均完成年初绩效预算指标。</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（二）项目效益情况。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该</w:t>
      </w:r>
      <w:r>
        <w:rPr>
          <w:rFonts w:hint="eastAsia" w:ascii="仿宋_GB2312" w:hAnsi="仿宋_GB2312" w:eastAsia="仿宋_GB2312" w:cs="仿宋_GB2312"/>
          <w:color w:val="auto"/>
          <w:kern w:val="0"/>
          <w:sz w:val="32"/>
          <w:szCs w:val="32"/>
          <w:highlight w:val="none"/>
          <w:u w:val="none"/>
          <w:shd w:val="clear" w:color="auto" w:fill="FFFFFF"/>
          <w:lang w:val="zh-CN"/>
        </w:rPr>
        <w:t>项目经济效益、社会效益、生态效益、可持续效益以及服务对象满意度等方面完成年初绩效预算指标。</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五、评价结论及建议</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（一）评价结论。</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道路应急抢险资金支出绩效整体评价较好。</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（二）存在的问题。</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无</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（三）相关建议。</w:t>
      </w:r>
    </w:p>
    <w:p>
      <w:pPr>
        <w:autoSpaceDE w:val="0"/>
        <w:autoSpaceDN w:val="0"/>
        <w:adjustRightInd w:val="0"/>
        <w:spacing w:line="600" w:lineRule="exact"/>
        <w:ind w:firstLine="640" w:firstLineChars="200"/>
        <w:jc w:val="both"/>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无</w:t>
      </w:r>
    </w:p>
    <w:p>
      <w:pPr>
        <w:spacing w:line="580" w:lineRule="exact"/>
        <w:rPr>
          <w:rStyle w:val="35"/>
          <w:rFonts w:ascii="黑体" w:hAnsi="黑体" w:eastAsia="黑体"/>
          <w:b w:val="0"/>
          <w:color w:val="auto"/>
          <w:highlight w:val="none"/>
        </w:rPr>
      </w:pPr>
    </w:p>
    <w:p>
      <w:pPr>
        <w:widowControl/>
        <w:jc w:val="left"/>
        <w:rPr>
          <w:rStyle w:val="35"/>
          <w:rFonts w:ascii="黑体" w:hAnsi="黑体" w:eastAsia="黑体"/>
          <w:b w:val="0"/>
          <w:color w:val="auto"/>
          <w:highlight w:val="none"/>
        </w:rPr>
      </w:pPr>
      <w:r>
        <w:rPr>
          <w:rStyle w:val="35"/>
          <w:rFonts w:ascii="黑体" w:hAnsi="黑体" w:eastAsia="黑体"/>
          <w:b w:val="0"/>
          <w:color w:val="auto"/>
          <w:highlight w:val="none"/>
        </w:rPr>
        <w:br w:type="page"/>
      </w:r>
    </w:p>
    <w:p>
      <w:pPr>
        <w:pStyle w:val="6"/>
        <w:rPr>
          <w:rFonts w:hint="eastAsia" w:eastAsia="仿宋_GB2312"/>
          <w:color w:val="auto"/>
          <w:sz w:val="32"/>
          <w:szCs w:val="32"/>
          <w:highlight w:val="none"/>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3</w:t>
      </w:r>
    </w:p>
    <w:p>
      <w:pPr>
        <w:pStyle w:val="34"/>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color w:val="auto"/>
          <w:kern w:val="2"/>
          <w:sz w:val="32"/>
          <w:szCs w:val="32"/>
          <w:highlight w:val="none"/>
        </w:rPr>
      </w:pPr>
      <w:r>
        <w:rPr>
          <w:rFonts w:hint="eastAsia" w:eastAsia="方正小标宋简体"/>
          <w:b/>
          <w:sz w:val="44"/>
          <w:szCs w:val="44"/>
          <w:shd w:val="clear" w:color="auto" w:fill="FFFFFF"/>
          <w:lang w:eastAsia="zh-CN"/>
        </w:rPr>
        <w:t>万源市交通运输局</w:t>
      </w:r>
      <w:r>
        <w:rPr>
          <w:rFonts w:hint="eastAsia" w:eastAsia="方正小标宋简体"/>
          <w:b/>
          <w:sz w:val="44"/>
          <w:szCs w:val="44"/>
          <w:shd w:val="clear" w:color="auto" w:fill="FFFFFF"/>
          <w:lang w:val="en-US" w:eastAsia="zh-CN"/>
        </w:rPr>
        <w:t>2023年</w:t>
      </w:r>
      <w:r>
        <w:rPr>
          <w:rFonts w:hint="eastAsia" w:eastAsia="方正小标宋简体"/>
          <w:b/>
          <w:sz w:val="44"/>
          <w:szCs w:val="44"/>
          <w:shd w:val="clear" w:color="auto" w:fill="FFFFFF"/>
          <w:lang w:eastAsia="zh-CN"/>
        </w:rPr>
        <w:t>交通管理工作经费项目</w:t>
      </w:r>
      <w:r>
        <w:rPr>
          <w:rFonts w:eastAsia="方正小标宋简体"/>
          <w:b/>
          <w:sz w:val="44"/>
          <w:szCs w:val="44"/>
          <w:shd w:val="clear" w:color="auto" w:fill="FFFFFF"/>
        </w:rPr>
        <w:t>绩效自评报告</w:t>
      </w: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lang w:val="zh-CN"/>
        </w:rPr>
      </w:pPr>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（一）项目基本情况。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Times New Roman" w:hAnsi="Times New Roman" w:eastAsia="仿宋_GB2312" w:cs="Times New Roman"/>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2023年，万源市交通运输局交通管理工作经费项目年初预算资金20万元，该资金主要</w:t>
      </w:r>
      <w:r>
        <w:rPr>
          <w:rFonts w:hint="eastAsia" w:ascii="Times New Roman" w:hAnsi="Times New Roman" w:eastAsia="仿宋_GB2312" w:cs="Times New Roman"/>
          <w:sz w:val="32"/>
          <w:szCs w:val="32"/>
          <w:lang w:val="en-US" w:eastAsia="zh-CN"/>
        </w:rPr>
        <w:t>用于保障全市交通管理工作经费</w:t>
      </w:r>
      <w:r>
        <w:rPr>
          <w:rFonts w:hint="eastAsia" w:eastAsia="仿宋_GB2312" w:cs="Times New Roman"/>
          <w:sz w:val="32"/>
          <w:szCs w:val="32"/>
          <w:lang w:val="en-US" w:eastAsia="zh-CN"/>
        </w:rPr>
        <w:t>。</w:t>
      </w:r>
    </w:p>
    <w:p>
      <w:pPr>
        <w:keepNext w:val="0"/>
        <w:keepLines w:val="0"/>
        <w:pageBreakBefore w:val="0"/>
        <w:numPr>
          <w:ilvl w:val="0"/>
          <w:numId w:val="4"/>
        </w:numPr>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项目绩效目标。</w:t>
      </w:r>
    </w:p>
    <w:p>
      <w:pPr>
        <w:pStyle w:val="6"/>
        <w:numPr>
          <w:ilvl w:val="0"/>
          <w:numId w:val="0"/>
        </w:numPr>
        <w:rPr>
          <w:rFonts w:hint="default" w:eastAsia="仿宋_GB2312"/>
          <w:lang w:val="en-US" w:eastAsia="zh-CN"/>
        </w:rPr>
      </w:pPr>
      <w:r>
        <w:rPr>
          <w:rFonts w:hint="eastAsia"/>
          <w:lang w:val="en-US" w:eastAsia="zh-CN"/>
        </w:rPr>
        <w:t xml:space="preserve">  </w:t>
      </w:r>
      <w:r>
        <w:rPr>
          <w:rFonts w:hint="eastAsia" w:ascii="仿宋_GB2312" w:hAnsi="仿宋_GB2312" w:eastAsia="仿宋_GB2312" w:cs="仿宋_GB2312"/>
          <w:color w:val="auto"/>
          <w:kern w:val="0"/>
          <w:sz w:val="32"/>
          <w:szCs w:val="32"/>
          <w:highlight w:val="none"/>
          <w:u w:val="none"/>
          <w:shd w:val="clear" w:color="auto" w:fill="FFFFFF"/>
          <w:lang w:val="en-US" w:eastAsia="zh-CN" w:bidi="ar-SA"/>
        </w:rPr>
        <w:t xml:space="preserve">  通过项目实施，确</w:t>
      </w:r>
      <w:r>
        <w:rPr>
          <w:rFonts w:hint="eastAsia" w:ascii="Times New Roman" w:hAnsi="Times New Roman" w:eastAsia="仿宋_GB2312" w:cs="Times New Roman"/>
          <w:sz w:val="32"/>
          <w:szCs w:val="32"/>
          <w:lang w:val="en-US" w:eastAsia="zh-CN"/>
        </w:rPr>
        <w:t>保</w:t>
      </w:r>
      <w:r>
        <w:rPr>
          <w:rFonts w:hint="eastAsia" w:ascii="Times New Roman" w:cs="Times New Roman"/>
          <w:sz w:val="32"/>
          <w:szCs w:val="32"/>
          <w:lang w:val="en-US" w:eastAsia="zh-CN"/>
        </w:rPr>
        <w:t>交通管理工作正常运行</w:t>
      </w:r>
      <w:r>
        <w:rPr>
          <w:rFonts w:hint="eastAsia"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（三）项目自评步骤及方法。</w:t>
      </w:r>
    </w:p>
    <w:p>
      <w:pPr>
        <w:adjustRightInd w:val="0"/>
        <w:snapToGrid w:val="0"/>
        <w:spacing w:line="520" w:lineRule="exact"/>
        <w:rPr>
          <w:rFonts w:hint="default" w:ascii="Times New Roman" w:hAnsi="Times New Roman" w:eastAsia="仿宋_GB2312" w:cs="Times New Roman"/>
          <w:sz w:val="32"/>
          <w:szCs w:val="32"/>
          <w:lang w:val="en-US" w:eastAsia="zh-CN"/>
        </w:rPr>
      </w:pPr>
      <w:r>
        <w:rPr>
          <w:rFonts w:hint="eastAsia" w:eastAsia="仿宋_GB2312"/>
          <w:sz w:val="32"/>
          <w:szCs w:val="32"/>
          <w:lang w:val="en-US" w:eastAsia="zh-CN"/>
        </w:rPr>
        <w:t xml:space="preserve">    </w:t>
      </w:r>
      <w:r>
        <w:rPr>
          <w:rFonts w:hint="eastAsia" w:ascii="Times New Roman" w:hAnsi="Times New Roman" w:eastAsia="仿宋_GB2312" w:cs="Times New Roman"/>
          <w:sz w:val="32"/>
          <w:szCs w:val="32"/>
          <w:lang w:val="en-US" w:eastAsia="zh-CN"/>
        </w:rPr>
        <w:t>主要设置项目完成、效益指标、满意度指标等绩效指标，绩效目标和绩效指标可量化可考核（资金至年底支付进度需达到</w:t>
      </w:r>
      <w:r>
        <w:rPr>
          <w:rFonts w:hint="default" w:ascii="Times New Roman" w:hAnsi="Times New Roman" w:eastAsia="仿宋_GB2312" w:cs="Times New Roman"/>
          <w:sz w:val="32"/>
          <w:szCs w:val="32"/>
          <w:lang w:val="en-US" w:eastAsia="zh-CN"/>
        </w:rPr>
        <w:t>100%），相互匹配、全面完整，契合项目实质，与年度工作目标相一致，产出和效果相关联，满意度指标预测≥9</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二、项目资金申报及使用情况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（一）项目资金申报及批复情况。</w:t>
      </w:r>
    </w:p>
    <w:p>
      <w:pPr>
        <w:adjustRightInd w:val="0"/>
        <w:snapToGrid w:val="0"/>
        <w:spacing w:line="52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zh-CN" w:eastAsia="zh-CN"/>
        </w:rPr>
        <w:t>万源市交通运输局</w:t>
      </w:r>
      <w:r>
        <w:rPr>
          <w:rFonts w:hint="eastAsia" w:eastAsia="仿宋_GB2312" w:cs="Times New Roman"/>
          <w:sz w:val="32"/>
          <w:szCs w:val="32"/>
          <w:lang w:val="zh-CN" w:eastAsia="zh-CN"/>
        </w:rPr>
        <w:t>交通管理工作经费</w:t>
      </w:r>
      <w:r>
        <w:rPr>
          <w:rFonts w:hint="eastAsia" w:ascii="Times New Roman" w:hAnsi="Times New Roman" w:eastAsia="仿宋_GB2312" w:cs="Times New Roman"/>
          <w:sz w:val="32"/>
          <w:szCs w:val="32"/>
          <w:lang w:val="zh-CN" w:eastAsia="zh-CN"/>
        </w:rPr>
        <w:t>资金在年初预算中申报</w:t>
      </w:r>
      <w:r>
        <w:rPr>
          <w:rFonts w:hint="eastAsia" w:eastAsia="仿宋_GB2312" w:cs="Times New Roman"/>
          <w:sz w:val="32"/>
          <w:szCs w:val="32"/>
          <w:lang w:val="zh-CN" w:eastAsia="zh-CN"/>
        </w:rPr>
        <w:t>，</w:t>
      </w:r>
      <w:r>
        <w:rPr>
          <w:rFonts w:hint="eastAsia" w:eastAsia="仿宋_GB2312" w:cs="Times New Roman"/>
          <w:sz w:val="32"/>
          <w:szCs w:val="32"/>
          <w:lang w:val="en-US" w:eastAsia="zh-CN"/>
        </w:rPr>
        <w:t>2023年度预算20万元，下达资金20万元，2023年度共计使用资金20万元。</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（二）资金计划、到位及使用情况。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zh-CN"/>
        </w:rPr>
        <w:t>1．资金计划。</w:t>
      </w:r>
      <w:r>
        <w:rPr>
          <w:rFonts w:hint="eastAsia" w:eastAsia="仿宋_GB2312" w:cs="Times New Roman"/>
          <w:sz w:val="32"/>
          <w:szCs w:val="32"/>
          <w:lang w:val="zh-CN" w:eastAsia="zh-CN"/>
        </w:rPr>
        <w:t>交通管理工作经费</w:t>
      </w:r>
      <w:r>
        <w:rPr>
          <w:rFonts w:hint="eastAsia" w:ascii="Times New Roman" w:hAnsi="Times New Roman" w:eastAsia="仿宋_GB2312" w:cs="Times New Roman"/>
          <w:sz w:val="32"/>
          <w:szCs w:val="32"/>
          <w:lang w:val="zh-CN" w:eastAsia="zh-CN"/>
        </w:rPr>
        <w:t>资金</w:t>
      </w:r>
      <w:r>
        <w:rPr>
          <w:rFonts w:hint="eastAsia" w:eastAsia="仿宋_GB2312" w:cs="Times New Roman"/>
          <w:sz w:val="32"/>
          <w:szCs w:val="32"/>
          <w:lang w:val="zh-CN" w:eastAsia="zh-CN"/>
        </w:rPr>
        <w:t>由财政局下达，我单位通过预算申报资金</w:t>
      </w:r>
      <w:r>
        <w:rPr>
          <w:rFonts w:hint="eastAsia" w:eastAsia="仿宋_GB2312" w:cs="Times New Roman"/>
          <w:sz w:val="32"/>
          <w:szCs w:val="32"/>
          <w:lang w:val="en-US" w:eastAsia="zh-CN"/>
        </w:rPr>
        <w:t>20万元。</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仿宋_GB2312" w:hAnsi="仿宋_GB2312" w:eastAsia="仿宋_GB2312" w:cs="仿宋_GB2312"/>
          <w:color w:val="auto"/>
          <w:kern w:val="0"/>
          <w:sz w:val="32"/>
          <w:szCs w:val="32"/>
          <w:highlight w:val="none"/>
          <w:u w:val="none"/>
          <w:shd w:val="clear" w:color="auto" w:fill="FFFFFF"/>
          <w:lang w:val="en-US"/>
        </w:rPr>
      </w:pPr>
      <w:r>
        <w:rPr>
          <w:rFonts w:hint="eastAsia" w:ascii="仿宋_GB2312" w:hAnsi="仿宋_GB2312" w:eastAsia="仿宋_GB2312" w:cs="仿宋_GB2312"/>
          <w:color w:val="auto"/>
          <w:kern w:val="0"/>
          <w:sz w:val="32"/>
          <w:szCs w:val="32"/>
          <w:highlight w:val="none"/>
          <w:u w:val="none"/>
          <w:shd w:val="clear" w:color="auto" w:fill="FFFFFF"/>
          <w:lang w:val="zh-CN"/>
        </w:rPr>
        <w:t>2．资金到位。</w:t>
      </w:r>
      <w:r>
        <w:rPr>
          <w:rFonts w:hint="eastAsia" w:eastAsia="仿宋_GB2312" w:cs="Times New Roman"/>
          <w:sz w:val="32"/>
          <w:szCs w:val="32"/>
          <w:lang w:val="zh-CN" w:eastAsia="zh-CN"/>
        </w:rPr>
        <w:t>交通管理工作经费</w:t>
      </w:r>
      <w:r>
        <w:rPr>
          <w:rFonts w:hint="eastAsia" w:ascii="Times New Roman" w:hAnsi="Times New Roman" w:eastAsia="仿宋_GB2312" w:cs="Times New Roman"/>
          <w:sz w:val="32"/>
          <w:szCs w:val="32"/>
          <w:lang w:val="zh-CN" w:eastAsia="zh-CN"/>
        </w:rPr>
        <w:t>资金在</w:t>
      </w:r>
      <w:r>
        <w:rPr>
          <w:rFonts w:hint="eastAsia" w:eastAsia="仿宋_GB2312" w:cs="Times New Roman"/>
          <w:sz w:val="32"/>
          <w:szCs w:val="32"/>
          <w:lang w:val="zh-CN" w:eastAsia="zh-CN"/>
        </w:rPr>
        <w:t>预算一体化平台下达</w:t>
      </w:r>
      <w:r>
        <w:rPr>
          <w:rFonts w:hint="eastAsia" w:eastAsia="仿宋_GB2312" w:cs="Times New Roman"/>
          <w:sz w:val="32"/>
          <w:szCs w:val="32"/>
          <w:lang w:val="en-US" w:eastAsia="zh-CN"/>
        </w:rPr>
        <w:t>20万元。</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zh-CN"/>
        </w:rPr>
        <w:t>3．资金使用。</w:t>
      </w:r>
      <w:r>
        <w:rPr>
          <w:rFonts w:hint="eastAsia" w:ascii="仿宋_GB2312" w:hAnsi="仿宋_GB2312" w:eastAsia="仿宋_GB2312" w:cs="仿宋_GB2312"/>
          <w:color w:val="auto"/>
          <w:kern w:val="0"/>
          <w:sz w:val="32"/>
          <w:szCs w:val="32"/>
          <w:highlight w:val="none"/>
          <w:u w:val="none"/>
          <w:shd w:val="clear" w:color="auto" w:fill="FFFFFF"/>
          <w:lang w:val="en-US" w:eastAsia="zh-CN"/>
        </w:rPr>
        <w:t>2023年度交通管理工作经费资金使用20万元。</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（三）项目财务管理情况。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我单位财务管理制度健全，严格执行财务管理制度，账务处理及时，会计核算规范。</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三、项目实施及管理情况</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643" w:firstLineChars="20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（一）项目组织架构及实施流程。</w:t>
      </w:r>
    </w:p>
    <w:p>
      <w:pPr>
        <w:keepNext w:val="0"/>
        <w:keepLines w:val="0"/>
        <w:pageBreakBefore w:val="0"/>
        <w:numPr>
          <w:ilvl w:val="0"/>
          <w:numId w:val="0"/>
        </w:numPr>
        <w:kinsoku/>
        <w:wordWrap/>
        <w:overflowPunct/>
        <w:topLinePunct w:val="0"/>
        <w:autoSpaceDE/>
        <w:autoSpaceDN/>
        <w:bidi w:val="0"/>
        <w:adjustRightInd w:val="0"/>
        <w:snapToGrid w:val="0"/>
        <w:spacing w:line="578" w:lineRule="exact"/>
        <w:textAlignment w:val="auto"/>
        <w:rPr>
          <w:rFonts w:hint="default" w:ascii="楷体_GB2312" w:hAnsi="宋体" w:eastAsia="楷体_GB2312"/>
          <w:b/>
          <w:color w:val="auto"/>
          <w:sz w:val="32"/>
          <w:szCs w:val="32"/>
          <w:highlight w:val="none"/>
          <w:u w:val="none"/>
          <w:lang w:val="en-US" w:eastAsia="zh-CN"/>
        </w:rPr>
      </w:pPr>
      <w:r>
        <w:rPr>
          <w:rFonts w:hint="eastAsia" w:ascii="楷体_GB2312" w:hAnsi="宋体" w:eastAsia="楷体_GB2312"/>
          <w:b/>
          <w:color w:val="auto"/>
          <w:sz w:val="32"/>
          <w:szCs w:val="32"/>
          <w:highlight w:val="none"/>
          <w:u w:val="none"/>
          <w:lang w:val="en-US" w:eastAsia="zh-CN"/>
        </w:rPr>
        <w:t xml:space="preserve">   </w:t>
      </w:r>
      <w:r>
        <w:rPr>
          <w:rFonts w:hint="eastAsia" w:ascii="仿宋_GB2312" w:hAnsi="仿宋_GB2312" w:eastAsia="仿宋_GB2312" w:cs="仿宋_GB2312"/>
          <w:color w:val="auto"/>
          <w:kern w:val="0"/>
          <w:sz w:val="32"/>
          <w:szCs w:val="32"/>
          <w:highlight w:val="none"/>
          <w:u w:val="none"/>
          <w:shd w:val="clear" w:color="auto" w:fill="FFFFFF"/>
          <w:lang w:val="en-US" w:eastAsia="zh-CN"/>
        </w:rPr>
        <w:t>交通管理工作经费资金的具体申报、支付等按照财务相关程序实施。</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楷体_GB2312" w:hAnsi="宋体" w:eastAsia="楷体_GB2312"/>
          <w:b/>
          <w:color w:val="auto"/>
          <w:sz w:val="32"/>
          <w:szCs w:val="32"/>
          <w:highlight w:val="none"/>
          <w:u w:val="none"/>
          <w:lang w:val="zh-CN"/>
        </w:rPr>
        <w:t>（二）项目管理情况。</w:t>
      </w:r>
      <w:r>
        <w:rPr>
          <w:rFonts w:hint="eastAsia" w:ascii="楷体_GB2312" w:hAnsi="宋体" w:eastAsia="楷体_GB2312"/>
          <w:b/>
          <w:color w:val="auto"/>
          <w:sz w:val="32"/>
          <w:szCs w:val="32"/>
          <w:highlight w:val="none"/>
          <w:u w:val="none"/>
          <w:lang w:val="en-US" w:eastAsia="zh-CN"/>
        </w:rPr>
        <w:t xml:space="preserve"> </w:t>
      </w:r>
      <w:r>
        <w:rPr>
          <w:rFonts w:hint="eastAsia" w:ascii="仿宋_GB2312" w:hAnsi="仿宋_GB2312" w:eastAsia="仿宋_GB2312" w:cs="仿宋_GB2312"/>
          <w:color w:val="auto"/>
          <w:kern w:val="0"/>
          <w:sz w:val="32"/>
          <w:szCs w:val="32"/>
          <w:highlight w:val="none"/>
          <w:u w:val="none"/>
          <w:shd w:val="clear" w:color="auto" w:fill="FFFFFF"/>
          <w:lang w:val="en-US" w:eastAsia="zh-CN"/>
        </w:rPr>
        <w:t>交通管理工作经费</w:t>
      </w:r>
      <w:r>
        <w:rPr>
          <w:rFonts w:hint="eastAsia" w:ascii="仿宋_GB2312" w:hAnsi="仿宋_GB2312" w:eastAsia="仿宋_GB2312" w:cs="仿宋_GB2312"/>
          <w:color w:val="auto"/>
          <w:kern w:val="0"/>
          <w:sz w:val="32"/>
          <w:szCs w:val="32"/>
          <w:highlight w:val="none"/>
          <w:u w:val="none"/>
          <w:shd w:val="clear" w:color="auto" w:fill="FFFFFF"/>
          <w:lang w:val="zh-CN"/>
        </w:rPr>
        <w:t>资金严格执行相关法律法规</w:t>
      </w:r>
      <w:r>
        <w:rPr>
          <w:rFonts w:hint="eastAsia" w:ascii="仿宋_GB2312" w:hAnsi="仿宋_GB2312" w:cs="仿宋_GB2312"/>
          <w:color w:val="auto"/>
          <w:kern w:val="0"/>
          <w:sz w:val="32"/>
          <w:szCs w:val="32"/>
          <w:highlight w:val="none"/>
          <w:u w:val="none"/>
          <w:shd w:val="clear" w:color="auto" w:fill="FFFFFF"/>
          <w:lang w:val="zh-CN"/>
        </w:rPr>
        <w:t>、</w:t>
      </w:r>
      <w:r>
        <w:rPr>
          <w:rFonts w:hint="eastAsia" w:ascii="仿宋_GB2312" w:hAnsi="仿宋_GB2312" w:eastAsia="仿宋_GB2312" w:cs="仿宋_GB2312"/>
          <w:color w:val="auto"/>
          <w:kern w:val="0"/>
          <w:sz w:val="32"/>
          <w:szCs w:val="32"/>
          <w:highlight w:val="none"/>
          <w:u w:val="none"/>
          <w:shd w:val="clear" w:color="auto" w:fill="FFFFFF"/>
          <w:lang w:val="zh-CN"/>
        </w:rPr>
        <w:t>项目管理制度等，如招投标、政府采购、项目公示制等相关规定。</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楷体_GB2312" w:hAnsi="宋体" w:eastAsia="楷体_GB2312"/>
          <w:b/>
          <w:color w:val="auto"/>
          <w:sz w:val="32"/>
          <w:szCs w:val="32"/>
          <w:highlight w:val="none"/>
          <w:u w:val="none"/>
          <w:lang w:val="zh-CN"/>
        </w:rPr>
        <w:t>（三）项目监管情况。</w:t>
      </w:r>
      <w:r>
        <w:rPr>
          <w:rFonts w:hint="eastAsia" w:ascii="楷体_GB2312" w:hAnsi="宋体" w:eastAsia="楷体_GB2312"/>
          <w:b/>
          <w:color w:val="auto"/>
          <w:sz w:val="32"/>
          <w:szCs w:val="32"/>
          <w:highlight w:val="none"/>
          <w:u w:val="none"/>
          <w:lang w:val="en-US" w:eastAsia="zh-CN"/>
        </w:rPr>
        <w:t xml:space="preserve"> </w:t>
      </w:r>
      <w:r>
        <w:rPr>
          <w:rFonts w:hint="eastAsia" w:ascii="仿宋_GB2312" w:hAnsi="仿宋_GB2312" w:eastAsia="仿宋_GB2312" w:cs="仿宋_GB2312"/>
          <w:color w:val="auto"/>
          <w:kern w:val="0"/>
          <w:sz w:val="32"/>
          <w:szCs w:val="32"/>
          <w:highlight w:val="none"/>
          <w:u w:val="none"/>
          <w:shd w:val="clear" w:color="auto" w:fill="FFFFFF"/>
          <w:lang w:val="en-US" w:eastAsia="zh-CN"/>
        </w:rPr>
        <w:t>交通管理工作经费</w:t>
      </w:r>
      <w:r>
        <w:rPr>
          <w:rFonts w:hint="eastAsia" w:ascii="仿宋_GB2312" w:hAnsi="仿宋_GB2312" w:eastAsia="仿宋_GB2312" w:cs="仿宋_GB2312"/>
          <w:color w:val="auto"/>
          <w:kern w:val="0"/>
          <w:sz w:val="32"/>
          <w:szCs w:val="32"/>
          <w:highlight w:val="none"/>
          <w:u w:val="none"/>
          <w:shd w:val="clear" w:color="auto" w:fill="FFFFFF"/>
          <w:lang w:val="zh-CN"/>
        </w:rPr>
        <w:t>资金由财政局监管，资金使用旭财政局审批，财政局不定期检查。</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四、项目绩效情况</w:t>
      </w:r>
      <w:r>
        <w:rPr>
          <w:rFonts w:hint="eastAsia" w:ascii="仿宋_GB2312" w:hAnsi="宋体"/>
          <w:color w:val="auto"/>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（一）项目完成情况。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3" w:firstLineChars="200"/>
        <w:contextualSpacing/>
        <w:jc w:val="both"/>
        <w:textAlignment w:val="auto"/>
        <w:rPr>
          <w:rFonts w:hint="eastAsia" w:ascii="仿宋_GB2312" w:hAnsi="仿宋_GB2312" w:eastAsia="仿宋_GB2312" w:cs="仿宋_GB2312"/>
          <w:b w:val="0"/>
          <w:color w:val="auto"/>
          <w:kern w:val="0"/>
          <w:sz w:val="32"/>
          <w:szCs w:val="32"/>
          <w:highlight w:val="none"/>
          <w:u w:val="none"/>
          <w:shd w:val="clear" w:color="auto" w:fill="FFFFFF"/>
          <w:lang w:val="zh-CN"/>
        </w:rPr>
      </w:pPr>
      <w:r>
        <w:rPr>
          <w:rFonts w:hint="eastAsia" w:ascii="楷体_GB2312" w:hAnsi="宋体" w:eastAsia="楷体_GB2312"/>
          <w:b/>
          <w:color w:val="auto"/>
          <w:sz w:val="32"/>
          <w:szCs w:val="32"/>
          <w:highlight w:val="none"/>
          <w:u w:val="none"/>
          <w:lang w:val="en-US" w:eastAsia="zh-CN"/>
        </w:rPr>
        <w:t xml:space="preserve"> </w:t>
      </w:r>
      <w:r>
        <w:rPr>
          <w:rFonts w:hint="eastAsia" w:ascii="仿宋_GB2312" w:hAnsi="仿宋_GB2312" w:eastAsia="仿宋_GB2312" w:cs="仿宋_GB2312"/>
          <w:color w:val="auto"/>
          <w:kern w:val="0"/>
          <w:sz w:val="32"/>
          <w:szCs w:val="32"/>
          <w:highlight w:val="none"/>
          <w:u w:val="none"/>
          <w:shd w:val="clear" w:color="auto" w:fill="FFFFFF"/>
          <w:lang w:val="en-US" w:eastAsia="zh-CN"/>
        </w:rPr>
        <w:t>交通管理工作经费资金</w:t>
      </w:r>
      <w:r>
        <w:rPr>
          <w:rFonts w:hint="eastAsia" w:ascii="仿宋_GB2312" w:hAnsi="仿宋_GB2312" w:eastAsia="仿宋_GB2312" w:cs="仿宋_GB2312"/>
          <w:color w:val="auto"/>
          <w:kern w:val="0"/>
          <w:sz w:val="32"/>
          <w:szCs w:val="32"/>
          <w:highlight w:val="none"/>
          <w:u w:val="none"/>
          <w:shd w:val="clear" w:color="auto" w:fill="FFFFFF"/>
          <w:lang w:val="zh-CN"/>
        </w:rPr>
        <w:t>完成数量、质量、时效、成本等指标情况均完成年初绩效预算指标。</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（二）项目效益情况。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该</w:t>
      </w:r>
      <w:r>
        <w:rPr>
          <w:rFonts w:hint="eastAsia" w:ascii="仿宋_GB2312" w:hAnsi="仿宋_GB2312" w:eastAsia="仿宋_GB2312" w:cs="仿宋_GB2312"/>
          <w:color w:val="auto"/>
          <w:kern w:val="0"/>
          <w:sz w:val="32"/>
          <w:szCs w:val="32"/>
          <w:highlight w:val="none"/>
          <w:u w:val="none"/>
          <w:shd w:val="clear" w:color="auto" w:fill="FFFFFF"/>
          <w:lang w:val="zh-CN"/>
        </w:rPr>
        <w:t>项目经济效益、社会效益、生态效益、可持续效益以及服务对象满意度等方面完成年初绩效预算指标。</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五、评价结论及建议</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（一）评价结论。</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交通管理工作经费项目绩效自评结果准确，质量高。</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（二）存在的问题。</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无</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（三）相关建议。</w:t>
      </w:r>
    </w:p>
    <w:p>
      <w:pPr>
        <w:autoSpaceDE w:val="0"/>
        <w:autoSpaceDN w:val="0"/>
        <w:adjustRightInd w:val="0"/>
        <w:spacing w:line="600" w:lineRule="exact"/>
        <w:ind w:firstLine="640" w:firstLineChars="200"/>
        <w:jc w:val="both"/>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无</w:t>
      </w:r>
    </w:p>
    <w:p>
      <w:pPr>
        <w:widowControl/>
        <w:jc w:val="left"/>
        <w:rPr>
          <w:rStyle w:val="35"/>
          <w:rFonts w:ascii="黑体" w:hAnsi="黑体" w:eastAsia="黑体"/>
          <w:b w:val="0"/>
          <w:color w:val="auto"/>
          <w:highlight w:val="none"/>
        </w:rPr>
      </w:pPr>
    </w:p>
    <w:p>
      <w:pPr>
        <w:widowControl/>
        <w:jc w:val="left"/>
        <w:rPr>
          <w:rStyle w:val="35"/>
          <w:rFonts w:ascii="黑体" w:hAnsi="黑体" w:eastAsia="黑体"/>
          <w:b w:val="0"/>
          <w:color w:val="auto"/>
          <w:highlight w:val="none"/>
        </w:rPr>
      </w:pPr>
    </w:p>
    <w:p>
      <w:pPr>
        <w:widowControl/>
        <w:jc w:val="left"/>
        <w:rPr>
          <w:rStyle w:val="35"/>
          <w:rFonts w:ascii="黑体" w:hAnsi="黑体" w:eastAsia="黑体"/>
          <w:b w:val="0"/>
          <w:color w:val="auto"/>
          <w:highlight w:val="none"/>
        </w:rPr>
      </w:pPr>
    </w:p>
    <w:p>
      <w:pPr>
        <w:widowControl/>
        <w:jc w:val="left"/>
        <w:rPr>
          <w:rStyle w:val="35"/>
          <w:rFonts w:ascii="黑体" w:hAnsi="黑体" w:eastAsia="黑体"/>
          <w:b w:val="0"/>
          <w:color w:val="auto"/>
          <w:highlight w:val="none"/>
        </w:rPr>
      </w:pPr>
    </w:p>
    <w:p>
      <w:pPr>
        <w:widowControl/>
        <w:jc w:val="left"/>
        <w:rPr>
          <w:rStyle w:val="35"/>
          <w:rFonts w:ascii="黑体" w:hAnsi="黑体" w:eastAsia="黑体"/>
          <w:b w:val="0"/>
          <w:color w:val="auto"/>
          <w:highlight w:val="none"/>
        </w:rPr>
      </w:pPr>
    </w:p>
    <w:p>
      <w:pPr>
        <w:widowControl/>
        <w:jc w:val="left"/>
        <w:rPr>
          <w:rStyle w:val="35"/>
          <w:rFonts w:ascii="黑体" w:hAnsi="黑体" w:eastAsia="黑体"/>
          <w:b w:val="0"/>
          <w:color w:val="auto"/>
          <w:highlight w:val="none"/>
        </w:rPr>
      </w:pPr>
    </w:p>
    <w:p>
      <w:pPr>
        <w:widowControl/>
        <w:jc w:val="left"/>
        <w:rPr>
          <w:rStyle w:val="35"/>
          <w:rFonts w:ascii="黑体" w:hAnsi="黑体" w:eastAsia="黑体"/>
          <w:b w:val="0"/>
          <w:color w:val="auto"/>
          <w:highlight w:val="none"/>
        </w:rPr>
      </w:pPr>
    </w:p>
    <w:p>
      <w:pPr>
        <w:widowControl/>
        <w:jc w:val="left"/>
        <w:rPr>
          <w:rStyle w:val="35"/>
          <w:rFonts w:ascii="黑体" w:hAnsi="黑体" w:eastAsia="黑体"/>
          <w:b w:val="0"/>
          <w:color w:val="auto"/>
          <w:highlight w:val="none"/>
        </w:rPr>
      </w:pPr>
    </w:p>
    <w:p>
      <w:pPr>
        <w:widowControl/>
        <w:jc w:val="left"/>
        <w:rPr>
          <w:rStyle w:val="35"/>
          <w:rFonts w:ascii="黑体" w:hAnsi="黑体" w:eastAsia="黑体"/>
          <w:b w:val="0"/>
          <w:color w:val="auto"/>
          <w:highlight w:val="none"/>
        </w:rPr>
      </w:pPr>
    </w:p>
    <w:p>
      <w:pPr>
        <w:widowControl/>
        <w:jc w:val="left"/>
        <w:rPr>
          <w:rStyle w:val="35"/>
          <w:rFonts w:ascii="黑体" w:hAnsi="黑体" w:eastAsia="黑体"/>
          <w:b w:val="0"/>
          <w:color w:val="auto"/>
          <w:highlight w:val="none"/>
        </w:rPr>
      </w:pPr>
    </w:p>
    <w:p>
      <w:pPr>
        <w:widowControl/>
        <w:jc w:val="left"/>
        <w:rPr>
          <w:rStyle w:val="35"/>
          <w:rFonts w:ascii="黑体" w:hAnsi="黑体" w:eastAsia="黑体"/>
          <w:b w:val="0"/>
          <w:color w:val="auto"/>
          <w:highlight w:val="none"/>
        </w:rPr>
      </w:pPr>
    </w:p>
    <w:p>
      <w:pPr>
        <w:widowControl/>
        <w:jc w:val="left"/>
        <w:rPr>
          <w:rStyle w:val="35"/>
          <w:rFonts w:ascii="黑体" w:hAnsi="黑体" w:eastAsia="黑体"/>
          <w:b w:val="0"/>
          <w:color w:val="auto"/>
          <w:highlight w:val="none"/>
        </w:rPr>
      </w:pPr>
    </w:p>
    <w:p>
      <w:pPr>
        <w:widowControl/>
        <w:jc w:val="left"/>
        <w:rPr>
          <w:rStyle w:val="35"/>
          <w:rFonts w:ascii="黑体" w:hAnsi="黑体" w:eastAsia="黑体"/>
          <w:b w:val="0"/>
          <w:color w:val="auto"/>
          <w:highlight w:val="none"/>
        </w:rPr>
      </w:pPr>
    </w:p>
    <w:p>
      <w:pPr>
        <w:widowControl/>
        <w:jc w:val="left"/>
        <w:rPr>
          <w:rStyle w:val="35"/>
          <w:rFonts w:ascii="黑体" w:hAnsi="黑体" w:eastAsia="黑体"/>
          <w:b w:val="0"/>
          <w:color w:val="auto"/>
          <w:highlight w:val="none"/>
        </w:rPr>
      </w:pPr>
    </w:p>
    <w:p>
      <w:pPr>
        <w:widowControl/>
        <w:jc w:val="left"/>
        <w:rPr>
          <w:rStyle w:val="35"/>
          <w:rFonts w:ascii="黑体" w:hAnsi="黑体" w:eastAsia="黑体"/>
          <w:b w:val="0"/>
          <w:color w:val="auto"/>
          <w:highlight w:val="none"/>
        </w:rPr>
      </w:pPr>
    </w:p>
    <w:p>
      <w:pPr>
        <w:widowControl/>
        <w:jc w:val="left"/>
        <w:rPr>
          <w:rStyle w:val="35"/>
          <w:rFonts w:ascii="黑体" w:hAnsi="黑体" w:eastAsia="黑体"/>
          <w:b w:val="0"/>
          <w:color w:val="auto"/>
          <w:highlight w:val="none"/>
        </w:rPr>
      </w:pPr>
    </w:p>
    <w:p>
      <w:pPr>
        <w:pStyle w:val="6"/>
        <w:rPr>
          <w:rFonts w:hint="eastAsia" w:eastAsia="仿宋_GB2312"/>
          <w:color w:val="auto"/>
          <w:sz w:val="32"/>
          <w:szCs w:val="32"/>
          <w:highlight w:val="none"/>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4</w:t>
      </w:r>
    </w:p>
    <w:p>
      <w:pPr>
        <w:pStyle w:val="34"/>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color w:val="auto"/>
          <w:kern w:val="2"/>
          <w:sz w:val="32"/>
          <w:szCs w:val="32"/>
          <w:highlight w:val="none"/>
        </w:rPr>
      </w:pPr>
      <w:r>
        <w:rPr>
          <w:rFonts w:hint="eastAsia" w:eastAsia="方正小标宋简体"/>
          <w:b/>
          <w:sz w:val="44"/>
          <w:szCs w:val="44"/>
          <w:shd w:val="clear" w:color="auto" w:fill="FFFFFF"/>
          <w:lang w:eastAsia="zh-CN"/>
        </w:rPr>
        <w:t>万源市交通运输局</w:t>
      </w:r>
      <w:r>
        <w:rPr>
          <w:rFonts w:hint="eastAsia" w:eastAsia="方正小标宋简体"/>
          <w:b/>
          <w:sz w:val="44"/>
          <w:szCs w:val="44"/>
          <w:shd w:val="clear" w:color="auto" w:fill="FFFFFF"/>
          <w:lang w:val="en-US" w:eastAsia="zh-CN"/>
        </w:rPr>
        <w:t>2023年</w:t>
      </w:r>
      <w:r>
        <w:rPr>
          <w:rFonts w:hint="eastAsia" w:eastAsia="方正小标宋简体"/>
          <w:b/>
          <w:sz w:val="44"/>
          <w:szCs w:val="44"/>
          <w:shd w:val="clear" w:color="auto" w:fill="FFFFFF"/>
          <w:lang w:eastAsia="zh-CN"/>
        </w:rPr>
        <w:t>安全管理工作经费项目</w:t>
      </w:r>
      <w:r>
        <w:rPr>
          <w:rFonts w:eastAsia="方正小标宋简体"/>
          <w:b/>
          <w:sz w:val="44"/>
          <w:szCs w:val="44"/>
          <w:shd w:val="clear" w:color="auto" w:fill="FFFFFF"/>
        </w:rPr>
        <w:t>绩效自评报告</w:t>
      </w: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lang w:val="zh-CN"/>
        </w:rPr>
      </w:pPr>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（一）项目基本情况。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Times New Roman" w:hAnsi="Times New Roman" w:eastAsia="仿宋_GB2312" w:cs="Times New Roman"/>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2023年，万源市交通运输局安全管理工作经费项目年初预算资金5万元，该资金主要</w:t>
      </w:r>
      <w:r>
        <w:rPr>
          <w:rFonts w:hint="eastAsia" w:ascii="Times New Roman" w:hAnsi="Times New Roman" w:eastAsia="仿宋_GB2312" w:cs="Times New Roman"/>
          <w:sz w:val="32"/>
          <w:szCs w:val="32"/>
          <w:lang w:val="en-US" w:eastAsia="zh-CN"/>
        </w:rPr>
        <w:t>用于保障全市交通管理工作经费</w:t>
      </w:r>
      <w:r>
        <w:rPr>
          <w:rFonts w:hint="eastAsia" w:eastAsia="仿宋_GB2312" w:cs="Times New Roman"/>
          <w:sz w:val="32"/>
          <w:szCs w:val="32"/>
          <w:lang w:val="en-US" w:eastAsia="zh-CN"/>
        </w:rPr>
        <w:t>。</w:t>
      </w:r>
    </w:p>
    <w:p>
      <w:pPr>
        <w:keepNext w:val="0"/>
        <w:keepLines w:val="0"/>
        <w:pageBreakBefore w:val="0"/>
        <w:numPr>
          <w:ilvl w:val="0"/>
          <w:numId w:val="4"/>
        </w:numPr>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项目绩效目标。</w:t>
      </w:r>
    </w:p>
    <w:p>
      <w:pPr>
        <w:pStyle w:val="6"/>
        <w:numPr>
          <w:ilvl w:val="0"/>
          <w:numId w:val="0"/>
        </w:numPr>
        <w:rPr>
          <w:rFonts w:hint="default" w:eastAsia="仿宋_GB2312"/>
          <w:lang w:val="en-US" w:eastAsia="zh-CN"/>
        </w:rPr>
      </w:pPr>
      <w:r>
        <w:rPr>
          <w:rFonts w:hint="eastAsia"/>
          <w:lang w:val="en-US" w:eastAsia="zh-CN"/>
        </w:rPr>
        <w:t xml:space="preserve">  </w:t>
      </w:r>
      <w:r>
        <w:rPr>
          <w:rFonts w:hint="eastAsia" w:ascii="仿宋_GB2312" w:hAnsi="仿宋_GB2312" w:eastAsia="仿宋_GB2312" w:cs="仿宋_GB2312"/>
          <w:color w:val="auto"/>
          <w:kern w:val="0"/>
          <w:sz w:val="32"/>
          <w:szCs w:val="32"/>
          <w:highlight w:val="none"/>
          <w:u w:val="none"/>
          <w:shd w:val="clear" w:color="auto" w:fill="FFFFFF"/>
          <w:lang w:val="en-US" w:eastAsia="zh-CN" w:bidi="ar-SA"/>
        </w:rPr>
        <w:t xml:space="preserve">  通过项目实施，保障全市交通运输安全检查工作正常开展</w:t>
      </w:r>
      <w:r>
        <w:rPr>
          <w:rFonts w:hint="eastAsia" w:hAnsi="仿宋_GB2312" w:cs="仿宋_GB2312"/>
          <w:color w:val="auto"/>
          <w:kern w:val="0"/>
          <w:sz w:val="32"/>
          <w:szCs w:val="32"/>
          <w:highlight w:val="none"/>
          <w:u w:val="none"/>
          <w:shd w:val="clear" w:color="auto" w:fill="FFFFFF"/>
          <w:lang w:val="en-US" w:eastAsia="zh-CN" w:bidi="ar-SA"/>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（三）项目自评步骤及方法。</w:t>
      </w:r>
    </w:p>
    <w:p>
      <w:pPr>
        <w:adjustRightInd w:val="0"/>
        <w:snapToGrid w:val="0"/>
        <w:spacing w:line="520" w:lineRule="exact"/>
        <w:rPr>
          <w:rFonts w:hint="default" w:ascii="Times New Roman" w:hAnsi="Times New Roman" w:eastAsia="仿宋_GB2312" w:cs="Times New Roman"/>
          <w:sz w:val="32"/>
          <w:szCs w:val="32"/>
          <w:lang w:val="en-US" w:eastAsia="zh-CN"/>
        </w:rPr>
      </w:pPr>
      <w:r>
        <w:rPr>
          <w:rFonts w:hint="eastAsia" w:eastAsia="仿宋_GB2312"/>
          <w:sz w:val="32"/>
          <w:szCs w:val="32"/>
          <w:lang w:val="en-US" w:eastAsia="zh-CN"/>
        </w:rPr>
        <w:t xml:space="preserve">    </w:t>
      </w:r>
      <w:r>
        <w:rPr>
          <w:rFonts w:hint="eastAsia" w:ascii="Times New Roman" w:hAnsi="Times New Roman" w:eastAsia="仿宋_GB2312" w:cs="Times New Roman"/>
          <w:sz w:val="32"/>
          <w:szCs w:val="32"/>
          <w:lang w:val="en-US" w:eastAsia="zh-CN"/>
        </w:rPr>
        <w:t>主要设置项目完成、效益指标、满意度指标等绩效指标，绩效目标和绩效指标可量化可考核（资金至年底支付进度需达到</w:t>
      </w:r>
      <w:r>
        <w:rPr>
          <w:rFonts w:hint="default" w:ascii="Times New Roman" w:hAnsi="Times New Roman" w:eastAsia="仿宋_GB2312" w:cs="Times New Roman"/>
          <w:sz w:val="32"/>
          <w:szCs w:val="32"/>
          <w:lang w:val="en-US" w:eastAsia="zh-CN"/>
        </w:rPr>
        <w:t>100%），相互匹配、全面完整，契合项目实质，与年度工作目标相一致，产出和效果相关联，满意度指标预测≥9</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二、项目资金申报及使用情况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（一）项目资金申报及批复情况。</w:t>
      </w:r>
    </w:p>
    <w:p>
      <w:pPr>
        <w:adjustRightInd w:val="0"/>
        <w:snapToGrid w:val="0"/>
        <w:spacing w:line="52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zh-CN" w:eastAsia="zh-CN"/>
        </w:rPr>
        <w:t>万源市交通运输局</w:t>
      </w:r>
      <w:r>
        <w:rPr>
          <w:rFonts w:hint="eastAsia" w:ascii="仿宋_GB2312" w:hAnsi="仿宋_GB2312" w:eastAsia="仿宋_GB2312" w:cs="仿宋_GB2312"/>
          <w:color w:val="auto"/>
          <w:kern w:val="0"/>
          <w:sz w:val="32"/>
          <w:szCs w:val="32"/>
          <w:highlight w:val="none"/>
          <w:u w:val="none"/>
          <w:shd w:val="clear" w:color="auto" w:fill="FFFFFF"/>
          <w:lang w:val="en-US" w:eastAsia="zh-CN"/>
        </w:rPr>
        <w:t>安全管理工作经费</w:t>
      </w:r>
      <w:r>
        <w:rPr>
          <w:rFonts w:hint="eastAsia" w:ascii="Times New Roman" w:hAnsi="Times New Roman" w:eastAsia="仿宋_GB2312" w:cs="Times New Roman"/>
          <w:sz w:val="32"/>
          <w:szCs w:val="32"/>
          <w:lang w:val="zh-CN" w:eastAsia="zh-CN"/>
        </w:rPr>
        <w:t>资金在年初预算中申报</w:t>
      </w:r>
      <w:r>
        <w:rPr>
          <w:rFonts w:hint="eastAsia" w:eastAsia="仿宋_GB2312" w:cs="Times New Roman"/>
          <w:sz w:val="32"/>
          <w:szCs w:val="32"/>
          <w:lang w:val="zh-CN" w:eastAsia="zh-CN"/>
        </w:rPr>
        <w:t>，</w:t>
      </w:r>
      <w:r>
        <w:rPr>
          <w:rFonts w:hint="eastAsia" w:eastAsia="仿宋_GB2312" w:cs="Times New Roman"/>
          <w:sz w:val="32"/>
          <w:szCs w:val="32"/>
          <w:lang w:val="en-US" w:eastAsia="zh-CN"/>
        </w:rPr>
        <w:t>2023年度预算5万元，下达资金5万元，2023年度共计使用资金5万元。</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（二）资金计划、到位及使用情况。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zh-CN"/>
        </w:rPr>
        <w:t>1．资金计划。</w:t>
      </w:r>
      <w:r>
        <w:rPr>
          <w:rFonts w:hint="eastAsia" w:ascii="仿宋_GB2312" w:hAnsi="仿宋_GB2312" w:eastAsia="仿宋_GB2312" w:cs="仿宋_GB2312"/>
          <w:color w:val="auto"/>
          <w:kern w:val="0"/>
          <w:sz w:val="32"/>
          <w:szCs w:val="32"/>
          <w:highlight w:val="none"/>
          <w:u w:val="none"/>
          <w:shd w:val="clear" w:color="auto" w:fill="FFFFFF"/>
          <w:lang w:val="en-US" w:eastAsia="zh-CN"/>
        </w:rPr>
        <w:t>安全管理工作经费</w:t>
      </w:r>
      <w:r>
        <w:rPr>
          <w:rFonts w:hint="eastAsia" w:ascii="Times New Roman" w:hAnsi="Times New Roman" w:eastAsia="仿宋_GB2312" w:cs="Times New Roman"/>
          <w:sz w:val="32"/>
          <w:szCs w:val="32"/>
          <w:lang w:val="zh-CN" w:eastAsia="zh-CN"/>
        </w:rPr>
        <w:t>资金</w:t>
      </w:r>
      <w:r>
        <w:rPr>
          <w:rFonts w:hint="eastAsia" w:eastAsia="仿宋_GB2312" w:cs="Times New Roman"/>
          <w:sz w:val="32"/>
          <w:szCs w:val="32"/>
          <w:lang w:val="zh-CN" w:eastAsia="zh-CN"/>
        </w:rPr>
        <w:t>由财政局下达，我单位通过预算申报资金</w:t>
      </w:r>
      <w:r>
        <w:rPr>
          <w:rFonts w:hint="eastAsia" w:eastAsia="仿宋_GB2312" w:cs="Times New Roman"/>
          <w:sz w:val="32"/>
          <w:szCs w:val="32"/>
          <w:lang w:val="en-US" w:eastAsia="zh-CN"/>
        </w:rPr>
        <w:t>5万元。</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仿宋_GB2312" w:hAnsi="仿宋_GB2312" w:eastAsia="仿宋_GB2312" w:cs="仿宋_GB2312"/>
          <w:color w:val="auto"/>
          <w:kern w:val="0"/>
          <w:sz w:val="32"/>
          <w:szCs w:val="32"/>
          <w:highlight w:val="none"/>
          <w:u w:val="none"/>
          <w:shd w:val="clear" w:color="auto" w:fill="FFFFFF"/>
          <w:lang w:val="en-US"/>
        </w:rPr>
      </w:pPr>
      <w:r>
        <w:rPr>
          <w:rFonts w:hint="eastAsia" w:ascii="仿宋_GB2312" w:hAnsi="仿宋_GB2312" w:eastAsia="仿宋_GB2312" w:cs="仿宋_GB2312"/>
          <w:color w:val="auto"/>
          <w:kern w:val="0"/>
          <w:sz w:val="32"/>
          <w:szCs w:val="32"/>
          <w:highlight w:val="none"/>
          <w:u w:val="none"/>
          <w:shd w:val="clear" w:color="auto" w:fill="FFFFFF"/>
          <w:lang w:val="zh-CN"/>
        </w:rPr>
        <w:t>2．资金到位。</w:t>
      </w:r>
      <w:r>
        <w:rPr>
          <w:rFonts w:hint="eastAsia" w:ascii="仿宋_GB2312" w:hAnsi="仿宋_GB2312" w:eastAsia="仿宋_GB2312" w:cs="仿宋_GB2312"/>
          <w:color w:val="auto"/>
          <w:kern w:val="0"/>
          <w:sz w:val="32"/>
          <w:szCs w:val="32"/>
          <w:highlight w:val="none"/>
          <w:u w:val="none"/>
          <w:shd w:val="clear" w:color="auto" w:fill="FFFFFF"/>
          <w:lang w:val="en-US" w:eastAsia="zh-CN"/>
        </w:rPr>
        <w:t>安全管理工作经费</w:t>
      </w:r>
      <w:r>
        <w:rPr>
          <w:rFonts w:hint="eastAsia" w:ascii="Times New Roman" w:hAnsi="Times New Roman" w:eastAsia="仿宋_GB2312" w:cs="Times New Roman"/>
          <w:sz w:val="32"/>
          <w:szCs w:val="32"/>
          <w:lang w:val="zh-CN" w:eastAsia="zh-CN"/>
        </w:rPr>
        <w:t>资金在</w:t>
      </w:r>
      <w:r>
        <w:rPr>
          <w:rFonts w:hint="eastAsia" w:eastAsia="仿宋_GB2312" w:cs="Times New Roman"/>
          <w:sz w:val="32"/>
          <w:szCs w:val="32"/>
          <w:lang w:val="zh-CN" w:eastAsia="zh-CN"/>
        </w:rPr>
        <w:t>预算一体化平台下达</w:t>
      </w:r>
      <w:r>
        <w:rPr>
          <w:rFonts w:hint="eastAsia" w:eastAsia="仿宋_GB2312" w:cs="Times New Roman"/>
          <w:sz w:val="32"/>
          <w:szCs w:val="32"/>
          <w:lang w:val="en-US" w:eastAsia="zh-CN"/>
        </w:rPr>
        <w:t>5万元。</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zh-CN"/>
        </w:rPr>
        <w:t>3．资金使用。</w:t>
      </w:r>
      <w:r>
        <w:rPr>
          <w:rFonts w:hint="eastAsia" w:ascii="仿宋_GB2312" w:hAnsi="仿宋_GB2312" w:eastAsia="仿宋_GB2312" w:cs="仿宋_GB2312"/>
          <w:color w:val="auto"/>
          <w:kern w:val="0"/>
          <w:sz w:val="32"/>
          <w:szCs w:val="32"/>
          <w:highlight w:val="none"/>
          <w:u w:val="none"/>
          <w:shd w:val="clear" w:color="auto" w:fill="FFFFFF"/>
          <w:lang w:val="en-US" w:eastAsia="zh-CN"/>
        </w:rPr>
        <w:t>2023年度安全管理工作经费资金使用5万元。</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（三）项目财务管理情况。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我单位财务管理制度健全，严格执行财务管理制度，账务处理及时，会计核算规范。</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三、项目实施及管理情况</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643" w:firstLineChars="20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（一）项目组织架构及实施流程。</w:t>
      </w:r>
    </w:p>
    <w:p>
      <w:pPr>
        <w:keepNext w:val="0"/>
        <w:keepLines w:val="0"/>
        <w:pageBreakBefore w:val="0"/>
        <w:numPr>
          <w:ilvl w:val="0"/>
          <w:numId w:val="0"/>
        </w:numPr>
        <w:kinsoku/>
        <w:wordWrap/>
        <w:overflowPunct/>
        <w:topLinePunct w:val="0"/>
        <w:autoSpaceDE/>
        <w:autoSpaceDN/>
        <w:bidi w:val="0"/>
        <w:adjustRightInd w:val="0"/>
        <w:snapToGrid w:val="0"/>
        <w:spacing w:line="578" w:lineRule="exact"/>
        <w:textAlignment w:val="auto"/>
        <w:rPr>
          <w:rFonts w:hint="default" w:ascii="楷体_GB2312" w:hAnsi="宋体" w:eastAsia="楷体_GB2312"/>
          <w:b/>
          <w:color w:val="auto"/>
          <w:sz w:val="32"/>
          <w:szCs w:val="32"/>
          <w:highlight w:val="none"/>
          <w:u w:val="none"/>
          <w:lang w:val="en-US" w:eastAsia="zh-CN"/>
        </w:rPr>
      </w:pPr>
      <w:r>
        <w:rPr>
          <w:rFonts w:hint="eastAsia" w:ascii="楷体_GB2312" w:hAnsi="宋体" w:eastAsia="楷体_GB2312"/>
          <w:b/>
          <w:color w:val="auto"/>
          <w:sz w:val="32"/>
          <w:szCs w:val="32"/>
          <w:highlight w:val="none"/>
          <w:u w:val="none"/>
          <w:lang w:val="en-US" w:eastAsia="zh-CN"/>
        </w:rPr>
        <w:t xml:space="preserve">   </w:t>
      </w:r>
      <w:r>
        <w:rPr>
          <w:rFonts w:hint="eastAsia" w:ascii="仿宋_GB2312" w:hAnsi="仿宋_GB2312" w:eastAsia="仿宋_GB2312" w:cs="仿宋_GB2312"/>
          <w:color w:val="auto"/>
          <w:kern w:val="0"/>
          <w:sz w:val="32"/>
          <w:szCs w:val="32"/>
          <w:highlight w:val="none"/>
          <w:u w:val="none"/>
          <w:shd w:val="clear" w:color="auto" w:fill="FFFFFF"/>
          <w:lang w:val="en-US" w:eastAsia="zh-CN"/>
        </w:rPr>
        <w:t>安全管理工作经费资金的具体申报、支付等按照财务相关程序实施。</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楷体_GB2312" w:hAnsi="宋体" w:eastAsia="楷体_GB2312"/>
          <w:b/>
          <w:color w:val="auto"/>
          <w:sz w:val="32"/>
          <w:szCs w:val="32"/>
          <w:highlight w:val="none"/>
          <w:u w:val="none"/>
          <w:lang w:val="zh-CN"/>
        </w:rPr>
        <w:t>（二）项目管理情况。</w:t>
      </w:r>
      <w:r>
        <w:rPr>
          <w:rFonts w:hint="eastAsia" w:ascii="楷体_GB2312" w:hAnsi="宋体" w:eastAsia="楷体_GB2312"/>
          <w:b/>
          <w:color w:val="auto"/>
          <w:sz w:val="32"/>
          <w:szCs w:val="32"/>
          <w:highlight w:val="none"/>
          <w:u w:val="none"/>
          <w:lang w:val="en-US" w:eastAsia="zh-CN"/>
        </w:rPr>
        <w:t xml:space="preserve"> </w:t>
      </w:r>
      <w:r>
        <w:rPr>
          <w:rFonts w:hint="eastAsia" w:ascii="仿宋_GB2312" w:hAnsi="仿宋_GB2312" w:eastAsia="仿宋_GB2312" w:cs="仿宋_GB2312"/>
          <w:color w:val="auto"/>
          <w:kern w:val="0"/>
          <w:sz w:val="32"/>
          <w:szCs w:val="32"/>
          <w:highlight w:val="none"/>
          <w:u w:val="none"/>
          <w:shd w:val="clear" w:color="auto" w:fill="FFFFFF"/>
          <w:lang w:val="en-US" w:eastAsia="zh-CN"/>
        </w:rPr>
        <w:t>交通管理工作经费</w:t>
      </w:r>
      <w:r>
        <w:rPr>
          <w:rFonts w:hint="eastAsia" w:ascii="仿宋_GB2312" w:hAnsi="仿宋_GB2312" w:eastAsia="仿宋_GB2312" w:cs="仿宋_GB2312"/>
          <w:color w:val="auto"/>
          <w:kern w:val="0"/>
          <w:sz w:val="32"/>
          <w:szCs w:val="32"/>
          <w:highlight w:val="none"/>
          <w:u w:val="none"/>
          <w:shd w:val="clear" w:color="auto" w:fill="FFFFFF"/>
          <w:lang w:val="zh-CN"/>
        </w:rPr>
        <w:t>资金严格执行相关法律法规</w:t>
      </w:r>
      <w:r>
        <w:rPr>
          <w:rFonts w:hint="eastAsia" w:ascii="仿宋_GB2312" w:hAnsi="仿宋_GB2312" w:cs="仿宋_GB2312"/>
          <w:color w:val="auto"/>
          <w:kern w:val="0"/>
          <w:sz w:val="32"/>
          <w:szCs w:val="32"/>
          <w:highlight w:val="none"/>
          <w:u w:val="none"/>
          <w:shd w:val="clear" w:color="auto" w:fill="FFFFFF"/>
          <w:lang w:val="zh-CN"/>
        </w:rPr>
        <w:t>、</w:t>
      </w:r>
      <w:r>
        <w:rPr>
          <w:rFonts w:hint="eastAsia" w:ascii="仿宋_GB2312" w:hAnsi="仿宋_GB2312" w:eastAsia="仿宋_GB2312" w:cs="仿宋_GB2312"/>
          <w:color w:val="auto"/>
          <w:kern w:val="0"/>
          <w:sz w:val="32"/>
          <w:szCs w:val="32"/>
          <w:highlight w:val="none"/>
          <w:u w:val="none"/>
          <w:shd w:val="clear" w:color="auto" w:fill="FFFFFF"/>
          <w:lang w:val="zh-CN"/>
        </w:rPr>
        <w:t>项目管理制度等，如招投标、政府采购、项目公示制等相关规定。</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楷体_GB2312" w:hAnsi="宋体" w:eastAsia="楷体_GB2312"/>
          <w:b/>
          <w:color w:val="auto"/>
          <w:sz w:val="32"/>
          <w:szCs w:val="32"/>
          <w:highlight w:val="none"/>
          <w:u w:val="none"/>
          <w:lang w:val="zh-CN"/>
        </w:rPr>
        <w:t>（三）项目监管情况。</w:t>
      </w:r>
      <w:r>
        <w:rPr>
          <w:rFonts w:hint="eastAsia" w:ascii="楷体_GB2312" w:hAnsi="宋体" w:eastAsia="楷体_GB2312"/>
          <w:b/>
          <w:color w:val="auto"/>
          <w:sz w:val="32"/>
          <w:szCs w:val="32"/>
          <w:highlight w:val="none"/>
          <w:u w:val="none"/>
          <w:lang w:val="en-US" w:eastAsia="zh-CN"/>
        </w:rPr>
        <w:t xml:space="preserve"> </w:t>
      </w:r>
      <w:r>
        <w:rPr>
          <w:rFonts w:hint="eastAsia" w:ascii="仿宋_GB2312" w:hAnsi="仿宋_GB2312" w:eastAsia="仿宋_GB2312" w:cs="仿宋_GB2312"/>
          <w:color w:val="auto"/>
          <w:kern w:val="0"/>
          <w:sz w:val="32"/>
          <w:szCs w:val="32"/>
          <w:highlight w:val="none"/>
          <w:u w:val="none"/>
          <w:shd w:val="clear" w:color="auto" w:fill="FFFFFF"/>
          <w:lang w:val="en-US" w:eastAsia="zh-CN"/>
        </w:rPr>
        <w:t>安全管理工作经费</w:t>
      </w:r>
      <w:r>
        <w:rPr>
          <w:rFonts w:hint="eastAsia" w:ascii="仿宋_GB2312" w:hAnsi="仿宋_GB2312" w:eastAsia="仿宋_GB2312" w:cs="仿宋_GB2312"/>
          <w:color w:val="auto"/>
          <w:kern w:val="0"/>
          <w:sz w:val="32"/>
          <w:szCs w:val="32"/>
          <w:highlight w:val="none"/>
          <w:u w:val="none"/>
          <w:shd w:val="clear" w:color="auto" w:fill="FFFFFF"/>
          <w:lang w:val="zh-CN"/>
        </w:rPr>
        <w:t>资金由财政局监管，资金使用旭财政局审批，财政局不定期检查。</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四、项目绩效情况</w:t>
      </w:r>
      <w:r>
        <w:rPr>
          <w:rFonts w:hint="eastAsia" w:ascii="仿宋_GB2312" w:hAnsi="宋体"/>
          <w:color w:val="auto"/>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（一）项目完成情况。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3" w:firstLineChars="200"/>
        <w:contextualSpacing/>
        <w:jc w:val="both"/>
        <w:textAlignment w:val="auto"/>
        <w:rPr>
          <w:rFonts w:hint="eastAsia" w:ascii="仿宋_GB2312" w:hAnsi="仿宋_GB2312" w:eastAsia="仿宋_GB2312" w:cs="仿宋_GB2312"/>
          <w:b w:val="0"/>
          <w:color w:val="auto"/>
          <w:kern w:val="0"/>
          <w:sz w:val="32"/>
          <w:szCs w:val="32"/>
          <w:highlight w:val="none"/>
          <w:u w:val="none"/>
          <w:shd w:val="clear" w:color="auto" w:fill="FFFFFF"/>
          <w:lang w:val="zh-CN"/>
        </w:rPr>
      </w:pPr>
      <w:r>
        <w:rPr>
          <w:rFonts w:hint="eastAsia" w:ascii="楷体_GB2312" w:hAnsi="宋体" w:eastAsia="楷体_GB2312"/>
          <w:b/>
          <w:color w:val="auto"/>
          <w:sz w:val="32"/>
          <w:szCs w:val="32"/>
          <w:highlight w:val="none"/>
          <w:u w:val="none"/>
          <w:lang w:val="en-US" w:eastAsia="zh-CN"/>
        </w:rPr>
        <w:t xml:space="preserve"> </w:t>
      </w:r>
      <w:r>
        <w:rPr>
          <w:rFonts w:hint="eastAsia" w:ascii="仿宋_GB2312" w:hAnsi="仿宋_GB2312" w:eastAsia="仿宋_GB2312" w:cs="仿宋_GB2312"/>
          <w:color w:val="auto"/>
          <w:kern w:val="0"/>
          <w:sz w:val="32"/>
          <w:szCs w:val="32"/>
          <w:highlight w:val="none"/>
          <w:u w:val="none"/>
          <w:shd w:val="clear" w:color="auto" w:fill="FFFFFF"/>
          <w:lang w:val="en-US" w:eastAsia="zh-CN"/>
        </w:rPr>
        <w:t>安全管理工作经费资金</w:t>
      </w:r>
      <w:r>
        <w:rPr>
          <w:rFonts w:hint="eastAsia" w:ascii="仿宋_GB2312" w:hAnsi="仿宋_GB2312" w:eastAsia="仿宋_GB2312" w:cs="仿宋_GB2312"/>
          <w:color w:val="auto"/>
          <w:kern w:val="0"/>
          <w:sz w:val="32"/>
          <w:szCs w:val="32"/>
          <w:highlight w:val="none"/>
          <w:u w:val="none"/>
          <w:shd w:val="clear" w:color="auto" w:fill="FFFFFF"/>
          <w:lang w:val="zh-CN"/>
        </w:rPr>
        <w:t>完成数量、质量、时效、成本等指标情况均完成年初绩效预算指标。</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（二）项目效益情况。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该</w:t>
      </w:r>
      <w:r>
        <w:rPr>
          <w:rFonts w:hint="eastAsia" w:ascii="仿宋_GB2312" w:hAnsi="仿宋_GB2312" w:eastAsia="仿宋_GB2312" w:cs="仿宋_GB2312"/>
          <w:color w:val="auto"/>
          <w:kern w:val="0"/>
          <w:sz w:val="32"/>
          <w:szCs w:val="32"/>
          <w:highlight w:val="none"/>
          <w:u w:val="none"/>
          <w:shd w:val="clear" w:color="auto" w:fill="FFFFFF"/>
          <w:lang w:val="zh-CN"/>
        </w:rPr>
        <w:t>项目经济效益、社会效益、生态效益、可持续效益以及服务对象满意度等方面完成年初绩效预算指标。</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五、评价结论及建议</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（一）评价结论。</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安全管理工作经费项目绩效自评结果准确，质量高。</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（二）存在的问题。</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无</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（三）相关建议。</w:t>
      </w:r>
    </w:p>
    <w:p>
      <w:pPr>
        <w:autoSpaceDE w:val="0"/>
        <w:autoSpaceDN w:val="0"/>
        <w:adjustRightInd w:val="0"/>
        <w:spacing w:line="600" w:lineRule="exact"/>
        <w:ind w:firstLine="640" w:firstLineChars="200"/>
        <w:jc w:val="both"/>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无</w:t>
      </w:r>
    </w:p>
    <w:p>
      <w:pPr>
        <w:widowControl/>
        <w:jc w:val="left"/>
        <w:rPr>
          <w:rStyle w:val="35"/>
          <w:rFonts w:ascii="黑体" w:hAnsi="黑体" w:eastAsia="黑体"/>
          <w:b w:val="0"/>
          <w:color w:val="auto"/>
          <w:highlight w:val="none"/>
        </w:rPr>
      </w:pPr>
    </w:p>
    <w:p>
      <w:pPr>
        <w:widowControl/>
        <w:jc w:val="left"/>
        <w:rPr>
          <w:rStyle w:val="35"/>
          <w:rFonts w:ascii="黑体" w:hAnsi="黑体" w:eastAsia="黑体"/>
          <w:b w:val="0"/>
          <w:color w:val="auto"/>
          <w:highlight w:val="none"/>
        </w:rPr>
      </w:pPr>
    </w:p>
    <w:p>
      <w:pPr>
        <w:widowControl/>
        <w:jc w:val="left"/>
        <w:rPr>
          <w:rStyle w:val="35"/>
          <w:rFonts w:ascii="黑体" w:hAnsi="黑体" w:eastAsia="黑体"/>
          <w:b w:val="0"/>
          <w:color w:val="auto"/>
          <w:highlight w:val="none"/>
        </w:rPr>
      </w:pPr>
    </w:p>
    <w:p>
      <w:pPr>
        <w:rPr>
          <w:rFonts w:hint="eastAsia" w:ascii="黑体" w:hAnsi="黑体" w:eastAsia="黑体"/>
          <w:sz w:val="32"/>
          <w:szCs w:val="32"/>
        </w:rPr>
      </w:pPr>
    </w:p>
    <w:p>
      <w:pPr>
        <w:rPr>
          <w:rFonts w:hint="eastAsia" w:ascii="黑体" w:hAnsi="黑体" w:eastAsia="黑体"/>
          <w:sz w:val="32"/>
          <w:szCs w:val="32"/>
        </w:rPr>
      </w:pPr>
    </w:p>
    <w:p>
      <w:pPr>
        <w:pStyle w:val="2"/>
        <w:jc w:val="both"/>
        <w:rPr>
          <w:rFonts w:hint="eastAsia" w:ascii="黑体" w:hAnsi="黑体" w:eastAsia="黑体"/>
        </w:rPr>
      </w:pPr>
    </w:p>
    <w:p>
      <w:pPr>
        <w:pStyle w:val="2"/>
        <w:jc w:val="center"/>
        <w:rPr>
          <w:rFonts w:hint="eastAsia" w:ascii="黑体" w:hAnsi="黑体" w:eastAsia="黑体"/>
        </w:rPr>
      </w:pPr>
    </w:p>
    <w:p>
      <w:pPr>
        <w:pStyle w:val="2"/>
        <w:jc w:val="center"/>
        <w:rPr>
          <w:rFonts w:hint="eastAsia" w:ascii="黑体" w:hAnsi="黑体" w:eastAsia="黑体"/>
        </w:rPr>
      </w:pPr>
    </w:p>
    <w:p>
      <w:pPr>
        <w:pStyle w:val="2"/>
        <w:jc w:val="center"/>
        <w:rPr>
          <w:rFonts w:hint="eastAsia" w:ascii="黑体" w:hAnsi="黑体" w:eastAsia="黑体"/>
        </w:rPr>
      </w:pPr>
    </w:p>
    <w:p>
      <w:pPr>
        <w:rPr>
          <w:rFonts w:hint="eastAsia" w:ascii="黑体" w:hAnsi="黑体" w:eastAsia="黑体"/>
        </w:rPr>
      </w:pPr>
    </w:p>
    <w:p>
      <w:pPr>
        <w:rPr>
          <w:rFonts w:hint="eastAsia" w:ascii="黑体" w:hAnsi="黑体" w:eastAsia="黑体"/>
        </w:rPr>
      </w:pPr>
    </w:p>
    <w:p>
      <w:pPr>
        <w:rPr>
          <w:rFonts w:hint="eastAsia" w:ascii="黑体" w:hAnsi="黑体" w:eastAsia="黑体"/>
        </w:rPr>
      </w:pPr>
    </w:p>
    <w:p>
      <w:pPr>
        <w:pStyle w:val="2"/>
        <w:jc w:val="center"/>
        <w:rPr>
          <w:rFonts w:ascii="黑体" w:hAnsi="黑体" w:eastAsia="黑体"/>
        </w:rPr>
      </w:pPr>
      <w:r>
        <w:rPr>
          <w:rFonts w:hint="eastAsia" w:ascii="黑体" w:hAnsi="黑体" w:eastAsia="黑体"/>
        </w:rPr>
        <w:t>第五部分 附表</w:t>
      </w:r>
    </w:p>
    <w:p>
      <w:pPr>
        <w:rPr>
          <w:rFonts w:ascii="仿宋" w:hAnsi="仿宋" w:eastAsia="仿宋"/>
          <w:sz w:val="32"/>
          <w:szCs w:val="32"/>
        </w:rPr>
      </w:pPr>
      <w:r>
        <w:rPr>
          <w:rFonts w:hint="eastAsia" w:ascii="仿宋" w:hAnsi="仿宋" w:eastAsia="仿宋"/>
          <w:sz w:val="32"/>
          <w:szCs w:val="32"/>
        </w:rPr>
        <w:t>一、收入支出决算总表</w:t>
      </w:r>
    </w:p>
    <w:p>
      <w:pPr>
        <w:rPr>
          <w:rFonts w:ascii="仿宋" w:hAnsi="仿宋" w:eastAsia="仿宋"/>
          <w:sz w:val="32"/>
          <w:szCs w:val="32"/>
        </w:rPr>
      </w:pPr>
      <w:r>
        <w:rPr>
          <w:rFonts w:hint="eastAsia" w:ascii="仿宋" w:hAnsi="仿宋" w:eastAsia="仿宋"/>
          <w:sz w:val="32"/>
          <w:szCs w:val="32"/>
        </w:rPr>
        <w:t>二、收入决算表</w:t>
      </w:r>
    </w:p>
    <w:p>
      <w:pPr>
        <w:rPr>
          <w:rFonts w:ascii="仿宋" w:hAnsi="仿宋" w:eastAsia="仿宋"/>
          <w:sz w:val="32"/>
          <w:szCs w:val="32"/>
        </w:rPr>
      </w:pPr>
      <w:r>
        <w:rPr>
          <w:rFonts w:hint="eastAsia" w:ascii="仿宋" w:hAnsi="仿宋" w:eastAsia="仿宋"/>
          <w:sz w:val="32"/>
          <w:szCs w:val="32"/>
        </w:rPr>
        <w:t>三、支出决算表</w:t>
      </w:r>
    </w:p>
    <w:p>
      <w:pPr>
        <w:rPr>
          <w:rFonts w:ascii="仿宋" w:hAnsi="仿宋" w:eastAsia="仿宋"/>
          <w:sz w:val="32"/>
          <w:szCs w:val="32"/>
        </w:rPr>
      </w:pPr>
      <w:r>
        <w:rPr>
          <w:rFonts w:hint="eastAsia" w:ascii="仿宋" w:hAnsi="仿宋" w:eastAsia="仿宋"/>
          <w:sz w:val="32"/>
          <w:szCs w:val="32"/>
        </w:rPr>
        <w:t>四、财政拨款收入支出决算总表</w:t>
      </w:r>
    </w:p>
    <w:p>
      <w:pPr>
        <w:rPr>
          <w:rFonts w:ascii="仿宋" w:hAnsi="仿宋" w:eastAsia="仿宋"/>
          <w:sz w:val="32"/>
          <w:szCs w:val="32"/>
        </w:rPr>
      </w:pPr>
      <w:r>
        <w:rPr>
          <w:rFonts w:hint="eastAsia" w:ascii="仿宋" w:hAnsi="仿宋" w:eastAsia="仿宋"/>
          <w:sz w:val="32"/>
          <w:szCs w:val="32"/>
        </w:rPr>
        <w:t>五、财政拨款支出决算明细表</w:t>
      </w:r>
    </w:p>
    <w:p>
      <w:pPr>
        <w:rPr>
          <w:rFonts w:ascii="仿宋" w:hAnsi="仿宋" w:eastAsia="仿宋"/>
          <w:sz w:val="32"/>
          <w:szCs w:val="32"/>
        </w:rPr>
      </w:pPr>
      <w:r>
        <w:rPr>
          <w:rFonts w:hint="eastAsia" w:ascii="仿宋" w:hAnsi="仿宋" w:eastAsia="仿宋"/>
          <w:sz w:val="32"/>
          <w:szCs w:val="32"/>
        </w:rPr>
        <w:t>六、一般公共预算财政拨款支出决算表</w:t>
      </w:r>
    </w:p>
    <w:p>
      <w:pPr>
        <w:rPr>
          <w:rFonts w:ascii="仿宋" w:hAnsi="仿宋" w:eastAsia="仿宋"/>
          <w:sz w:val="32"/>
          <w:szCs w:val="32"/>
        </w:rPr>
      </w:pPr>
      <w:r>
        <w:rPr>
          <w:rFonts w:hint="eastAsia" w:ascii="仿宋" w:hAnsi="仿宋" w:eastAsia="仿宋"/>
          <w:sz w:val="32"/>
          <w:szCs w:val="32"/>
        </w:rPr>
        <w:t>七、一般公共预算财政拨款支出决算明细表</w:t>
      </w:r>
    </w:p>
    <w:p>
      <w:pPr>
        <w:rPr>
          <w:rFonts w:ascii="仿宋" w:hAnsi="仿宋" w:eastAsia="仿宋"/>
          <w:sz w:val="32"/>
          <w:szCs w:val="32"/>
        </w:rPr>
      </w:pPr>
      <w:r>
        <w:rPr>
          <w:rFonts w:hint="eastAsia" w:ascii="仿宋" w:hAnsi="仿宋" w:eastAsia="仿宋"/>
          <w:sz w:val="32"/>
          <w:szCs w:val="32"/>
        </w:rPr>
        <w:t>八、一般公共预算财政拨款基本支出决算表</w:t>
      </w:r>
    </w:p>
    <w:p>
      <w:pPr>
        <w:rPr>
          <w:rFonts w:ascii="仿宋" w:hAnsi="仿宋" w:eastAsia="仿宋"/>
          <w:sz w:val="32"/>
          <w:szCs w:val="32"/>
        </w:rPr>
      </w:pPr>
      <w:r>
        <w:rPr>
          <w:rFonts w:hint="eastAsia" w:ascii="仿宋" w:hAnsi="仿宋" w:eastAsia="仿宋"/>
          <w:sz w:val="32"/>
          <w:szCs w:val="32"/>
        </w:rPr>
        <w:t>九、一般公共预算财政拨款项目支出决算表</w:t>
      </w:r>
    </w:p>
    <w:p>
      <w:pPr>
        <w:rPr>
          <w:rFonts w:ascii="仿宋" w:hAnsi="仿宋" w:eastAsia="仿宋"/>
          <w:sz w:val="32"/>
          <w:szCs w:val="32"/>
        </w:rPr>
      </w:pPr>
      <w:r>
        <w:rPr>
          <w:rFonts w:hint="eastAsia" w:ascii="仿宋" w:hAnsi="仿宋" w:eastAsia="仿宋"/>
          <w:sz w:val="32"/>
          <w:szCs w:val="32"/>
        </w:rPr>
        <w:t>十、政府性基金预算财政拨款收入支出决算表</w:t>
      </w:r>
    </w:p>
    <w:p>
      <w:pPr>
        <w:rPr>
          <w:rFonts w:ascii="仿宋" w:hAnsi="仿宋" w:eastAsia="仿宋"/>
          <w:sz w:val="32"/>
          <w:szCs w:val="32"/>
        </w:rPr>
      </w:pPr>
      <w:r>
        <w:rPr>
          <w:rFonts w:hint="eastAsia" w:ascii="仿宋" w:hAnsi="仿宋" w:eastAsia="仿宋"/>
          <w:sz w:val="32"/>
          <w:szCs w:val="32"/>
        </w:rPr>
        <w:t>十一、国有资本经营预算财政拨款收入支出决算表</w:t>
      </w:r>
    </w:p>
    <w:p>
      <w:pPr>
        <w:rPr>
          <w:rFonts w:ascii="仿宋" w:hAnsi="仿宋" w:eastAsia="仿宋"/>
          <w:sz w:val="32"/>
          <w:szCs w:val="32"/>
        </w:rPr>
      </w:pPr>
      <w:r>
        <w:rPr>
          <w:rFonts w:hint="eastAsia" w:ascii="仿宋" w:hAnsi="仿宋" w:eastAsia="仿宋"/>
          <w:sz w:val="32"/>
          <w:szCs w:val="32"/>
        </w:rPr>
        <w:t>十二、国有资本经营预算财政拨款支出决算表</w:t>
      </w:r>
    </w:p>
    <w:p>
      <w:pPr>
        <w:rPr>
          <w:rFonts w:ascii="仿宋" w:hAnsi="仿宋" w:eastAsia="仿宋"/>
          <w:sz w:val="32"/>
          <w:szCs w:val="32"/>
        </w:rPr>
      </w:pPr>
      <w:r>
        <w:rPr>
          <w:rFonts w:hint="eastAsia" w:ascii="仿宋" w:hAnsi="仿宋" w:eastAsia="仿宋"/>
          <w:sz w:val="32"/>
          <w:szCs w:val="32"/>
        </w:rPr>
        <w:t>十三、财政拨款“三公”经费支出决算表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23</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8D0EA"/>
    <w:multiLevelType w:val="singleLevel"/>
    <w:tmpl w:val="8778D0EA"/>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92354BF"/>
    <w:multiLevelType w:val="singleLevel"/>
    <w:tmpl w:val="E92354BF"/>
    <w:lvl w:ilvl="0" w:tentative="0">
      <w:start w:val="2"/>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A0D7201"/>
    <w:multiLevelType w:val="singleLevel"/>
    <w:tmpl w:val="1A0D7201"/>
    <w:lvl w:ilvl="0" w:tentative="0">
      <w:start w:val="1"/>
      <w:numFmt w:val="chineseCounting"/>
      <w:suff w:val="nothing"/>
      <w:lvlText w:val="%1、"/>
      <w:lvlJc w:val="left"/>
      <w:rPr>
        <w:rFonts w:hint="eastAsi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VhMWM4ZjA3ZTNmZTg3ZWQyNjZiYTU0MTUzNGJkOGYifQ=="/>
  </w:docVars>
  <w:rsids>
    <w:rsidRoot w:val="00F1361C"/>
    <w:rsid w:val="00014A1C"/>
    <w:rsid w:val="000222C6"/>
    <w:rsid w:val="0002549F"/>
    <w:rsid w:val="00035392"/>
    <w:rsid w:val="000468DB"/>
    <w:rsid w:val="0006487A"/>
    <w:rsid w:val="00065F8F"/>
    <w:rsid w:val="00070A43"/>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30E5"/>
    <w:rsid w:val="00174518"/>
    <w:rsid w:val="0018106D"/>
    <w:rsid w:val="001877A7"/>
    <w:rsid w:val="00191536"/>
    <w:rsid w:val="00196687"/>
    <w:rsid w:val="001C0962"/>
    <w:rsid w:val="001C2738"/>
    <w:rsid w:val="001D7531"/>
    <w:rsid w:val="001E737D"/>
    <w:rsid w:val="001F0592"/>
    <w:rsid w:val="001F6419"/>
    <w:rsid w:val="001F7506"/>
    <w:rsid w:val="002006CD"/>
    <w:rsid w:val="00202B36"/>
    <w:rsid w:val="00204B7A"/>
    <w:rsid w:val="00204CDE"/>
    <w:rsid w:val="0021101A"/>
    <w:rsid w:val="00220536"/>
    <w:rsid w:val="00235629"/>
    <w:rsid w:val="00260289"/>
    <w:rsid w:val="00260C38"/>
    <w:rsid w:val="002616C0"/>
    <w:rsid w:val="002643DB"/>
    <w:rsid w:val="00265372"/>
    <w:rsid w:val="002662AA"/>
    <w:rsid w:val="00280496"/>
    <w:rsid w:val="00283D47"/>
    <w:rsid w:val="00294DC9"/>
    <w:rsid w:val="00295495"/>
    <w:rsid w:val="002A31DE"/>
    <w:rsid w:val="002A62F7"/>
    <w:rsid w:val="002B2613"/>
    <w:rsid w:val="002C1468"/>
    <w:rsid w:val="002D6D05"/>
    <w:rsid w:val="002F1818"/>
    <w:rsid w:val="002F5109"/>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34489"/>
    <w:rsid w:val="00437085"/>
    <w:rsid w:val="00443880"/>
    <w:rsid w:val="004464F4"/>
    <w:rsid w:val="00447329"/>
    <w:rsid w:val="00471401"/>
    <w:rsid w:val="00473F31"/>
    <w:rsid w:val="0048263A"/>
    <w:rsid w:val="004826A2"/>
    <w:rsid w:val="00487E5D"/>
    <w:rsid w:val="004A711F"/>
    <w:rsid w:val="004B199D"/>
    <w:rsid w:val="004B4690"/>
    <w:rsid w:val="004E0A2D"/>
    <w:rsid w:val="004E206B"/>
    <w:rsid w:val="004E3607"/>
    <w:rsid w:val="004E6DF7"/>
    <w:rsid w:val="004F0FBD"/>
    <w:rsid w:val="00505A47"/>
    <w:rsid w:val="00512FDA"/>
    <w:rsid w:val="00520DA0"/>
    <w:rsid w:val="005664BB"/>
    <w:rsid w:val="00566FFA"/>
    <w:rsid w:val="0057481D"/>
    <w:rsid w:val="0058486E"/>
    <w:rsid w:val="00585B33"/>
    <w:rsid w:val="0059014D"/>
    <w:rsid w:val="005A09FD"/>
    <w:rsid w:val="005B0198"/>
    <w:rsid w:val="005B321C"/>
    <w:rsid w:val="005B5C64"/>
    <w:rsid w:val="005C5337"/>
    <w:rsid w:val="005C6BD0"/>
    <w:rsid w:val="005D1C8B"/>
    <w:rsid w:val="005D468D"/>
    <w:rsid w:val="005D5CED"/>
    <w:rsid w:val="005F1A4C"/>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D1682"/>
    <w:rsid w:val="007D312A"/>
    <w:rsid w:val="007D3F19"/>
    <w:rsid w:val="007E23B0"/>
    <w:rsid w:val="007E23E5"/>
    <w:rsid w:val="007E6A82"/>
    <w:rsid w:val="007F1991"/>
    <w:rsid w:val="007F2C2F"/>
    <w:rsid w:val="007F55FC"/>
    <w:rsid w:val="007F5665"/>
    <w:rsid w:val="007F7385"/>
    <w:rsid w:val="00800112"/>
    <w:rsid w:val="00813348"/>
    <w:rsid w:val="008253BB"/>
    <w:rsid w:val="0083706E"/>
    <w:rsid w:val="008408F6"/>
    <w:rsid w:val="008423A5"/>
    <w:rsid w:val="00850625"/>
    <w:rsid w:val="00853718"/>
    <w:rsid w:val="00855221"/>
    <w:rsid w:val="00860645"/>
    <w:rsid w:val="00871F71"/>
    <w:rsid w:val="00872FD8"/>
    <w:rsid w:val="00875641"/>
    <w:rsid w:val="00885AF4"/>
    <w:rsid w:val="00887F08"/>
    <w:rsid w:val="008914B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F0"/>
    <w:rsid w:val="00935C98"/>
    <w:rsid w:val="00946945"/>
    <w:rsid w:val="00951248"/>
    <w:rsid w:val="0095152F"/>
    <w:rsid w:val="009546E4"/>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50C8"/>
    <w:rsid w:val="009F1185"/>
    <w:rsid w:val="009F18CD"/>
    <w:rsid w:val="009F2A13"/>
    <w:rsid w:val="009F7527"/>
    <w:rsid w:val="00A04EB0"/>
    <w:rsid w:val="00A13CC1"/>
    <w:rsid w:val="00A16847"/>
    <w:rsid w:val="00A237D8"/>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91760"/>
    <w:rsid w:val="00A93B00"/>
    <w:rsid w:val="00A93C21"/>
    <w:rsid w:val="00AB64C9"/>
    <w:rsid w:val="00AC2E50"/>
    <w:rsid w:val="00AC3C6A"/>
    <w:rsid w:val="00AD5620"/>
    <w:rsid w:val="00AD656B"/>
    <w:rsid w:val="00AD7C1B"/>
    <w:rsid w:val="00AE16BA"/>
    <w:rsid w:val="00AE1EBE"/>
    <w:rsid w:val="00B03C9D"/>
    <w:rsid w:val="00B060AE"/>
    <w:rsid w:val="00B10517"/>
    <w:rsid w:val="00B12E8B"/>
    <w:rsid w:val="00B14E76"/>
    <w:rsid w:val="00B161B8"/>
    <w:rsid w:val="00B2048C"/>
    <w:rsid w:val="00B310B9"/>
    <w:rsid w:val="00B35F3F"/>
    <w:rsid w:val="00B36CBB"/>
    <w:rsid w:val="00B411A6"/>
    <w:rsid w:val="00B425E0"/>
    <w:rsid w:val="00B440AA"/>
    <w:rsid w:val="00B44B70"/>
    <w:rsid w:val="00B53C56"/>
    <w:rsid w:val="00B57DAF"/>
    <w:rsid w:val="00B76F9D"/>
    <w:rsid w:val="00B77EA6"/>
    <w:rsid w:val="00B81598"/>
    <w:rsid w:val="00B841F1"/>
    <w:rsid w:val="00B944D6"/>
    <w:rsid w:val="00BA579E"/>
    <w:rsid w:val="00BB4DF0"/>
    <w:rsid w:val="00BC289F"/>
    <w:rsid w:val="00BC2D50"/>
    <w:rsid w:val="00BC5361"/>
    <w:rsid w:val="00BC5460"/>
    <w:rsid w:val="00BC6B50"/>
    <w:rsid w:val="00BD0E25"/>
    <w:rsid w:val="00BF5BD6"/>
    <w:rsid w:val="00C03E31"/>
    <w:rsid w:val="00C33E72"/>
    <w:rsid w:val="00C354B2"/>
    <w:rsid w:val="00C35554"/>
    <w:rsid w:val="00C42709"/>
    <w:rsid w:val="00C46119"/>
    <w:rsid w:val="00C533CC"/>
    <w:rsid w:val="00C5751C"/>
    <w:rsid w:val="00C61BFC"/>
    <w:rsid w:val="00C62B85"/>
    <w:rsid w:val="00C65438"/>
    <w:rsid w:val="00C860D5"/>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50A1"/>
    <w:rsid w:val="00DA634F"/>
    <w:rsid w:val="00DA65AC"/>
    <w:rsid w:val="00DB1913"/>
    <w:rsid w:val="00DC410D"/>
    <w:rsid w:val="00DC5A81"/>
    <w:rsid w:val="00DC68CA"/>
    <w:rsid w:val="00DC7CBA"/>
    <w:rsid w:val="00DD73B7"/>
    <w:rsid w:val="00DF24DF"/>
    <w:rsid w:val="00DF28BC"/>
    <w:rsid w:val="00DF34B9"/>
    <w:rsid w:val="00E01053"/>
    <w:rsid w:val="00E01B70"/>
    <w:rsid w:val="00E07ACF"/>
    <w:rsid w:val="00E11813"/>
    <w:rsid w:val="00E331A1"/>
    <w:rsid w:val="00E33202"/>
    <w:rsid w:val="00E336A9"/>
    <w:rsid w:val="00E472B1"/>
    <w:rsid w:val="00E50624"/>
    <w:rsid w:val="00E568DF"/>
    <w:rsid w:val="00E64269"/>
    <w:rsid w:val="00E82267"/>
    <w:rsid w:val="00E853CE"/>
    <w:rsid w:val="00E867B6"/>
    <w:rsid w:val="00EA010F"/>
    <w:rsid w:val="00EB0FAE"/>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7E96"/>
    <w:rsid w:val="00FA23E8"/>
    <w:rsid w:val="00FA789D"/>
    <w:rsid w:val="00FC7DA4"/>
    <w:rsid w:val="00FD3CC1"/>
    <w:rsid w:val="00FF1E02"/>
    <w:rsid w:val="00FF30B4"/>
    <w:rsid w:val="015975B8"/>
    <w:rsid w:val="01754A32"/>
    <w:rsid w:val="02E81296"/>
    <w:rsid w:val="02FEBE30"/>
    <w:rsid w:val="036F8141"/>
    <w:rsid w:val="047372D0"/>
    <w:rsid w:val="066E0107"/>
    <w:rsid w:val="07012AE3"/>
    <w:rsid w:val="07996F6E"/>
    <w:rsid w:val="07DFD8BA"/>
    <w:rsid w:val="083F4163"/>
    <w:rsid w:val="0A2032A3"/>
    <w:rsid w:val="0D35B1ED"/>
    <w:rsid w:val="0E7ED1F5"/>
    <w:rsid w:val="0F98263C"/>
    <w:rsid w:val="101860EC"/>
    <w:rsid w:val="10C055FF"/>
    <w:rsid w:val="118107EC"/>
    <w:rsid w:val="13D50BC4"/>
    <w:rsid w:val="13F5616D"/>
    <w:rsid w:val="16BB723D"/>
    <w:rsid w:val="17F9714D"/>
    <w:rsid w:val="1918F934"/>
    <w:rsid w:val="199264E9"/>
    <w:rsid w:val="1BE8440E"/>
    <w:rsid w:val="1C233D4E"/>
    <w:rsid w:val="1C7F2C05"/>
    <w:rsid w:val="1D155CEE"/>
    <w:rsid w:val="1DFBC4B3"/>
    <w:rsid w:val="1E740ACF"/>
    <w:rsid w:val="1F19C781"/>
    <w:rsid w:val="1F33FCE5"/>
    <w:rsid w:val="1F7F7398"/>
    <w:rsid w:val="1FD2DB6F"/>
    <w:rsid w:val="1FF35744"/>
    <w:rsid w:val="1FF6BC77"/>
    <w:rsid w:val="1FF9236D"/>
    <w:rsid w:val="200905AD"/>
    <w:rsid w:val="23137110"/>
    <w:rsid w:val="2333840E"/>
    <w:rsid w:val="23860B96"/>
    <w:rsid w:val="240371BF"/>
    <w:rsid w:val="24ED5329"/>
    <w:rsid w:val="250749DC"/>
    <w:rsid w:val="257C638F"/>
    <w:rsid w:val="29BB1DC3"/>
    <w:rsid w:val="29FD04D3"/>
    <w:rsid w:val="2B2362C5"/>
    <w:rsid w:val="2BFF7BC6"/>
    <w:rsid w:val="2C8A61B5"/>
    <w:rsid w:val="2CD59C95"/>
    <w:rsid w:val="2DF04E50"/>
    <w:rsid w:val="2EFD05E5"/>
    <w:rsid w:val="2F040D46"/>
    <w:rsid w:val="2F4F95CE"/>
    <w:rsid w:val="2FACAFDD"/>
    <w:rsid w:val="2FAE5751"/>
    <w:rsid w:val="2FB1A395"/>
    <w:rsid w:val="2FCF0B76"/>
    <w:rsid w:val="2FD9A7D8"/>
    <w:rsid w:val="319F7F4E"/>
    <w:rsid w:val="3304709D"/>
    <w:rsid w:val="36AA5135"/>
    <w:rsid w:val="36BE0DA7"/>
    <w:rsid w:val="376B6AA6"/>
    <w:rsid w:val="376D39B2"/>
    <w:rsid w:val="37E16F03"/>
    <w:rsid w:val="37F53A3B"/>
    <w:rsid w:val="38D469F0"/>
    <w:rsid w:val="38F78389"/>
    <w:rsid w:val="397BAF1F"/>
    <w:rsid w:val="39987DF3"/>
    <w:rsid w:val="39E7B272"/>
    <w:rsid w:val="39F7642F"/>
    <w:rsid w:val="39FF7B37"/>
    <w:rsid w:val="3AB79AF3"/>
    <w:rsid w:val="3AFDCB77"/>
    <w:rsid w:val="3B7EF35A"/>
    <w:rsid w:val="3B9FDB6C"/>
    <w:rsid w:val="3BF5BC2F"/>
    <w:rsid w:val="3BF7C23A"/>
    <w:rsid w:val="3BFF223E"/>
    <w:rsid w:val="3C6EC0A1"/>
    <w:rsid w:val="3CDB0824"/>
    <w:rsid w:val="3CEBA265"/>
    <w:rsid w:val="3D6A7F9F"/>
    <w:rsid w:val="3D7E7F4D"/>
    <w:rsid w:val="3D98207C"/>
    <w:rsid w:val="3D9CF30A"/>
    <w:rsid w:val="3DC720CB"/>
    <w:rsid w:val="3DFF5A3E"/>
    <w:rsid w:val="3E78745D"/>
    <w:rsid w:val="3EEE77E9"/>
    <w:rsid w:val="3F394AF5"/>
    <w:rsid w:val="3FBE5714"/>
    <w:rsid w:val="3FDD8615"/>
    <w:rsid w:val="3FDFB2FF"/>
    <w:rsid w:val="3FF4CAE0"/>
    <w:rsid w:val="3FF75FAF"/>
    <w:rsid w:val="3FF7B227"/>
    <w:rsid w:val="44E268DA"/>
    <w:rsid w:val="457F4F6B"/>
    <w:rsid w:val="4737FB58"/>
    <w:rsid w:val="47ECCB02"/>
    <w:rsid w:val="47FA6A3F"/>
    <w:rsid w:val="49D7AE48"/>
    <w:rsid w:val="4A3F6C7E"/>
    <w:rsid w:val="4A3F77CE"/>
    <w:rsid w:val="4A627F82"/>
    <w:rsid w:val="4B0E749A"/>
    <w:rsid w:val="4B4F25DA"/>
    <w:rsid w:val="4BBB4781"/>
    <w:rsid w:val="4BD709A5"/>
    <w:rsid w:val="4BDD9BFF"/>
    <w:rsid w:val="4BE068DB"/>
    <w:rsid w:val="4C7A67C2"/>
    <w:rsid w:val="4D577224"/>
    <w:rsid w:val="4DBF1CEB"/>
    <w:rsid w:val="4DBF6A6B"/>
    <w:rsid w:val="4DF6A672"/>
    <w:rsid w:val="4EAB630A"/>
    <w:rsid w:val="4ECE2238"/>
    <w:rsid w:val="4F7EA413"/>
    <w:rsid w:val="4FAB812F"/>
    <w:rsid w:val="4FE9BD67"/>
    <w:rsid w:val="4FEE4C07"/>
    <w:rsid w:val="4FFB052F"/>
    <w:rsid w:val="506A191C"/>
    <w:rsid w:val="513C26F2"/>
    <w:rsid w:val="537E6D0A"/>
    <w:rsid w:val="53AB6B88"/>
    <w:rsid w:val="53F74C96"/>
    <w:rsid w:val="5583522D"/>
    <w:rsid w:val="57BD3DD4"/>
    <w:rsid w:val="57F9CD1E"/>
    <w:rsid w:val="584B107F"/>
    <w:rsid w:val="5AF92295"/>
    <w:rsid w:val="5AF9D8E9"/>
    <w:rsid w:val="5BDD38BD"/>
    <w:rsid w:val="5BDD79E6"/>
    <w:rsid w:val="5BEFC772"/>
    <w:rsid w:val="5BFF5DFC"/>
    <w:rsid w:val="5CD71FC4"/>
    <w:rsid w:val="5D1F11B5"/>
    <w:rsid w:val="5D3647F9"/>
    <w:rsid w:val="5DA644D4"/>
    <w:rsid w:val="5DAE1B18"/>
    <w:rsid w:val="5DE7D9E5"/>
    <w:rsid w:val="5ECEC941"/>
    <w:rsid w:val="5EFF8FC6"/>
    <w:rsid w:val="5F3A0F0C"/>
    <w:rsid w:val="5F5BA39A"/>
    <w:rsid w:val="5F7D3B79"/>
    <w:rsid w:val="5F7F4610"/>
    <w:rsid w:val="5FBF9FF3"/>
    <w:rsid w:val="5FCD4E2C"/>
    <w:rsid w:val="5FEF394A"/>
    <w:rsid w:val="5FF67715"/>
    <w:rsid w:val="61CA71D5"/>
    <w:rsid w:val="627EE9EA"/>
    <w:rsid w:val="63B23AA5"/>
    <w:rsid w:val="647F5392"/>
    <w:rsid w:val="64E322C4"/>
    <w:rsid w:val="65FB93B9"/>
    <w:rsid w:val="6633C463"/>
    <w:rsid w:val="67D55B77"/>
    <w:rsid w:val="67EE7F84"/>
    <w:rsid w:val="686F5F53"/>
    <w:rsid w:val="6AFFCEAF"/>
    <w:rsid w:val="6B96E9E6"/>
    <w:rsid w:val="6BCE57B5"/>
    <w:rsid w:val="6BFEA4DB"/>
    <w:rsid w:val="6BFFB662"/>
    <w:rsid w:val="6C4A05C8"/>
    <w:rsid w:val="6CFF4FB8"/>
    <w:rsid w:val="6D6BD6E0"/>
    <w:rsid w:val="6D77E73C"/>
    <w:rsid w:val="6DAC2937"/>
    <w:rsid w:val="6DBF5E93"/>
    <w:rsid w:val="6DFF077E"/>
    <w:rsid w:val="6E7E3605"/>
    <w:rsid w:val="6E7FDCC7"/>
    <w:rsid w:val="6EC056EB"/>
    <w:rsid w:val="6ED6A62E"/>
    <w:rsid w:val="6EE00B15"/>
    <w:rsid w:val="6EE737B2"/>
    <w:rsid w:val="6EEB2329"/>
    <w:rsid w:val="6EECE67A"/>
    <w:rsid w:val="6F6F90A8"/>
    <w:rsid w:val="6F6FB3EB"/>
    <w:rsid w:val="6F8731EA"/>
    <w:rsid w:val="6FBC2ADD"/>
    <w:rsid w:val="6FD57C00"/>
    <w:rsid w:val="6FEFFFD8"/>
    <w:rsid w:val="6FF5CC65"/>
    <w:rsid w:val="6FFB47EC"/>
    <w:rsid w:val="6FFF034A"/>
    <w:rsid w:val="702C7BA6"/>
    <w:rsid w:val="712A28F1"/>
    <w:rsid w:val="715C0E4B"/>
    <w:rsid w:val="71FFD401"/>
    <w:rsid w:val="72233669"/>
    <w:rsid w:val="72734D90"/>
    <w:rsid w:val="7332FE48"/>
    <w:rsid w:val="73AD73D5"/>
    <w:rsid w:val="73B6EB34"/>
    <w:rsid w:val="73FA497D"/>
    <w:rsid w:val="744731E5"/>
    <w:rsid w:val="74BBD01D"/>
    <w:rsid w:val="74ED5379"/>
    <w:rsid w:val="75DEEEC2"/>
    <w:rsid w:val="76086090"/>
    <w:rsid w:val="767F479D"/>
    <w:rsid w:val="7696084C"/>
    <w:rsid w:val="76E3355F"/>
    <w:rsid w:val="76F742AF"/>
    <w:rsid w:val="76F7BE7D"/>
    <w:rsid w:val="76FF5125"/>
    <w:rsid w:val="773570D3"/>
    <w:rsid w:val="77597F31"/>
    <w:rsid w:val="776F6FFA"/>
    <w:rsid w:val="7777A522"/>
    <w:rsid w:val="77858688"/>
    <w:rsid w:val="778769C8"/>
    <w:rsid w:val="77CB741A"/>
    <w:rsid w:val="77D7BE3A"/>
    <w:rsid w:val="77DC22F5"/>
    <w:rsid w:val="785A466B"/>
    <w:rsid w:val="797E3A6C"/>
    <w:rsid w:val="79CF70E2"/>
    <w:rsid w:val="79D7FD79"/>
    <w:rsid w:val="79E75806"/>
    <w:rsid w:val="79EE5BA4"/>
    <w:rsid w:val="7A641148"/>
    <w:rsid w:val="7A6F8BF5"/>
    <w:rsid w:val="7A894339"/>
    <w:rsid w:val="7ACF82B5"/>
    <w:rsid w:val="7AFF28C9"/>
    <w:rsid w:val="7AFF72A0"/>
    <w:rsid w:val="7AFF7572"/>
    <w:rsid w:val="7B6C7DFB"/>
    <w:rsid w:val="7B7D76A7"/>
    <w:rsid w:val="7BAE2FE2"/>
    <w:rsid w:val="7BAF6951"/>
    <w:rsid w:val="7BBFBED0"/>
    <w:rsid w:val="7BC3E394"/>
    <w:rsid w:val="7BF3FE4C"/>
    <w:rsid w:val="7BFB5035"/>
    <w:rsid w:val="7BFDE17E"/>
    <w:rsid w:val="7CBFC87B"/>
    <w:rsid w:val="7CFE0F48"/>
    <w:rsid w:val="7D3DE31C"/>
    <w:rsid w:val="7D7EC23E"/>
    <w:rsid w:val="7D7F8A13"/>
    <w:rsid w:val="7DBBCB01"/>
    <w:rsid w:val="7DC765D0"/>
    <w:rsid w:val="7DDB0EE0"/>
    <w:rsid w:val="7DFF51D8"/>
    <w:rsid w:val="7E634199"/>
    <w:rsid w:val="7E8ADEBF"/>
    <w:rsid w:val="7EEF11D3"/>
    <w:rsid w:val="7EF78C20"/>
    <w:rsid w:val="7F3F679B"/>
    <w:rsid w:val="7F4FC4EF"/>
    <w:rsid w:val="7F5E4D54"/>
    <w:rsid w:val="7F6B75FA"/>
    <w:rsid w:val="7F9F518D"/>
    <w:rsid w:val="7FA30C79"/>
    <w:rsid w:val="7FAF8AB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autoRedefine/>
    <w:unhideWhenUsed/>
    <w:qFormat/>
    <w:uiPriority w:val="9"/>
    <w:pPr>
      <w:keepNext/>
      <w:keepLines/>
      <w:spacing w:before="260" w:after="260" w:line="416" w:lineRule="auto"/>
      <w:outlineLvl w:val="2"/>
    </w:pPr>
    <w:rPr>
      <w:b/>
      <w:bCs/>
      <w:sz w:val="32"/>
      <w:szCs w:val="32"/>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unhideWhenUsed/>
    <w:qFormat/>
    <w:uiPriority w:val="99"/>
    <w:pPr>
      <w:jc w:val="left"/>
    </w:pPr>
  </w:style>
  <w:style w:type="paragraph" w:styleId="6">
    <w:name w:val="Body Text"/>
    <w:basedOn w:val="1"/>
    <w:link w:val="25"/>
    <w:autoRedefine/>
    <w:qFormat/>
    <w:uiPriority w:val="99"/>
    <w:pPr>
      <w:spacing w:beforeLines="30"/>
    </w:pPr>
    <w:rPr>
      <w:rFonts w:ascii="仿宋_GB2312" w:eastAsia="仿宋_GB2312"/>
      <w:kern w:val="0"/>
      <w:sz w:val="30"/>
    </w:rPr>
  </w:style>
  <w:style w:type="paragraph" w:styleId="7">
    <w:name w:val="Body Text Indent"/>
    <w:basedOn w:val="1"/>
    <w:autoRedefine/>
    <w:qFormat/>
    <w:uiPriority w:val="0"/>
    <w:pPr>
      <w:spacing w:after="120"/>
      <w:ind w:left="200" w:leftChars="200"/>
    </w:pPr>
    <w:rPr>
      <w:rFonts w:ascii="仿宋_GB2312"/>
      <w:szCs w:val="32"/>
    </w:rPr>
  </w:style>
  <w:style w:type="paragraph" w:styleId="8">
    <w:name w:val="toc 3"/>
    <w:basedOn w:val="1"/>
    <w:next w:val="1"/>
    <w:autoRedefine/>
    <w:unhideWhenUsed/>
    <w:qFormat/>
    <w:uiPriority w:val="39"/>
    <w:pPr>
      <w:tabs>
        <w:tab w:val="right" w:leader="dot" w:pos="8296"/>
      </w:tabs>
      <w:ind w:left="840" w:leftChars="400"/>
    </w:pPr>
  </w:style>
  <w:style w:type="paragraph" w:styleId="9">
    <w:name w:val="Balloon Text"/>
    <w:basedOn w:val="1"/>
    <w:link w:val="31"/>
    <w:autoRedefine/>
    <w:semiHidden/>
    <w:unhideWhenUsed/>
    <w:qFormat/>
    <w:uiPriority w:val="99"/>
    <w:rPr>
      <w:sz w:val="18"/>
      <w:szCs w:val="18"/>
    </w:rPr>
  </w:style>
  <w:style w:type="paragraph" w:styleId="10">
    <w:name w:val="footer"/>
    <w:basedOn w:val="1"/>
    <w:link w:val="23"/>
    <w:autoRedefine/>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autoRedefine/>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autoRedefine/>
    <w:unhideWhenUsed/>
    <w:qFormat/>
    <w:uiPriority w:val="39"/>
    <w:pPr>
      <w:tabs>
        <w:tab w:val="right" w:leader="dot" w:pos="8296"/>
      </w:tabs>
      <w:ind w:left="420" w:leftChars="200"/>
    </w:pPr>
  </w:style>
  <w:style w:type="paragraph" w:styleId="14">
    <w:name w:val="Body Text First Indent 2"/>
    <w:basedOn w:val="7"/>
    <w:autoRedefine/>
    <w:unhideWhenUsed/>
    <w:qFormat/>
    <w:uiPriority w:val="99"/>
    <w:pPr>
      <w:ind w:firstLine="420" w:firstLineChars="200"/>
    </w:pPr>
  </w:style>
  <w:style w:type="character" w:styleId="17">
    <w:name w:val="Strong"/>
    <w:basedOn w:val="16"/>
    <w:autoRedefine/>
    <w:qFormat/>
    <w:uiPriority w:val="99"/>
    <w:rPr>
      <w:b/>
    </w:rPr>
  </w:style>
  <w:style w:type="character" w:styleId="18">
    <w:name w:val="Hyperlink"/>
    <w:basedOn w:val="16"/>
    <w:autoRedefine/>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autoRedefine/>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autoRedefine/>
    <w:semiHidden/>
    <w:qFormat/>
    <w:uiPriority w:val="99"/>
    <w:rPr>
      <w:rFonts w:ascii="Times New Roman" w:hAnsi="Times New Roman"/>
      <w:sz w:val="18"/>
      <w:szCs w:val="18"/>
    </w:rPr>
  </w:style>
  <w:style w:type="character" w:customStyle="1" w:styleId="21">
    <w:name w:val="页眉 字符"/>
    <w:link w:val="11"/>
    <w:autoRedefine/>
    <w:semiHidden/>
    <w:qFormat/>
    <w:locked/>
    <w:uiPriority w:val="99"/>
    <w:rPr>
      <w:sz w:val="18"/>
    </w:rPr>
  </w:style>
  <w:style w:type="character" w:customStyle="1" w:styleId="22">
    <w:name w:val="Footer Char"/>
    <w:basedOn w:val="16"/>
    <w:autoRedefine/>
    <w:semiHidden/>
    <w:qFormat/>
    <w:uiPriority w:val="99"/>
    <w:rPr>
      <w:rFonts w:ascii="Times New Roman" w:hAnsi="Times New Roman"/>
      <w:sz w:val="18"/>
      <w:szCs w:val="18"/>
    </w:rPr>
  </w:style>
  <w:style w:type="character" w:customStyle="1" w:styleId="23">
    <w:name w:val="页脚 字符"/>
    <w:link w:val="10"/>
    <w:autoRedefine/>
    <w:qFormat/>
    <w:locked/>
    <w:uiPriority w:val="99"/>
    <w:rPr>
      <w:sz w:val="18"/>
    </w:rPr>
  </w:style>
  <w:style w:type="character" w:customStyle="1" w:styleId="24">
    <w:name w:val="Body Text Char"/>
    <w:basedOn w:val="16"/>
    <w:autoRedefine/>
    <w:semiHidden/>
    <w:qFormat/>
    <w:uiPriority w:val="99"/>
    <w:rPr>
      <w:rFonts w:ascii="Times New Roman" w:hAnsi="Times New Roman"/>
      <w:szCs w:val="24"/>
    </w:rPr>
  </w:style>
  <w:style w:type="character" w:customStyle="1" w:styleId="25">
    <w:name w:val="正文文本 字符"/>
    <w:link w:val="6"/>
    <w:autoRedefine/>
    <w:qFormat/>
    <w:locked/>
    <w:uiPriority w:val="99"/>
    <w:rPr>
      <w:rFonts w:ascii="仿宋_GB2312" w:hAnsi="Times New Roman" w:eastAsia="仿宋_GB2312"/>
      <w:sz w:val="24"/>
    </w:rPr>
  </w:style>
  <w:style w:type="paragraph" w:customStyle="1" w:styleId="26">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autoRedefine/>
    <w:qFormat/>
    <w:uiPriority w:val="34"/>
    <w:pPr>
      <w:ind w:firstLine="420" w:firstLineChars="200"/>
    </w:pPr>
  </w:style>
  <w:style w:type="character" w:customStyle="1" w:styleId="28">
    <w:name w:val="标题 1 字符"/>
    <w:basedOn w:val="16"/>
    <w:link w:val="2"/>
    <w:autoRedefine/>
    <w:qFormat/>
    <w:uiPriority w:val="9"/>
    <w:rPr>
      <w:rFonts w:ascii="Times New Roman" w:hAnsi="Times New Roman"/>
      <w:b/>
      <w:bCs/>
      <w:kern w:val="44"/>
      <w:sz w:val="44"/>
      <w:szCs w:val="44"/>
    </w:rPr>
  </w:style>
  <w:style w:type="character" w:customStyle="1" w:styleId="29">
    <w:name w:val="标题 2 字符"/>
    <w:basedOn w:val="16"/>
    <w:link w:val="3"/>
    <w:autoRedefine/>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9"/>
    <w:autoRedefine/>
    <w:semiHidden/>
    <w:qFormat/>
    <w:uiPriority w:val="99"/>
    <w:rPr>
      <w:rFonts w:ascii="Times New Roman" w:hAnsi="Times New Roman"/>
      <w:kern w:val="2"/>
      <w:sz w:val="18"/>
      <w:szCs w:val="18"/>
    </w:rPr>
  </w:style>
  <w:style w:type="character" w:customStyle="1" w:styleId="32">
    <w:name w:val="标题 3 字符"/>
    <w:basedOn w:val="16"/>
    <w:link w:val="4"/>
    <w:autoRedefine/>
    <w:qFormat/>
    <w:uiPriority w:val="9"/>
    <w:rPr>
      <w:rFonts w:ascii="Times New Roman" w:hAnsi="Times New Roman"/>
      <w:b/>
      <w:bCs/>
      <w:kern w:val="2"/>
      <w:sz w:val="32"/>
      <w:szCs w:val="32"/>
    </w:rPr>
  </w:style>
  <w:style w:type="paragraph" w:customStyle="1" w:styleId="33">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autoRedefine/>
    <w:qFormat/>
    <w:uiPriority w:val="0"/>
    <w:pPr>
      <w:spacing w:line="360" w:lineRule="auto"/>
    </w:pPr>
    <w:rPr>
      <w:rFonts w:ascii="??" w:hAnsi="??"/>
      <w:color w:val="000000"/>
      <w:kern w:val="0"/>
      <w:sz w:val="28"/>
      <w:szCs w:val="21"/>
      <w:lang w:val="zh-CN"/>
    </w:rPr>
  </w:style>
  <w:style w:type="character" w:customStyle="1" w:styleId="35">
    <w:name w:val="标题 1 Char"/>
    <w:basedOn w:val="16"/>
    <w:link w:val="2"/>
    <w:autoRedefine/>
    <w:qFormat/>
    <w:uiPriority w:val="9"/>
    <w:rPr>
      <w:rFonts w:ascii="Times New Roman" w:hAnsi="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1535</Words>
  <Characters>8751</Characters>
  <Lines>72</Lines>
  <Paragraphs>20</Paragraphs>
  <TotalTime>42</TotalTime>
  <ScaleCrop>false</ScaleCrop>
  <LinksUpToDate>false</LinksUpToDate>
  <CharactersWithSpaces>10266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2024-08-05T07:12:00Z</dcterms:created>
  <dc:creator>曹颖</dc:creator>
  <cp:lastModifiedBy>WPS_1545648424</cp:lastModifiedBy>
  <cp:lastPrinted>2023-08-03T10:35:00Z</cp:lastPrinted>
  <dcterms:modified xsi:type="dcterms:W3CDTF">2024-11-07T02:16:14Z</dcterms:modified>
  <dc:title>四川省***</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5CA3CDA5DD51495FA3E048968A6128D9_12</vt:lpwstr>
  </property>
</Properties>
</file>