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B378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万源市民政局</w:t>
      </w:r>
    </w:p>
    <w:p w14:paraId="761B4F0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w:t>
      </w:r>
      <w:r>
        <w:rPr>
          <w:rFonts w:hint="default" w:ascii="方正小标宋简体" w:hAnsi="方正小标宋简体" w:eastAsia="方正小标宋简体" w:cs="方正小标宋简体"/>
          <w:sz w:val="44"/>
          <w:szCs w:val="44"/>
          <w:lang w:val="en-US" w:eastAsia="zh-CN"/>
        </w:rPr>
        <w:t>基层未成年人保护阵地建设改造</w:t>
      </w:r>
      <w:r>
        <w:rPr>
          <w:rFonts w:hint="eastAsia" w:ascii="方正小标宋简体" w:hAnsi="方正小标宋简体" w:eastAsia="方正小标宋简体" w:cs="方正小标宋简体"/>
          <w:sz w:val="44"/>
          <w:szCs w:val="44"/>
          <w:lang w:val="en-US" w:eastAsia="zh-CN"/>
        </w:rPr>
        <w:t>及设施设备购置项目”经费使用情况公示</w:t>
      </w:r>
    </w:p>
    <w:p w14:paraId="4620F9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p>
    <w:p w14:paraId="0FC308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一、项目信息</w:t>
      </w:r>
    </w:p>
    <w:p w14:paraId="3AC087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项目名称：</w:t>
      </w:r>
      <w:r>
        <w:rPr>
          <w:rFonts w:hint="eastAsia" w:ascii="Times New Roman" w:hAnsi="Times New Roman" w:eastAsia="仿宋_GB2312" w:cs="Times New Roman"/>
          <w:kern w:val="0"/>
          <w:sz w:val="32"/>
          <w:szCs w:val="32"/>
          <w:lang w:val="en-US" w:eastAsia="zh-CN"/>
        </w:rPr>
        <w:t>万源市基层未成年保护阵地建设改造及设施设备购置项目</w:t>
      </w:r>
    </w:p>
    <w:p w14:paraId="03423CF0">
      <w:pPr>
        <w:spacing w:line="578"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项目主要内容和绩效目标：</w:t>
      </w:r>
      <w:r>
        <w:rPr>
          <w:rFonts w:hint="eastAsia" w:ascii="仿宋_GB2312" w:hAnsi="仿宋_GB2312" w:eastAsia="仿宋_GB2312" w:cs="仿宋_GB2312"/>
          <w:sz w:val="32"/>
          <w:szCs w:val="32"/>
          <w:lang w:val="en-US" w:eastAsia="zh-CN"/>
        </w:rPr>
        <w:t>根据</w:t>
      </w:r>
      <w:r>
        <w:rPr>
          <w:rFonts w:ascii="仿宋" w:hAnsi="仿宋" w:eastAsia="仿宋" w:cs="仿宋"/>
          <w:color w:val="000000" w:themeColor="text1"/>
          <w:spacing w:val="16"/>
          <w:sz w:val="32"/>
          <w:szCs w:val="32"/>
          <w14:textFill>
            <w14:solidFill>
              <w14:schemeClr w14:val="tx1"/>
            </w14:solidFill>
          </w14:textFill>
        </w:rPr>
        <w:t>民政部等14个部门联合出台的《关于进一步推进儿</w:t>
      </w:r>
      <w:r>
        <w:rPr>
          <w:rFonts w:ascii="仿宋" w:hAnsi="仿宋" w:eastAsia="仿宋" w:cs="仿宋"/>
          <w:color w:val="000000" w:themeColor="text1"/>
          <w:spacing w:val="4"/>
          <w:sz w:val="32"/>
          <w:szCs w:val="32"/>
          <w14:textFill>
            <w14:solidFill>
              <w14:schemeClr w14:val="tx1"/>
            </w14:solidFill>
          </w14:textFill>
        </w:rPr>
        <w:t>童福利机构优化提质和创新转型高质量发展的意见》</w:t>
      </w:r>
      <w:r>
        <w:rPr>
          <w:rFonts w:hint="eastAsia" w:ascii="仿宋" w:hAnsi="仿宋" w:eastAsia="仿宋" w:cs="仿宋"/>
          <w:color w:val="000000" w:themeColor="text1"/>
          <w:spacing w:val="4"/>
          <w:sz w:val="32"/>
          <w:szCs w:val="32"/>
          <w:lang w:val="en-US" w:eastAsia="zh-CN"/>
          <w14:textFill>
            <w14:solidFill>
              <w14:schemeClr w14:val="tx1"/>
            </w14:solidFill>
          </w14:textFill>
        </w:rPr>
        <w:t>和</w:t>
      </w:r>
      <w:r>
        <w:rPr>
          <w:rFonts w:ascii="仿宋" w:hAnsi="仿宋" w:eastAsia="仿宋" w:cs="仿宋"/>
          <w:color w:val="000000" w:themeColor="text1"/>
          <w:spacing w:val="4"/>
          <w:sz w:val="32"/>
          <w:szCs w:val="32"/>
          <w14:textFill>
            <w14:solidFill>
              <w14:schemeClr w14:val="tx1"/>
            </w14:solidFill>
          </w14:textFill>
        </w:rPr>
        <w:t>《四</w:t>
      </w:r>
      <w:r>
        <w:rPr>
          <w:rFonts w:ascii="仿宋" w:hAnsi="仿宋" w:eastAsia="仿宋" w:cs="仿宋"/>
          <w:color w:val="000000" w:themeColor="text1"/>
          <w:spacing w:val="3"/>
          <w:sz w:val="32"/>
          <w:szCs w:val="32"/>
          <w14:textFill>
            <w14:solidFill>
              <w14:schemeClr w14:val="tx1"/>
            </w14:solidFill>
          </w14:textFill>
        </w:rPr>
        <w:t>川省</w:t>
      </w:r>
      <w:r>
        <w:rPr>
          <w:rFonts w:ascii="仿宋" w:hAnsi="仿宋" w:eastAsia="仿宋" w:cs="仿宋"/>
          <w:color w:val="000000" w:themeColor="text1"/>
          <w:spacing w:val="17"/>
          <w:sz w:val="32"/>
          <w:szCs w:val="32"/>
          <w14:textFill>
            <w14:solidFill>
              <w14:schemeClr w14:val="tx1"/>
            </w14:solidFill>
          </w14:textFill>
        </w:rPr>
        <w:t>未成年人保护工作领导小组关于加强未成年人保</w:t>
      </w:r>
      <w:r>
        <w:rPr>
          <w:rFonts w:ascii="仿宋" w:hAnsi="仿宋" w:eastAsia="仿宋" w:cs="仿宋"/>
          <w:color w:val="000000" w:themeColor="text1"/>
          <w:spacing w:val="16"/>
          <w:sz w:val="32"/>
          <w:szCs w:val="32"/>
          <w14:textFill>
            <w14:solidFill>
              <w14:schemeClr w14:val="tx1"/>
            </w14:solidFill>
          </w14:textFill>
        </w:rPr>
        <w:t>护工作的实施</w:t>
      </w:r>
      <w:r>
        <w:rPr>
          <w:rFonts w:ascii="仿宋" w:hAnsi="仿宋" w:eastAsia="仿宋" w:cs="仿宋"/>
          <w:color w:val="000000" w:themeColor="text1"/>
          <w:spacing w:val="-12"/>
          <w:sz w:val="32"/>
          <w:szCs w:val="32"/>
          <w14:textFill>
            <w14:solidFill>
              <w14:schemeClr w14:val="tx1"/>
            </w14:solidFill>
          </w14:textFill>
        </w:rPr>
        <w:t>意见》</w:t>
      </w:r>
      <w:r>
        <w:rPr>
          <w:rFonts w:hint="eastAsia" w:ascii="仿宋" w:hAnsi="仿宋" w:eastAsia="仿宋" w:cs="仿宋"/>
          <w:color w:val="000000" w:themeColor="text1"/>
          <w:spacing w:val="-12"/>
          <w:sz w:val="32"/>
          <w:szCs w:val="32"/>
          <w:lang w:val="en-US" w:eastAsia="zh-CN"/>
          <w14:textFill>
            <w14:solidFill>
              <w14:schemeClr w14:val="tx1"/>
            </w14:solidFill>
          </w14:textFill>
        </w:rPr>
        <w:t>以及</w:t>
      </w:r>
      <w:r>
        <w:rPr>
          <w:rFonts w:ascii="仿宋" w:hAnsi="仿宋" w:eastAsia="仿宋" w:cs="仿宋"/>
          <w:color w:val="000000" w:themeColor="text1"/>
          <w:spacing w:val="-12"/>
          <w:sz w:val="32"/>
          <w:szCs w:val="32"/>
          <w14:textFill>
            <w14:solidFill>
              <w14:schemeClr w14:val="tx1"/>
            </w14:solidFill>
          </w14:textFill>
        </w:rPr>
        <w:t>《四川省“十四五”儿童福利事业发展规划》</w:t>
      </w:r>
      <w:r>
        <w:rPr>
          <w:rFonts w:hint="eastAsia" w:ascii="仿宋_GB2312" w:hAnsi="仿宋_GB2312" w:eastAsia="仿宋_GB2312" w:cs="仿宋_GB2312"/>
          <w:sz w:val="32"/>
          <w:szCs w:val="32"/>
          <w:lang w:val="en-US" w:eastAsia="zh-CN"/>
        </w:rPr>
        <w:t>精神，</w:t>
      </w:r>
      <w:r>
        <w:rPr>
          <w:rFonts w:ascii="仿宋" w:hAnsi="仿宋" w:eastAsia="仿宋" w:cs="仿宋"/>
          <w:color w:val="000000" w:themeColor="text1"/>
          <w:spacing w:val="-7"/>
          <w:sz w:val="32"/>
          <w:szCs w:val="32"/>
          <w14:textFill>
            <w14:solidFill>
              <w14:schemeClr w14:val="tx1"/>
            </w14:solidFill>
          </w14:textFill>
        </w:rPr>
        <w:t>遵循未成年人优先、未成年人利益最大化原则，围绕打造“活</w:t>
      </w:r>
      <w:r>
        <w:rPr>
          <w:rFonts w:ascii="仿宋" w:hAnsi="仿宋" w:eastAsia="仿宋" w:cs="仿宋"/>
          <w:color w:val="000000" w:themeColor="text1"/>
          <w:spacing w:val="5"/>
          <w:sz w:val="32"/>
          <w:szCs w:val="32"/>
          <w14:textFill>
            <w14:solidFill>
              <w14:schemeClr w14:val="tx1"/>
            </w14:solidFill>
          </w14:textFill>
        </w:rPr>
        <w:t>动场地、保护阵地、枢纽平台、精神家园”的目标定位，</w:t>
      </w:r>
      <w:r>
        <w:rPr>
          <w:rFonts w:hint="eastAsia" w:ascii="仿宋_GB2312" w:hAnsi="仿宋_GB2312" w:eastAsia="仿宋_GB2312" w:cs="仿宋_GB2312"/>
          <w:sz w:val="32"/>
          <w:szCs w:val="32"/>
          <w:lang w:val="en-US" w:eastAsia="zh-CN"/>
        </w:rPr>
        <w:t>结合万源未保工作实际，</w:t>
      </w:r>
      <w:r>
        <w:rPr>
          <w:rFonts w:hint="eastAsia" w:ascii="仿宋" w:hAnsi="仿宋" w:eastAsia="仿宋" w:cs="仿宋"/>
          <w:color w:val="000000" w:themeColor="text1"/>
          <w:spacing w:val="16"/>
          <w:sz w:val="32"/>
          <w:szCs w:val="32"/>
          <w:lang w:val="en-US" w:eastAsia="zh-CN"/>
          <w14:textFill>
            <w14:solidFill>
              <w14:schemeClr w14:val="tx1"/>
            </w14:solidFill>
          </w14:textFill>
        </w:rPr>
        <w:t>2024年改造升级1个示范</w:t>
      </w:r>
      <w:r>
        <w:rPr>
          <w:rFonts w:hint="default" w:ascii="仿宋" w:hAnsi="仿宋" w:eastAsia="仿宋" w:cs="仿宋"/>
          <w:color w:val="000000" w:themeColor="text1"/>
          <w:spacing w:val="16"/>
          <w:sz w:val="32"/>
          <w:szCs w:val="32"/>
          <w:lang w:val="en-US" w:eastAsia="zh-CN"/>
          <w14:textFill>
            <w14:solidFill>
              <w14:schemeClr w14:val="tx1"/>
            </w14:solidFill>
          </w14:textFill>
        </w:rPr>
        <w:t>未保中心</w:t>
      </w:r>
      <w:r>
        <w:rPr>
          <w:rFonts w:hint="eastAsia" w:ascii="仿宋" w:hAnsi="仿宋" w:eastAsia="仿宋" w:cs="仿宋"/>
          <w:color w:val="000000" w:themeColor="text1"/>
          <w:spacing w:val="16"/>
          <w:sz w:val="32"/>
          <w:szCs w:val="32"/>
          <w:lang w:val="en-US" w:eastAsia="zh-CN"/>
          <w14:textFill>
            <w14:solidFill>
              <w14:schemeClr w14:val="tx1"/>
            </w14:solidFill>
          </w14:textFill>
        </w:rPr>
        <w:t>（万源市未成年人未保中心）</w:t>
      </w:r>
      <w:r>
        <w:rPr>
          <w:rFonts w:hint="default" w:ascii="仿宋" w:hAnsi="仿宋" w:eastAsia="仿宋" w:cs="仿宋"/>
          <w:color w:val="000000" w:themeColor="text1"/>
          <w:spacing w:val="16"/>
          <w:sz w:val="32"/>
          <w:szCs w:val="32"/>
          <w:lang w:val="en-US" w:eastAsia="zh-CN"/>
          <w14:textFill>
            <w14:solidFill>
              <w14:schemeClr w14:val="tx1"/>
            </w14:solidFill>
          </w14:textFill>
        </w:rPr>
        <w:t>、</w:t>
      </w:r>
      <w:r>
        <w:rPr>
          <w:rFonts w:hint="eastAsia" w:ascii="仿宋" w:hAnsi="仿宋" w:eastAsia="仿宋" w:cs="仿宋"/>
          <w:color w:val="000000" w:themeColor="text1"/>
          <w:spacing w:val="16"/>
          <w:sz w:val="32"/>
          <w:szCs w:val="32"/>
          <w:lang w:val="en-US" w:eastAsia="zh-CN"/>
          <w14:textFill>
            <w14:solidFill>
              <w14:schemeClr w14:val="tx1"/>
            </w14:solidFill>
          </w14:textFill>
        </w:rPr>
        <w:t>4个乡镇（街道）示范站（太平镇未成年人保护工作示范站、竹峪镇未成年人保护工作示范站、青花镇未成年人保护工作示范站和古东关街道未成年人保护工作示范站）、4个社区示范点（八台镇田坝村未成年人保护工作示范点、大竹镇营盘村未成年人保护工作示范点、古东关街道东城社区未成年人保护工作示范点、古东关街道庙沟河社区未成年人保护工作示范点），进一步强化未成年人保护阵地建设，全面提升我市未成年人保护水平。经财政投</w:t>
      </w:r>
      <w:r>
        <w:rPr>
          <w:rFonts w:hint="eastAsia" w:ascii="仿宋_GB2312" w:hAnsi="仿宋_GB2312" w:eastAsia="仿宋_GB2312" w:cs="仿宋_GB2312"/>
          <w:sz w:val="32"/>
          <w:szCs w:val="32"/>
          <w:lang w:val="en-US" w:eastAsia="zh-CN"/>
        </w:rPr>
        <w:t>资评审，项目控制经费300万元。</w:t>
      </w:r>
    </w:p>
    <w:p w14:paraId="533C6C2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项目周期：</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rPr>
        <w:t>月至202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p>
    <w:p w14:paraId="148F43CB">
      <w:pPr>
        <w:shd w:val="clear" w:color="auto" w:fill="FFFFFF"/>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资金额度：</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w:t>
      </w:r>
      <w:r>
        <w:rPr>
          <w:rFonts w:hint="eastAsia" w:ascii="仿宋" w:hAnsi="仿宋" w:eastAsia="仿宋" w:cs="仿宋"/>
          <w:color w:val="000000" w:themeColor="text1"/>
          <w:kern w:val="0"/>
          <w:sz w:val="32"/>
          <w:szCs w:val="32"/>
          <w14:textFill>
            <w14:solidFill>
              <w14:schemeClr w14:val="tx1"/>
            </w14:solidFill>
          </w14:textFill>
        </w:rPr>
        <w:t>（省级福彩公益金）</w:t>
      </w:r>
    </w:p>
    <w:p w14:paraId="14970AB2">
      <w:pPr>
        <w:shd w:val="clear" w:color="auto" w:fill="FFFFFF"/>
        <w:spacing w:line="576"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项目负责人：</w:t>
      </w:r>
      <w:r>
        <w:rPr>
          <w:rFonts w:hint="eastAsia" w:ascii="仿宋" w:hAnsi="仿宋" w:eastAsia="仿宋" w:cs="仿宋"/>
          <w:color w:val="000000" w:themeColor="text1"/>
          <w:kern w:val="0"/>
          <w:sz w:val="32"/>
          <w:szCs w:val="32"/>
          <w:lang w:val="en-US" w:eastAsia="zh-CN"/>
          <w14:textFill>
            <w14:solidFill>
              <w14:schemeClr w14:val="tx1"/>
            </w14:solidFill>
          </w14:textFill>
        </w:rPr>
        <w:t>万源市民政局儿童保障股张书平</w:t>
      </w:r>
    </w:p>
    <w:p w14:paraId="2AB3504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联系方式：</w:t>
      </w:r>
      <w:r>
        <w:rPr>
          <w:rFonts w:hint="eastAsia" w:ascii="仿宋_GB2312" w:hAnsi="仿宋_GB2312" w:eastAsia="仿宋_GB2312" w:cs="仿宋_GB2312"/>
          <w:sz w:val="32"/>
          <w:szCs w:val="32"/>
          <w:lang w:val="en-US" w:eastAsia="zh-CN"/>
        </w:rPr>
        <w:t>0818-8622642</w:t>
      </w:r>
    </w:p>
    <w:p w14:paraId="6DB97AC1">
      <w:pPr>
        <w:shd w:val="clear" w:color="auto" w:fill="FFFFFF"/>
        <w:spacing w:line="576" w:lineRule="exact"/>
        <w:ind w:firstLine="0" w:firstLineChars="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rPr>
        <w:t>项目完成情况：</w:t>
      </w:r>
      <w:r>
        <w:rPr>
          <w:rFonts w:hint="eastAsia" w:ascii="Times New Roman" w:hAnsi="Times New Roman" w:eastAsia="仿宋_GB2312" w:cs="Times New Roman"/>
          <w:kern w:val="0"/>
          <w:sz w:val="32"/>
          <w:szCs w:val="32"/>
          <w:lang w:val="en-US" w:eastAsia="zh-CN"/>
        </w:rPr>
        <w:t>项目建设已完成，</w:t>
      </w:r>
      <w:r>
        <w:rPr>
          <w:rFonts w:hint="eastAsia" w:ascii="Times New Roman" w:hAnsi="Times New Roman" w:eastAsia="仿宋_GB2312" w:cs="Times New Roman"/>
          <w:kern w:val="0"/>
          <w:sz w:val="32"/>
          <w:szCs w:val="32"/>
          <w:lang w:eastAsia="zh-CN"/>
        </w:rPr>
        <w:t>支付</w:t>
      </w:r>
      <w:r>
        <w:rPr>
          <w:rFonts w:hint="eastAsia" w:ascii="Times New Roman" w:hAnsi="Times New Roman" w:eastAsia="仿宋_GB2312" w:cs="Times New Roman"/>
          <w:kern w:val="0"/>
          <w:sz w:val="32"/>
          <w:szCs w:val="32"/>
          <w:lang w:val="en-US" w:eastAsia="zh-CN"/>
        </w:rPr>
        <w:t>项目资金34万元，待支付资金33万元；设施设购置已完成80%，待支付资金44万元。</w:t>
      </w:r>
    </w:p>
    <w:p w14:paraId="5C747E2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接受督查情况：</w:t>
      </w:r>
      <w:r>
        <w:rPr>
          <w:rFonts w:hint="eastAsia" w:ascii="Times New Roman" w:hAnsi="Times New Roman" w:eastAsia="仿宋_GB2312" w:cs="Times New Roman"/>
          <w:kern w:val="0"/>
          <w:sz w:val="32"/>
          <w:szCs w:val="32"/>
        </w:rPr>
        <w:t>在</w:t>
      </w:r>
      <w:r>
        <w:rPr>
          <w:rFonts w:hint="eastAsia" w:ascii="Times New Roman" w:hAnsi="Times New Roman" w:eastAsia="仿宋_GB2312" w:cs="Times New Roman"/>
          <w:kern w:val="0"/>
          <w:sz w:val="32"/>
          <w:szCs w:val="32"/>
          <w:lang w:val="en-US" w:eastAsia="zh-CN"/>
        </w:rPr>
        <w:t>万源市基层未成年保护阵地建设改造及设施设备购置新</w:t>
      </w:r>
      <w:r>
        <w:rPr>
          <w:rFonts w:hint="eastAsia" w:ascii="Times New Roman" w:hAnsi="Times New Roman" w:eastAsia="仿宋_GB2312" w:cs="Times New Roman"/>
          <w:kern w:val="0"/>
          <w:sz w:val="32"/>
          <w:szCs w:val="32"/>
        </w:rPr>
        <w:t>项目建设过程中严格执行</w:t>
      </w:r>
      <w:r>
        <w:rPr>
          <w:rFonts w:hint="eastAsia" w:ascii="Times New Roman" w:hAnsi="Times New Roman" w:eastAsia="仿宋_GB2312" w:cs="Times New Roman"/>
          <w:kern w:val="0"/>
          <w:sz w:val="32"/>
          <w:szCs w:val="32"/>
          <w:lang w:val="en-US" w:eastAsia="zh-CN"/>
        </w:rPr>
        <w:t>万源市民政局</w:t>
      </w:r>
      <w:r>
        <w:rPr>
          <w:rFonts w:hint="eastAsia" w:ascii="Times New Roman" w:hAnsi="Times New Roman" w:eastAsia="仿宋_GB2312" w:cs="Times New Roman"/>
          <w:kern w:val="0"/>
          <w:sz w:val="32"/>
          <w:szCs w:val="32"/>
        </w:rPr>
        <w:t>财务制度、“三重一大”等内控制度；</w:t>
      </w:r>
      <w:r>
        <w:rPr>
          <w:rFonts w:hint="eastAsia"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sz w:val="32"/>
          <w:szCs w:val="32"/>
        </w:rPr>
        <w:t>目实施规范，资料完整齐备，实施效果符合立项初衷</w:t>
      </w:r>
      <w:r>
        <w:rPr>
          <w:rFonts w:hint="eastAsia" w:ascii="仿宋_GB2312" w:hAnsi="仿宋_GB2312" w:eastAsia="仿宋_GB2312" w:cs="仿宋_GB2312"/>
          <w:sz w:val="32"/>
          <w:szCs w:val="32"/>
          <w:lang w:eastAsia="zh-CN"/>
        </w:rPr>
        <w:t>。</w:t>
      </w:r>
    </w:p>
    <w:p w14:paraId="3767EB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二、项目效果</w:t>
      </w:r>
    </w:p>
    <w:p w14:paraId="11AE000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完成未保站（点）装修改造。</w:t>
      </w:r>
      <w:r>
        <w:rPr>
          <w:rFonts w:hint="eastAsia" w:ascii="仿宋_GB2312" w:hAnsi="仿宋_GB2312" w:eastAsia="仿宋_GB2312" w:cs="仿宋_GB2312"/>
          <w:b w:val="0"/>
          <w:bCs w:val="0"/>
          <w:sz w:val="32"/>
          <w:szCs w:val="32"/>
          <w:lang w:val="en-US" w:eastAsia="zh-CN"/>
        </w:rPr>
        <w:t>根据项目实施方案要求，对万源市未保中心和太平镇、古东关街道等4个乡镇（街道）示范站及八台镇田坝村、大竹镇营盘村等4个示范点场地实施装修改造，主要包括：地平改造、墙面改造、适儿活动区域改造、个案帮扶室改造等，满足未保站（点）工作需求。</w:t>
      </w:r>
    </w:p>
    <w:p w14:paraId="3582DB7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完成设备安装。</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b w:val="0"/>
          <w:bCs w:val="0"/>
          <w:sz w:val="32"/>
          <w:szCs w:val="32"/>
          <w:lang w:val="en-US" w:eastAsia="zh-CN"/>
        </w:rPr>
        <w:t>8台视频播放一体机、8台学习室OPS主机安装，完成7套学习教育平台软件安装， 完成95张学习桌、190张学习椅安装，完成50套书柜及娱乐设备、图书、模拟报警设备、安防模拟系统、体育设备、康复训练等设备安装，</w:t>
      </w:r>
      <w:r>
        <w:rPr>
          <w:rFonts w:hint="eastAsia" w:ascii="仿宋_GB2312" w:hAnsi="仿宋_GB2312" w:eastAsia="仿宋_GB2312" w:cs="仿宋_GB2312"/>
          <w:sz w:val="32"/>
          <w:szCs w:val="32"/>
          <w:lang w:val="en-US" w:eastAsia="zh-CN"/>
        </w:rPr>
        <w:t>达到开展儿童关爱服务活动使用条件。</w:t>
      </w:r>
    </w:p>
    <w:p w14:paraId="0070A2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0AE22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项目图片展示</w:t>
      </w:r>
    </w:p>
    <w:p w14:paraId="475D55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FF0000"/>
          <w:sz w:val="28"/>
          <w:szCs w:val="28"/>
          <w:lang w:val="en-US" w:eastAsia="zh-CN"/>
        </w:rPr>
      </w:pPr>
    </w:p>
    <w:p w14:paraId="3B88B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drawing>
          <wp:inline distT="0" distB="0" distL="114300" distR="114300">
            <wp:extent cx="5255260" cy="3941445"/>
            <wp:effectExtent l="0" t="0" r="2540" b="1905"/>
            <wp:docPr id="4" name="图片 4" descr="IMG_20250528_11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528_115957"/>
                    <pic:cNvPicPr>
                      <a:picLocks noChangeAspect="1"/>
                    </pic:cNvPicPr>
                  </pic:nvPicPr>
                  <pic:blipFill>
                    <a:blip r:embed="rId4"/>
                    <a:stretch>
                      <a:fillRect/>
                    </a:stretch>
                  </pic:blipFill>
                  <pic:spPr>
                    <a:xfrm>
                      <a:off x="0" y="0"/>
                      <a:ext cx="5255260" cy="3941445"/>
                    </a:xfrm>
                    <a:prstGeom prst="rect">
                      <a:avLst/>
                    </a:prstGeom>
                  </pic:spPr>
                </pic:pic>
              </a:graphicData>
            </a:graphic>
          </wp:inline>
        </w:drawing>
      </w:r>
    </w:p>
    <w:p w14:paraId="3F7E1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drawing>
          <wp:inline distT="0" distB="0" distL="114300" distR="114300">
            <wp:extent cx="5255260" cy="3941445"/>
            <wp:effectExtent l="0" t="0" r="2540" b="1905"/>
            <wp:docPr id="3" name="图片 3" descr="IMG_20250528_12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528_120130"/>
                    <pic:cNvPicPr>
                      <a:picLocks noChangeAspect="1"/>
                    </pic:cNvPicPr>
                  </pic:nvPicPr>
                  <pic:blipFill>
                    <a:blip r:embed="rId5"/>
                    <a:stretch>
                      <a:fillRect/>
                    </a:stretch>
                  </pic:blipFill>
                  <pic:spPr>
                    <a:xfrm>
                      <a:off x="0" y="0"/>
                      <a:ext cx="5255260" cy="3941445"/>
                    </a:xfrm>
                    <a:prstGeom prst="rect">
                      <a:avLst/>
                    </a:prstGeom>
                  </pic:spPr>
                </pic:pic>
              </a:graphicData>
            </a:graphic>
          </wp:inline>
        </w:drawing>
      </w:r>
    </w:p>
    <w:p w14:paraId="4AFF28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drawing>
          <wp:inline distT="0" distB="0" distL="114300" distR="114300">
            <wp:extent cx="5255260" cy="3941445"/>
            <wp:effectExtent l="0" t="0" r="2540" b="1905"/>
            <wp:docPr id="5" name="图片 5" descr="IMG_20250528_13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528_134356"/>
                    <pic:cNvPicPr>
                      <a:picLocks noChangeAspect="1"/>
                    </pic:cNvPicPr>
                  </pic:nvPicPr>
                  <pic:blipFill>
                    <a:blip r:embed="rId6"/>
                    <a:stretch>
                      <a:fillRect/>
                    </a:stretch>
                  </pic:blipFill>
                  <pic:spPr>
                    <a:xfrm>
                      <a:off x="0" y="0"/>
                      <a:ext cx="5255260" cy="3941445"/>
                    </a:xfrm>
                    <a:prstGeom prst="rect">
                      <a:avLst/>
                    </a:prstGeom>
                  </pic:spPr>
                </pic:pic>
              </a:graphicData>
            </a:graphic>
          </wp:inline>
        </w:drawing>
      </w:r>
    </w:p>
    <w:p w14:paraId="28D2AE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28"/>
          <w:szCs w:val="28"/>
          <w:lang w:val="en-US" w:eastAsia="zh-CN"/>
        </w:rPr>
      </w:pPr>
    </w:p>
    <w:p w14:paraId="163C7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drawing>
          <wp:inline distT="0" distB="0" distL="114300" distR="114300">
            <wp:extent cx="5255260" cy="3941445"/>
            <wp:effectExtent l="0" t="0" r="2540" b="1905"/>
            <wp:docPr id="6" name="图片 6" descr="IMG_20250528_13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528_134440"/>
                    <pic:cNvPicPr>
                      <a:picLocks noChangeAspect="1"/>
                    </pic:cNvPicPr>
                  </pic:nvPicPr>
                  <pic:blipFill>
                    <a:blip r:embed="rId7"/>
                    <a:stretch>
                      <a:fillRect/>
                    </a:stretch>
                  </pic:blipFill>
                  <pic:spPr>
                    <a:xfrm>
                      <a:off x="0" y="0"/>
                      <a:ext cx="5255260" cy="3941445"/>
                    </a:xfrm>
                    <a:prstGeom prst="rect">
                      <a:avLst/>
                    </a:prstGeom>
                  </pic:spPr>
                </pic:pic>
              </a:graphicData>
            </a:graphic>
          </wp:inline>
        </w:drawing>
      </w:r>
    </w:p>
    <w:p w14:paraId="7EF1F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28"/>
          <w:szCs w:val="28"/>
          <w:lang w:val="en-US" w:eastAsia="zh-CN"/>
        </w:rPr>
      </w:pPr>
    </w:p>
    <w:p w14:paraId="776A53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drawing>
          <wp:inline distT="0" distB="0" distL="114300" distR="114300">
            <wp:extent cx="5274310" cy="3955415"/>
            <wp:effectExtent l="0" t="0" r="2540" b="6985"/>
            <wp:docPr id="7" name="图片 7" descr="052330524caa13577d969595dde3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52330524caa13577d969595dde31f1"/>
                    <pic:cNvPicPr>
                      <a:picLocks noChangeAspect="1"/>
                    </pic:cNvPicPr>
                  </pic:nvPicPr>
                  <pic:blipFill>
                    <a:blip r:embed="rId8"/>
                    <a:stretch>
                      <a:fillRect/>
                    </a:stretch>
                  </pic:blipFill>
                  <pic:spPr>
                    <a:xfrm>
                      <a:off x="0" y="0"/>
                      <a:ext cx="5274310" cy="3955415"/>
                    </a:xfrm>
                    <a:prstGeom prst="rect">
                      <a:avLst/>
                    </a:prstGeom>
                  </pic:spPr>
                </pic:pic>
              </a:graphicData>
            </a:graphic>
          </wp:inline>
        </w:drawing>
      </w:r>
    </w:p>
    <w:p w14:paraId="345E9F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drawing>
          <wp:inline distT="0" distB="0" distL="114300" distR="114300">
            <wp:extent cx="5274310" cy="3955415"/>
            <wp:effectExtent l="0" t="0" r="2540" b="6985"/>
            <wp:docPr id="8" name="图片 8" descr="d90e03a28ba60a981e72fb16046b1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90e03a28ba60a981e72fb16046b1ac"/>
                    <pic:cNvPicPr>
                      <a:picLocks noChangeAspect="1"/>
                    </pic:cNvPicPr>
                  </pic:nvPicPr>
                  <pic:blipFill>
                    <a:blip r:embed="rId9"/>
                    <a:stretch>
                      <a:fillRect/>
                    </a:stretch>
                  </pic:blipFill>
                  <pic:spPr>
                    <a:xfrm>
                      <a:off x="0" y="0"/>
                      <a:ext cx="5274310" cy="3955415"/>
                    </a:xfrm>
                    <a:prstGeom prst="rect">
                      <a:avLst/>
                    </a:prstGeom>
                  </pic:spPr>
                </pic:pic>
              </a:graphicData>
            </a:graphic>
          </wp:inline>
        </w:drawing>
      </w:r>
    </w:p>
    <w:p w14:paraId="22C4DE3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FF0000"/>
          <w:sz w:val="28"/>
          <w:szCs w:val="28"/>
          <w:lang w:val="en-US" w:eastAsia="zh-CN"/>
        </w:rPr>
      </w:pPr>
    </w:p>
    <w:p w14:paraId="7671A4E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FF0000"/>
          <w:sz w:val="28"/>
          <w:szCs w:val="28"/>
          <w:lang w:val="en-US" w:eastAsia="zh-CN"/>
        </w:rPr>
      </w:pPr>
    </w:p>
    <w:p w14:paraId="0FB4BE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FF0000"/>
          <w:sz w:val="28"/>
          <w:szCs w:val="28"/>
          <w:lang w:val="en-US" w:eastAsia="zh-CN"/>
        </w:rPr>
      </w:pPr>
    </w:p>
    <w:p w14:paraId="29E1336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76" w:lineRule="atLeast"/>
        <w:ind w:right="0" w:rightChars="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三、项目和资金管理办法</w:t>
      </w:r>
    </w:p>
    <w:p w14:paraId="6F66AB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FF0000"/>
          <w:sz w:val="32"/>
          <w:szCs w:val="32"/>
          <w:lang w:val="en-US" w:eastAsia="zh-CN"/>
        </w:rPr>
      </w:pPr>
      <w:r>
        <w:rPr>
          <w:rFonts w:hint="eastAsia" w:ascii="仿宋_GB2312" w:hAnsi="仿宋_GB2312" w:eastAsia="仿宋_GB2312" w:cs="仿宋_GB2312"/>
          <w:color w:val="FF0000"/>
          <w:sz w:val="28"/>
          <w:szCs w:val="28"/>
          <w:lang w:val="en-US" w:eastAsia="zh-CN"/>
        </w:rPr>
        <w:t xml:space="preserve">    </w:t>
      </w:r>
      <w:r>
        <w:rPr>
          <w:rFonts w:hint="eastAsia" w:ascii="仿宋" w:hAnsi="仿宋" w:eastAsia="仿宋" w:cs="仿宋"/>
          <w:kern w:val="0"/>
          <w:sz w:val="32"/>
          <w:szCs w:val="32"/>
        </w:rPr>
        <w:t>《四川省中央和省级财政彩票公益金支持社会福利事业资金管理办法》（川财社〔2020〕64号）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《四川省民政厅福利彩票公益金使用管理办法（川民发〔2021〕102号）》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四川省财政厅关于印发《四川省政府采购评审专家劳务报酬标准》的通知（川财规〔2023〕6号）</w:t>
      </w:r>
      <w:r>
        <w:rPr>
          <w:rFonts w:hint="eastAsia" w:ascii="仿宋" w:hAnsi="仿宋" w:eastAsia="仿宋" w:cs="仿宋"/>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2Q1YzcyMWNiZTE0YmIxZjVjNDUwZWJlOTE3Y2EifQ=="/>
  </w:docVars>
  <w:rsids>
    <w:rsidRoot w:val="00000000"/>
    <w:rsid w:val="010448E5"/>
    <w:rsid w:val="018C11BF"/>
    <w:rsid w:val="018D50A9"/>
    <w:rsid w:val="0331264C"/>
    <w:rsid w:val="05A828ED"/>
    <w:rsid w:val="065A4F8C"/>
    <w:rsid w:val="0B0059FF"/>
    <w:rsid w:val="0C0D15D3"/>
    <w:rsid w:val="0F6E4136"/>
    <w:rsid w:val="12325681"/>
    <w:rsid w:val="125408D7"/>
    <w:rsid w:val="1313649C"/>
    <w:rsid w:val="19130BD7"/>
    <w:rsid w:val="191D647A"/>
    <w:rsid w:val="1CBA6F4B"/>
    <w:rsid w:val="1D7A45EE"/>
    <w:rsid w:val="1DAB5630"/>
    <w:rsid w:val="1E5D6A7C"/>
    <w:rsid w:val="1EAD5719"/>
    <w:rsid w:val="20A35C0A"/>
    <w:rsid w:val="20E46E33"/>
    <w:rsid w:val="22E078DD"/>
    <w:rsid w:val="242A0F76"/>
    <w:rsid w:val="32C7780F"/>
    <w:rsid w:val="34BA4404"/>
    <w:rsid w:val="3534472C"/>
    <w:rsid w:val="37B11012"/>
    <w:rsid w:val="38B95B73"/>
    <w:rsid w:val="3924582D"/>
    <w:rsid w:val="3A482411"/>
    <w:rsid w:val="3BAE6DAA"/>
    <w:rsid w:val="3D18555E"/>
    <w:rsid w:val="3F8D515A"/>
    <w:rsid w:val="3F96700B"/>
    <w:rsid w:val="3FB7487D"/>
    <w:rsid w:val="3FBD23EC"/>
    <w:rsid w:val="41E719A3"/>
    <w:rsid w:val="452D1DC2"/>
    <w:rsid w:val="48223D9D"/>
    <w:rsid w:val="488C5052"/>
    <w:rsid w:val="4DCF0130"/>
    <w:rsid w:val="4E4C0958"/>
    <w:rsid w:val="4E6975AD"/>
    <w:rsid w:val="4EB128C5"/>
    <w:rsid w:val="50D33EBC"/>
    <w:rsid w:val="55FB7373"/>
    <w:rsid w:val="564C0A04"/>
    <w:rsid w:val="57172676"/>
    <w:rsid w:val="5D8E73C3"/>
    <w:rsid w:val="60C34F31"/>
    <w:rsid w:val="615C785F"/>
    <w:rsid w:val="620411FA"/>
    <w:rsid w:val="638D1F52"/>
    <w:rsid w:val="64672E08"/>
    <w:rsid w:val="666E5E24"/>
    <w:rsid w:val="670B26D0"/>
    <w:rsid w:val="675217C8"/>
    <w:rsid w:val="67A61834"/>
    <w:rsid w:val="67AF4E0C"/>
    <w:rsid w:val="691F72A9"/>
    <w:rsid w:val="69393DB3"/>
    <w:rsid w:val="702F0198"/>
    <w:rsid w:val="70871A55"/>
    <w:rsid w:val="71584549"/>
    <w:rsid w:val="71673AF1"/>
    <w:rsid w:val="7634625D"/>
    <w:rsid w:val="7A6F04BE"/>
    <w:rsid w:val="7B77DB57"/>
    <w:rsid w:val="7B800A7D"/>
    <w:rsid w:val="7DB021D4"/>
    <w:rsid w:val="B377FFA4"/>
    <w:rsid w:val="FFAB0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Text1I2"/>
    <w:basedOn w:val="6"/>
    <w:next w:val="1"/>
    <w:qFormat/>
    <w:uiPriority w:val="0"/>
    <w:pPr>
      <w:suppressAutoHyphens/>
      <w:bidi w:val="0"/>
      <w:spacing w:after="120" w:line="600" w:lineRule="atLeast"/>
      <w:ind w:firstLine="420"/>
      <w:jc w:val="both"/>
      <w:textAlignment w:val="baseline"/>
    </w:pPr>
    <w:rPr>
      <w:rFonts w:ascii="仿宋_GB2312" w:hAnsi="Times New Roman" w:eastAsia="仿宋_GB2312" w:cs="Times New Roman"/>
      <w:color w:val="000000"/>
      <w:kern w:val="2"/>
      <w:sz w:val="28"/>
      <w:szCs w:val="21"/>
      <w:lang w:val="en-US" w:eastAsia="zh-CN" w:bidi="ar-SA"/>
    </w:rPr>
  </w:style>
  <w:style w:type="paragraph" w:customStyle="1" w:styleId="6">
    <w:name w:val="BodyTextIndent"/>
    <w:basedOn w:val="1"/>
    <w:qFormat/>
    <w:uiPriority w:val="0"/>
    <w:pPr>
      <w:suppressAutoHyphens/>
      <w:bidi w:val="0"/>
      <w:spacing w:line="600" w:lineRule="atLeast"/>
      <w:ind w:firstLine="600"/>
      <w:jc w:val="both"/>
      <w:textAlignment w:val="baseline"/>
    </w:pPr>
    <w:rPr>
      <w:rFonts w:ascii="仿宋_GB2312" w:hAnsi="Times New Roman" w:eastAsia="仿宋_GB2312" w:cs="Times New Roman"/>
      <w:b/>
      <w:bCs/>
      <w:color w:val="000000"/>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1090</Words>
  <Characters>1139</Characters>
  <Lines>0</Lines>
  <Paragraphs>0</Paragraphs>
  <TotalTime>5</TotalTime>
  <ScaleCrop>false</ScaleCrop>
  <LinksUpToDate>false</LinksUpToDate>
  <CharactersWithSpaces>1144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2024-03-28T23:11:00Z</dcterms:created>
  <dc:creator>Administrator</dc:creator>
  <cp:lastModifiedBy>Administrator</cp:lastModifiedBy>
  <dcterms:modified xsi:type="dcterms:W3CDTF">2025-06-05T05:59:09Z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E90D769B6D47447EB89396D210786002_13</vt:lpwstr>
  </property>
  <property fmtid="{D5CDD505-2E9C-101B-9397-08002B2CF9AE}" pid="4" name="KSOTemplateDocerSaveRecord">
    <vt:lpwstr>eyJoZGlkIjoiNGI3ZGEwZjE3OGQ5NzI0NjE5MzI2MjIyMzg3ZTZkNGYifQ==</vt:lpwstr>
  </property>
</Properties>
</file>