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6527F3">
      <w:pPr>
        <w:spacing w:line="578" w:lineRule="exact"/>
        <w:jc w:val="both"/>
        <w:rPr>
          <w:rFonts w:eastAsia="方正小标宋简体"/>
          <w:snapToGrid w:val="0"/>
          <w:kern w:val="0"/>
          <w:sz w:val="44"/>
          <w:szCs w:val="44"/>
        </w:rPr>
      </w:pPr>
      <w:bookmarkStart w:id="0" w:name="_GoBack"/>
      <w:bookmarkEnd w:id="0"/>
      <w:r>
        <w:rPr>
          <w:rFonts w:eastAsia="方正小标宋简体"/>
          <w:snapToGrid w:val="0"/>
          <w:kern w:val="0"/>
          <w:sz w:val="44"/>
          <w:szCs w:val="44"/>
        </w:rPr>
        <w:t>关于进一步加强全市砂石矿山资源管理工作的</w:t>
      </w:r>
    </w:p>
    <w:p w14:paraId="4FFD0B77">
      <w:pPr>
        <w:spacing w:line="578" w:lineRule="exact"/>
        <w:jc w:val="center"/>
        <w:rPr>
          <w:rFonts w:eastAsia="方正小标宋简体"/>
          <w:snapToGrid w:val="0"/>
          <w:kern w:val="0"/>
          <w:sz w:val="44"/>
          <w:szCs w:val="44"/>
        </w:rPr>
      </w:pPr>
      <w:r>
        <w:rPr>
          <w:rFonts w:eastAsia="方正小标宋简体"/>
          <w:snapToGrid w:val="0"/>
          <w:kern w:val="0"/>
          <w:sz w:val="44"/>
          <w:szCs w:val="44"/>
        </w:rPr>
        <w:t>通知（征求意见稿）</w:t>
      </w:r>
    </w:p>
    <w:p w14:paraId="662AACF6">
      <w:pPr>
        <w:spacing w:line="578" w:lineRule="exact"/>
        <w:rPr>
          <w:rFonts w:eastAsia="仿宋_GB2312"/>
          <w:snapToGrid w:val="0"/>
          <w:kern w:val="0"/>
          <w:sz w:val="32"/>
          <w:szCs w:val="32"/>
        </w:rPr>
      </w:pPr>
    </w:p>
    <w:p w14:paraId="05268BF6">
      <w:pPr>
        <w:spacing w:line="550" w:lineRule="exact"/>
        <w:rPr>
          <w:rFonts w:eastAsia="仿宋_GB2312"/>
          <w:snapToGrid w:val="0"/>
          <w:kern w:val="0"/>
          <w:sz w:val="32"/>
          <w:szCs w:val="32"/>
        </w:rPr>
      </w:pPr>
      <w:r>
        <w:rPr>
          <w:rFonts w:eastAsia="仿宋_GB2312"/>
          <w:snapToGrid w:val="0"/>
          <w:kern w:val="0"/>
          <w:sz w:val="32"/>
          <w:szCs w:val="32"/>
        </w:rPr>
        <w:t>各乡（镇）人民政府、街道办事处、市级相关部门：</w:t>
      </w:r>
    </w:p>
    <w:p w14:paraId="0A6609E1">
      <w:pPr>
        <w:spacing w:line="550" w:lineRule="exact"/>
        <w:ind w:firstLine="640" w:firstLineChars="200"/>
        <w:rPr>
          <w:rFonts w:eastAsia="仿宋_GB2312"/>
          <w:snapToGrid w:val="0"/>
          <w:kern w:val="0"/>
          <w:sz w:val="32"/>
          <w:szCs w:val="32"/>
        </w:rPr>
      </w:pPr>
      <w:r>
        <w:rPr>
          <w:rFonts w:eastAsia="仿宋_GB2312"/>
          <w:snapToGrid w:val="0"/>
          <w:kern w:val="0"/>
          <w:sz w:val="32"/>
          <w:szCs w:val="32"/>
        </w:rPr>
        <w:t>为进一步规范全市砂石矿山资源开发利用秩序，有效解决全市砂石矿山“小、散、多、乱、污”问题，最大限度降低矿产资源开发对生态环境的扰动，尽快扭转万源市矿山生态修复的被动局面，实现保障经济社会发展与保护良好生态环境的有机统一。根据《自然资源部关于进一步完善矿产资源勘查开采登记管理的通知》（自然资规〔2023〕4号）、《</w:t>
      </w:r>
      <w:r>
        <w:rPr>
          <w:rFonts w:hint="eastAsia" w:eastAsia="仿宋_GB2312"/>
          <w:snapToGrid w:val="0"/>
          <w:kern w:val="0"/>
          <w:sz w:val="32"/>
          <w:szCs w:val="32"/>
        </w:rPr>
        <w:t>自然资源部关于深化矿产资源管理改革若干事项的意见》（自然资规〔2023〕6号）、《自然资源部关于规范和完善砂石开采管理的通知》（自然资发〔2023〕57号）、《四川省自然资源厅关于进一步规范矿业权管理的通知》（川自然资规〔2024〕2号）精神，</w:t>
      </w:r>
      <w:r>
        <w:rPr>
          <w:rFonts w:eastAsia="仿宋_GB2312"/>
          <w:snapToGrid w:val="0"/>
          <w:kern w:val="0"/>
          <w:sz w:val="32"/>
          <w:szCs w:val="32"/>
        </w:rPr>
        <w:t>现将有关事项通知如下。</w:t>
      </w:r>
    </w:p>
    <w:p w14:paraId="6EA8636A">
      <w:pPr>
        <w:spacing w:line="550" w:lineRule="exact"/>
        <w:ind w:firstLine="640" w:firstLineChars="200"/>
        <w:rPr>
          <w:rFonts w:eastAsia="黑体"/>
          <w:snapToGrid w:val="0"/>
          <w:kern w:val="0"/>
          <w:sz w:val="32"/>
          <w:szCs w:val="32"/>
        </w:rPr>
      </w:pPr>
      <w:r>
        <w:rPr>
          <w:rFonts w:eastAsia="黑体"/>
          <w:snapToGrid w:val="0"/>
          <w:kern w:val="0"/>
          <w:sz w:val="32"/>
          <w:szCs w:val="32"/>
        </w:rPr>
        <w:t>一、提升砂石资源开发利用水平</w:t>
      </w:r>
    </w:p>
    <w:p w14:paraId="7A82D075">
      <w:pPr>
        <w:spacing w:line="550" w:lineRule="exact"/>
        <w:ind w:firstLine="640" w:firstLineChars="200"/>
        <w:rPr>
          <w:rFonts w:eastAsia="仿宋_GB2312"/>
          <w:snapToGrid w:val="0"/>
          <w:kern w:val="0"/>
          <w:sz w:val="32"/>
          <w:szCs w:val="32"/>
        </w:rPr>
      </w:pPr>
      <w:r>
        <w:rPr>
          <w:rFonts w:eastAsia="仿宋_GB2312"/>
          <w:snapToGrid w:val="0"/>
          <w:kern w:val="0"/>
          <w:sz w:val="32"/>
          <w:szCs w:val="32"/>
        </w:rPr>
        <w:t>（一）进一步规范砂石矿山资源开发利用秩序，建设绿色、安全、环保的砂石矿山，最大限度降低砂石矿山资源开发对生态环境的扰动。不断提升砂石矿山资源开发利用水平，推动资源利用方式向集约化、绿色化转变，提高资源利用效率和效益，从根本上解决全市砂石矿山资源开发利用粗放、开采工艺技术落后、自然生态环境代价高等突出问题，推动我市砂石矿山开发利用走出一条科技含量高、环境污染小、安全有保障、资源利用高、经济效益好的科学绿色发展路子。</w:t>
      </w:r>
    </w:p>
    <w:p w14:paraId="6B01F6E0">
      <w:pPr>
        <w:spacing w:line="550" w:lineRule="exact"/>
        <w:ind w:firstLine="640" w:firstLineChars="200"/>
        <w:rPr>
          <w:rFonts w:eastAsia="黑体"/>
          <w:snapToGrid w:val="0"/>
          <w:kern w:val="0"/>
          <w:sz w:val="32"/>
          <w:szCs w:val="32"/>
        </w:rPr>
      </w:pPr>
      <w:r>
        <w:rPr>
          <w:rFonts w:eastAsia="黑体"/>
          <w:snapToGrid w:val="0"/>
          <w:kern w:val="0"/>
          <w:sz w:val="32"/>
          <w:szCs w:val="32"/>
        </w:rPr>
        <w:t>二、严格砂石资源规划管控</w:t>
      </w:r>
    </w:p>
    <w:p w14:paraId="2B9361F9">
      <w:pPr>
        <w:spacing w:line="550" w:lineRule="exact"/>
        <w:ind w:firstLine="640" w:firstLineChars="200"/>
        <w:rPr>
          <w:rFonts w:eastAsia="仿宋_GB2312"/>
          <w:snapToGrid w:val="0"/>
          <w:kern w:val="0"/>
          <w:sz w:val="32"/>
          <w:szCs w:val="32"/>
        </w:rPr>
      </w:pPr>
      <w:r>
        <w:rPr>
          <w:rFonts w:eastAsia="仿宋_GB2312"/>
          <w:snapToGrid w:val="0"/>
          <w:kern w:val="0"/>
          <w:sz w:val="32"/>
          <w:szCs w:val="32"/>
        </w:rPr>
        <w:t>（二）坚持“生态优先、绿色发展”，持续优化矿产开发布局。充分衔接国土空间规划，在《万源市矿产资源总体规划（2021-2025年）》基础上，科学合理编制《万源市矿产资源总体规划（202</w:t>
      </w:r>
      <w:r>
        <w:rPr>
          <w:rFonts w:hint="eastAsia" w:eastAsia="仿宋_GB2312"/>
          <w:snapToGrid w:val="0"/>
          <w:kern w:val="0"/>
          <w:sz w:val="32"/>
          <w:szCs w:val="32"/>
        </w:rPr>
        <w:t>6</w:t>
      </w:r>
      <w:r>
        <w:rPr>
          <w:rFonts w:eastAsia="仿宋_GB2312"/>
          <w:snapToGrid w:val="0"/>
          <w:kern w:val="0"/>
          <w:sz w:val="32"/>
          <w:szCs w:val="32"/>
        </w:rPr>
        <w:t>-20</w:t>
      </w:r>
      <w:r>
        <w:rPr>
          <w:rFonts w:hint="eastAsia" w:eastAsia="仿宋_GB2312"/>
          <w:snapToGrid w:val="0"/>
          <w:kern w:val="0"/>
          <w:sz w:val="32"/>
          <w:szCs w:val="32"/>
        </w:rPr>
        <w:t>30</w:t>
      </w:r>
      <w:r>
        <w:rPr>
          <w:rFonts w:eastAsia="仿宋_GB2312"/>
          <w:snapToGrid w:val="0"/>
          <w:kern w:val="0"/>
          <w:sz w:val="32"/>
          <w:szCs w:val="32"/>
        </w:rPr>
        <w:t>年）》，实行矿产资源规模化、集约化、绿色化开发利用。坚持“合理布局、控制总量”原则，全市原则上砂石集中开采区不超过3个，每个集中开采区内投放矿权数不超过5个，到2025年底全市砂石矿山（普通建筑砂石土类）总数控制在</w:t>
      </w:r>
      <w:r>
        <w:rPr>
          <w:rFonts w:hint="eastAsia" w:eastAsia="仿宋_GB2312"/>
          <w:snapToGrid w:val="0"/>
          <w:kern w:val="0"/>
          <w:sz w:val="32"/>
          <w:szCs w:val="32"/>
        </w:rPr>
        <w:t>12</w:t>
      </w:r>
      <w:r>
        <w:rPr>
          <w:rFonts w:eastAsia="仿宋_GB2312"/>
          <w:snapToGrid w:val="0"/>
          <w:kern w:val="0"/>
          <w:sz w:val="32"/>
          <w:szCs w:val="32"/>
        </w:rPr>
        <w:t>个以内。根据重点工程建设项目规划、布局和现状，结合砂石资源禀赋和开发利用现状，提前谋划和合理制定砂石出让年度计划，有序投放砂石采矿权。</w:t>
      </w:r>
    </w:p>
    <w:p w14:paraId="3D935DFB">
      <w:pPr>
        <w:spacing w:line="550" w:lineRule="exact"/>
        <w:ind w:firstLine="640" w:firstLineChars="200"/>
        <w:rPr>
          <w:rFonts w:eastAsia="黑体"/>
          <w:snapToGrid w:val="0"/>
          <w:kern w:val="0"/>
          <w:sz w:val="32"/>
          <w:szCs w:val="32"/>
        </w:rPr>
      </w:pPr>
      <w:r>
        <w:rPr>
          <w:rFonts w:eastAsia="黑体"/>
          <w:snapToGrid w:val="0"/>
          <w:kern w:val="0"/>
          <w:sz w:val="32"/>
          <w:szCs w:val="32"/>
        </w:rPr>
        <w:t>三、优化矿业权管控模式</w:t>
      </w:r>
    </w:p>
    <w:p w14:paraId="694B3A97">
      <w:pPr>
        <w:spacing w:line="550" w:lineRule="exact"/>
        <w:ind w:firstLine="640" w:firstLineChars="200"/>
        <w:rPr>
          <w:rFonts w:eastAsia="仿宋_GB2312"/>
          <w:snapToGrid w:val="0"/>
          <w:kern w:val="0"/>
          <w:sz w:val="32"/>
          <w:szCs w:val="32"/>
        </w:rPr>
      </w:pPr>
      <w:r>
        <w:rPr>
          <w:rFonts w:eastAsia="仿宋_GB2312"/>
          <w:snapToGrid w:val="0"/>
          <w:kern w:val="0"/>
          <w:sz w:val="32"/>
          <w:szCs w:val="32"/>
        </w:rPr>
        <w:t>（三）严格采矿权出让流程。市自然资源局负责全市砂石采矿权出让前期准备工作，组织发改、经信、生态环境、交运、水务、农业农村、文体旅游、应急、林业等部门及乡镇人民政府进行实地踏勘、共同选址，编制《矿产资源勘探（储量核实）报告》和《砂石采矿权招标拍卖挂牌出让方案》。属万源市出让权限的采矿权，《砂石采矿权招标拍卖挂牌出让方案》由万源市人民政府审批后，委托万源市公共资源交易服务中心在公共资源交易平台公开出让；属达州市级出让权限的采矿权，《采矿权招标拍卖挂牌出让方案》经万源市人民政府审核同意后，报达州</w:t>
      </w:r>
      <w:r>
        <w:rPr>
          <w:rFonts w:eastAsia="仿宋_GB2312"/>
          <w:color w:val="000000"/>
          <w:sz w:val="32"/>
          <w:szCs w:val="32"/>
        </w:rPr>
        <w:t>市自然资源和规划局</w:t>
      </w:r>
      <w:r>
        <w:rPr>
          <w:rFonts w:eastAsia="仿宋_GB2312"/>
          <w:snapToGrid w:val="0"/>
          <w:kern w:val="0"/>
          <w:sz w:val="32"/>
          <w:szCs w:val="32"/>
        </w:rPr>
        <w:t>审查。</w:t>
      </w:r>
    </w:p>
    <w:p w14:paraId="58AB5E90">
      <w:pPr>
        <w:spacing w:line="550" w:lineRule="exact"/>
        <w:ind w:firstLine="640" w:firstLineChars="200"/>
        <w:rPr>
          <w:rFonts w:eastAsia="仿宋_GB2312"/>
          <w:snapToGrid w:val="0"/>
          <w:kern w:val="0"/>
          <w:sz w:val="32"/>
          <w:szCs w:val="32"/>
        </w:rPr>
      </w:pPr>
      <w:r>
        <w:rPr>
          <w:rFonts w:eastAsia="仿宋_GB2312"/>
          <w:snapToGrid w:val="0"/>
          <w:kern w:val="0"/>
          <w:sz w:val="32"/>
          <w:szCs w:val="32"/>
        </w:rPr>
        <w:t>（四）严格采矿权设置标准。砂石资源开发实行资源储量和生产规模双控机制，切实提高新设采矿权准入门槛。原则上新设的砂石采矿权资源储量不低于1000万吨、生产规模不低于100万吨/年、服务年限不低于</w:t>
      </w:r>
      <w:r>
        <w:rPr>
          <w:rFonts w:hint="eastAsia" w:eastAsia="仿宋_GB2312"/>
          <w:snapToGrid w:val="0"/>
          <w:kern w:val="0"/>
          <w:sz w:val="32"/>
          <w:szCs w:val="32"/>
        </w:rPr>
        <w:t>10年</w:t>
      </w:r>
      <w:r>
        <w:rPr>
          <w:rFonts w:eastAsia="仿宋_GB2312"/>
          <w:snapToGrid w:val="0"/>
          <w:kern w:val="0"/>
          <w:sz w:val="32"/>
          <w:szCs w:val="32"/>
        </w:rPr>
        <w:t>；保障市级及以上重点工程建设等项目的，可适当降低资源储量和生产规模，服务年限与项目建设期限衔接，项目竣工验收后3个月内由自然资源局按程序注销采矿权，并督促矿业权人完成矿区和采矿影响区生态修复等工作。</w:t>
      </w:r>
    </w:p>
    <w:p w14:paraId="4017E12D">
      <w:pPr>
        <w:spacing w:line="550" w:lineRule="exact"/>
        <w:ind w:firstLine="640" w:firstLineChars="200"/>
        <w:rPr>
          <w:rFonts w:eastAsia="仿宋_GB2312"/>
          <w:snapToGrid w:val="0"/>
          <w:kern w:val="0"/>
          <w:sz w:val="32"/>
          <w:szCs w:val="32"/>
        </w:rPr>
      </w:pPr>
      <w:r>
        <w:rPr>
          <w:rFonts w:eastAsia="仿宋_GB2312"/>
          <w:snapToGrid w:val="0"/>
          <w:kern w:val="0"/>
          <w:sz w:val="32"/>
          <w:szCs w:val="32"/>
        </w:rPr>
        <w:t>（五）全面推进采矿权竞争性出让。坚持市场化配置资源，全面推进可直接出让采矿权的普通建筑用砂石等矿产资源，根据评审通过的勘探（储量核实）报告，直接以招标、拍卖、挂牌方式在网上公开竞争出让。</w:t>
      </w:r>
    </w:p>
    <w:p w14:paraId="158AAE0D">
      <w:pPr>
        <w:spacing w:line="550" w:lineRule="exact"/>
        <w:ind w:firstLine="640" w:firstLineChars="200"/>
        <w:rPr>
          <w:rFonts w:eastAsia="仿宋_GB2312"/>
          <w:snapToGrid w:val="0"/>
          <w:kern w:val="0"/>
          <w:sz w:val="32"/>
          <w:szCs w:val="32"/>
        </w:rPr>
      </w:pPr>
      <w:r>
        <w:rPr>
          <w:rFonts w:eastAsia="仿宋_GB2312"/>
          <w:snapToGrid w:val="0"/>
          <w:kern w:val="0"/>
          <w:sz w:val="32"/>
          <w:szCs w:val="32"/>
        </w:rPr>
        <w:t>（六）积极推进砂石资源“净矿”出让。按照出让计划，由市自然资源局委托作业单位开展勘探（储量核实）工作，相关前期费用从矿业权出让收益中解决；涉及搬迁补偿的，由市应急管理局根据市自然资源局划定的矿区范围确定安全影响范围内的构建筑物拆迁对象，由乡镇人民政府与被拆迁村民签订补偿协议，市水务局负责指导涉及水利设施建设的拆迁，市经信局负责指导涉及电力设施设备、工厂企业拆迁，</w:t>
      </w:r>
      <w:r>
        <w:rPr>
          <w:rFonts w:hint="eastAsia" w:eastAsia="仿宋_GB2312"/>
          <w:snapToGrid w:val="0"/>
          <w:kern w:val="0"/>
          <w:sz w:val="32"/>
          <w:szCs w:val="32"/>
        </w:rPr>
        <w:t>广电网络、电信、移动、联通、天然气等单位负责矿业权影响范围内本单位杆（管）线等设施的拆迁，</w:t>
      </w:r>
      <w:r>
        <w:rPr>
          <w:rFonts w:eastAsia="仿宋_GB2312"/>
          <w:snapToGrid w:val="0"/>
          <w:kern w:val="0"/>
          <w:sz w:val="32"/>
          <w:szCs w:val="32"/>
        </w:rPr>
        <w:t>市自然资源局负责</w:t>
      </w:r>
      <w:r>
        <w:rPr>
          <w:rFonts w:hint="eastAsia" w:eastAsia="仿宋_GB2312"/>
          <w:snapToGrid w:val="0"/>
          <w:kern w:val="0"/>
          <w:sz w:val="32"/>
          <w:szCs w:val="32"/>
        </w:rPr>
        <w:t>参照《达州市集体土地征收补偿安置办法》标准</w:t>
      </w:r>
      <w:r>
        <w:rPr>
          <w:rFonts w:eastAsia="仿宋_GB2312"/>
          <w:snapToGrid w:val="0"/>
          <w:kern w:val="0"/>
          <w:sz w:val="32"/>
          <w:szCs w:val="32"/>
        </w:rPr>
        <w:t>协助计算补偿费用。</w:t>
      </w:r>
      <w:r>
        <w:rPr>
          <w:rFonts w:hint="eastAsia" w:eastAsia="仿宋_GB2312"/>
          <w:snapToGrid w:val="0"/>
          <w:kern w:val="0"/>
          <w:sz w:val="32"/>
          <w:szCs w:val="32"/>
        </w:rPr>
        <w:t>市财政局负责相关部门在拆迁过程中需要进行财政评审项目的评审。拆迁费用纳入出让方案，由矿业权竞得人支付。各相关单位</w:t>
      </w:r>
      <w:r>
        <w:rPr>
          <w:rFonts w:eastAsia="仿宋_GB2312"/>
          <w:snapToGrid w:val="0"/>
          <w:kern w:val="0"/>
          <w:sz w:val="32"/>
          <w:szCs w:val="32"/>
        </w:rPr>
        <w:t>做好用地用林用草等审批事项衔接，优化审批流程，提高服务效率，确保矿业权竞得人顺利进场开展勘查开采工作。</w:t>
      </w:r>
    </w:p>
    <w:p w14:paraId="7A40A5B8">
      <w:pPr>
        <w:spacing w:line="550" w:lineRule="exact"/>
        <w:ind w:firstLine="640" w:firstLineChars="200"/>
        <w:rPr>
          <w:rFonts w:eastAsia="仿宋_GB2312"/>
          <w:snapToGrid w:val="0"/>
          <w:spacing w:val="-4"/>
          <w:kern w:val="0"/>
          <w:sz w:val="32"/>
          <w:szCs w:val="32"/>
        </w:rPr>
      </w:pPr>
      <w:r>
        <w:rPr>
          <w:rFonts w:eastAsia="仿宋_GB2312"/>
          <w:snapToGrid w:val="0"/>
          <w:kern w:val="0"/>
          <w:sz w:val="32"/>
          <w:szCs w:val="32"/>
        </w:rPr>
        <w:t>（七）</w:t>
      </w:r>
      <w:r>
        <w:rPr>
          <w:rFonts w:hint="eastAsia" w:eastAsia="仿宋_GB2312"/>
          <w:snapToGrid w:val="0"/>
          <w:kern w:val="0"/>
          <w:sz w:val="32"/>
          <w:szCs w:val="32"/>
        </w:rPr>
        <w:t>严格</w:t>
      </w:r>
      <w:r>
        <w:rPr>
          <w:rFonts w:eastAsia="仿宋_GB2312"/>
          <w:snapToGrid w:val="0"/>
          <w:kern w:val="0"/>
          <w:sz w:val="32"/>
          <w:szCs w:val="32"/>
        </w:rPr>
        <w:t>采矿权延续登记。</w:t>
      </w:r>
      <w:r>
        <w:rPr>
          <w:rFonts w:hint="eastAsia" w:eastAsia="仿宋_GB2312"/>
          <w:snapToGrid w:val="0"/>
          <w:kern w:val="0"/>
          <w:sz w:val="32"/>
          <w:szCs w:val="32"/>
        </w:rPr>
        <w:t>原有砂石采矿权到期后</w:t>
      </w:r>
      <w:r>
        <w:rPr>
          <w:rFonts w:eastAsia="仿宋_GB2312"/>
          <w:snapToGrid w:val="0"/>
          <w:kern w:val="0"/>
          <w:sz w:val="32"/>
          <w:szCs w:val="32"/>
        </w:rPr>
        <w:t>原采矿权范围内确有剩余储量的，</w:t>
      </w:r>
      <w:r>
        <w:rPr>
          <w:rFonts w:hint="eastAsia" w:eastAsia="仿宋_GB2312"/>
          <w:snapToGrid w:val="0"/>
          <w:kern w:val="0"/>
          <w:sz w:val="32"/>
          <w:szCs w:val="32"/>
        </w:rPr>
        <w:t>核实采矿权人在取得采矿许可证以来发现的违法违规开</w:t>
      </w:r>
      <w:r>
        <w:rPr>
          <w:rFonts w:hint="eastAsia" w:eastAsia="仿宋_GB2312"/>
          <w:snapToGrid w:val="0"/>
          <w:spacing w:val="-4"/>
          <w:kern w:val="0"/>
          <w:sz w:val="32"/>
          <w:szCs w:val="32"/>
        </w:rPr>
        <w:t>采行为已处理结案，且</w:t>
      </w:r>
      <w:r>
        <w:rPr>
          <w:rFonts w:hint="eastAsia" w:eastAsia="仿宋_GB2312"/>
          <w:snapToGrid w:val="0"/>
          <w:kern w:val="0"/>
          <w:sz w:val="32"/>
          <w:szCs w:val="32"/>
        </w:rPr>
        <w:t>未新发现违法违规开采行为，</w:t>
      </w:r>
      <w:r>
        <w:rPr>
          <w:rFonts w:hint="eastAsia" w:eastAsia="仿宋_GB2312"/>
          <w:snapToGrid w:val="0"/>
          <w:spacing w:val="-4"/>
          <w:kern w:val="0"/>
          <w:sz w:val="32"/>
          <w:szCs w:val="32"/>
        </w:rPr>
        <w:t>并按规定履行安全生产、生态修复、缴税纳税等法定义务的前提下，不扩大矿区范围、不新增资源储量，按照剩余储量和生产规模（未达到中型生产规模的提高到中型及以上，即灰岩矿不低于5万立方米/年，约15万吨，页岩矿不低于6万吨/年，储量规模必须满足最低5年的1/3，即1年零8个月）可对其延续1次，具体服务年限根据实际情况确定，到期后不再延续。</w:t>
      </w:r>
    </w:p>
    <w:p w14:paraId="14BCB8F7">
      <w:pPr>
        <w:spacing w:line="550" w:lineRule="exact"/>
        <w:ind w:firstLine="624" w:firstLineChars="200"/>
        <w:rPr>
          <w:rFonts w:eastAsia="仿宋_GB2312"/>
          <w:snapToGrid w:val="0"/>
          <w:spacing w:val="-4"/>
          <w:kern w:val="0"/>
          <w:sz w:val="32"/>
          <w:szCs w:val="32"/>
        </w:rPr>
      </w:pPr>
      <w:r>
        <w:rPr>
          <w:rFonts w:hint="eastAsia" w:eastAsia="仿宋_GB2312"/>
          <w:snapToGrid w:val="0"/>
          <w:spacing w:val="-4"/>
          <w:kern w:val="0"/>
          <w:sz w:val="32"/>
          <w:szCs w:val="32"/>
        </w:rPr>
        <w:t>采矿权延续登记前，应当做好以下几项工作：一是采矿权人与属地乡镇或者市交运局签订进出道路管护协议，并按协议做好道路日常管护。二是提交延续登记申请前，要完成路面修复，经乡镇和交运局验收合格后方可受理延续。三是无重大信访且履行生</w:t>
      </w:r>
      <w:r>
        <w:rPr>
          <w:rFonts w:hint="eastAsia" w:eastAsia="仿宋_GB2312"/>
          <w:snapToGrid w:val="0"/>
          <w:spacing w:val="-10"/>
          <w:kern w:val="0"/>
          <w:sz w:val="32"/>
          <w:szCs w:val="32"/>
        </w:rPr>
        <w:t>态修复义务。四是违法行为处置到位、执行到位，消除违法状态</w:t>
      </w:r>
      <w:r>
        <w:rPr>
          <w:rFonts w:hint="eastAsia" w:eastAsia="仿宋_GB2312"/>
          <w:snapToGrid w:val="0"/>
          <w:spacing w:val="-4"/>
          <w:kern w:val="0"/>
          <w:sz w:val="32"/>
          <w:szCs w:val="32"/>
        </w:rPr>
        <w:t>。</w:t>
      </w:r>
    </w:p>
    <w:p w14:paraId="12F90B4B">
      <w:pPr>
        <w:spacing w:line="550" w:lineRule="exact"/>
        <w:ind w:firstLine="640" w:firstLineChars="200"/>
        <w:rPr>
          <w:rFonts w:eastAsia="仿宋_GB2312"/>
          <w:snapToGrid w:val="0"/>
          <w:kern w:val="0"/>
          <w:sz w:val="32"/>
          <w:szCs w:val="32"/>
        </w:rPr>
      </w:pPr>
      <w:r>
        <w:rPr>
          <w:rFonts w:eastAsia="仿宋_GB2312"/>
          <w:snapToGrid w:val="0"/>
          <w:kern w:val="0"/>
          <w:sz w:val="32"/>
          <w:szCs w:val="32"/>
        </w:rPr>
        <w:t>存在以下情形的不予延续登记：</w:t>
      </w:r>
      <w:r>
        <w:rPr>
          <w:rFonts w:hint="eastAsia" w:eastAsia="仿宋_GB2312"/>
          <w:snapToGrid w:val="0"/>
          <w:spacing w:val="-4"/>
          <w:kern w:val="0"/>
          <w:sz w:val="32"/>
          <w:szCs w:val="32"/>
        </w:rPr>
        <w:t>一是位于重要交通干线（铁路、高速公路、快速通道、国省干道等）可视区范围内的矿山原则上到期不予延续。二是普通建筑石料用灰岩矿剩余资源不足25万吨、页岩矿剩余资源量不足10万吨的到期矿山不予延续。三是存在重大安全隐患未消除的到期矿山不予延续。四是不履行生态修复义务的到期矿山不予延续。包含但不限于</w:t>
      </w:r>
      <w:r>
        <w:rPr>
          <w:rFonts w:eastAsia="仿宋_GB2312"/>
          <w:snapToGrid w:val="0"/>
          <w:kern w:val="0"/>
          <w:sz w:val="32"/>
          <w:szCs w:val="32"/>
        </w:rPr>
        <w:t>应当编制《矿山地质环境保护与土地复垦方案》（矿山生态修复方案）而未编制或按法律法规应重新编制而未重新编制，且逾期不改正的；未按照批准的《矿山地质环境保护与土地复垦方案》治理且逾期拒不改正或整改不到位的；未按规定计提矿山地质环境治理恢复基金且逾期不计提的。</w:t>
      </w:r>
      <w:r>
        <w:rPr>
          <w:rFonts w:hint="eastAsia" w:eastAsia="仿宋_GB2312"/>
          <w:snapToGrid w:val="0"/>
          <w:spacing w:val="-4"/>
          <w:kern w:val="0"/>
          <w:sz w:val="32"/>
          <w:szCs w:val="32"/>
        </w:rPr>
        <w:t>五是存在违法违规开采行为未处理结案、未依法履行缴纳各类税费的矿山到期不予延续。六是因安全、环保和信访等问题在达州市级及以上曝光的典型问题且未整改到位的矿山到期不予延续。七是生态环境、应急管理和自然资源综合评价未通过者，一律不予延续。八</w:t>
      </w:r>
      <w:r>
        <w:rPr>
          <w:rFonts w:eastAsia="仿宋_GB2312"/>
          <w:snapToGrid w:val="0"/>
          <w:kern w:val="0"/>
          <w:sz w:val="32"/>
          <w:szCs w:val="32"/>
        </w:rPr>
        <w:t>是不符合有关法律、法规和国家标准或者行业标准规定的安</w:t>
      </w:r>
      <w:r>
        <w:rPr>
          <w:rFonts w:eastAsia="仿宋_GB2312"/>
          <w:snapToGrid w:val="0"/>
          <w:spacing w:val="-14"/>
          <w:kern w:val="0"/>
          <w:sz w:val="32"/>
          <w:szCs w:val="32"/>
        </w:rPr>
        <w:t>全生产条件、不符合产业发展政策的矿山企业到期不予</w:t>
      </w:r>
      <w:r>
        <w:rPr>
          <w:rFonts w:eastAsia="仿宋_GB2312"/>
          <w:snapToGrid w:val="0"/>
          <w:kern w:val="0"/>
          <w:sz w:val="32"/>
          <w:szCs w:val="32"/>
        </w:rPr>
        <w:t>延续</w:t>
      </w:r>
      <w:r>
        <w:rPr>
          <w:rFonts w:hint="eastAsia" w:eastAsia="仿宋_GB2312"/>
          <w:snapToGrid w:val="0"/>
          <w:kern w:val="0"/>
          <w:sz w:val="32"/>
          <w:szCs w:val="32"/>
        </w:rPr>
        <w:t>。</w:t>
      </w:r>
    </w:p>
    <w:p w14:paraId="46E79BC2">
      <w:pPr>
        <w:spacing w:line="550" w:lineRule="exact"/>
        <w:ind w:firstLine="640" w:firstLineChars="200"/>
        <w:rPr>
          <w:rFonts w:eastAsia="黑体"/>
          <w:snapToGrid w:val="0"/>
          <w:kern w:val="0"/>
          <w:sz w:val="32"/>
          <w:szCs w:val="32"/>
        </w:rPr>
      </w:pPr>
      <w:r>
        <w:rPr>
          <w:rFonts w:eastAsia="黑体"/>
          <w:snapToGrid w:val="0"/>
          <w:kern w:val="0"/>
          <w:sz w:val="32"/>
          <w:szCs w:val="32"/>
        </w:rPr>
        <w:t>四、强化砂石资源综合利用</w:t>
      </w:r>
    </w:p>
    <w:p w14:paraId="50EC8C55">
      <w:pPr>
        <w:spacing w:line="550" w:lineRule="exact"/>
        <w:ind w:firstLine="640" w:firstLineChars="200"/>
        <w:rPr>
          <w:rFonts w:eastAsia="仿宋_GB2312"/>
          <w:snapToGrid w:val="0"/>
          <w:kern w:val="0"/>
          <w:sz w:val="32"/>
          <w:szCs w:val="32"/>
        </w:rPr>
      </w:pPr>
      <w:r>
        <w:rPr>
          <w:rFonts w:eastAsia="仿宋_GB2312"/>
          <w:snapToGrid w:val="0"/>
          <w:kern w:val="0"/>
          <w:sz w:val="32"/>
          <w:szCs w:val="32"/>
        </w:rPr>
        <w:t>（八）机场、铁路、公路、水库及其他基础设施项目，建设单位利用项目用地红线范围内道路、桥梁、隧道施工和场地平整等建设工程产生的砂石，不办理采矿许可证。项目自用部分不收取矿业权使用费和矿业权出让收益，剩余部分由市自然资源局报请市人民政府同意后，从万源市公共资源交易服务中心随机抽取矿产资源评估单位评估，并经公示无异议后委托万源市公共资源交易服务中心组织处置。规范森林防火通道、村组道路、农村规模化种养殖等项目审批，各乡（镇）人民政府、街道办事处、市级相关部门应当加强项目施工管理，落实“谁审批、谁监管、谁负责”的原则，坚持不动用或者尽量少动用矿产资源，凡是涉及动用砂石资源的建设项目，必须经市人民政府同意并合法处置资源后方可开工建设。项目建设单位要在施工设计方案中明确动用砂石资源量、自用资源量和剩余资源量报项目主管部门审查，并由自然资源局聘请有资质的地质勘查单位对项目建设单位核定的资源量进行复核，其资源量以复核数</w:t>
      </w:r>
      <w:r>
        <w:rPr>
          <w:rFonts w:eastAsia="仿宋_GB2312"/>
          <w:snapToGrid w:val="0"/>
          <w:spacing w:val="-24"/>
          <w:kern w:val="0"/>
          <w:sz w:val="32"/>
          <w:szCs w:val="32"/>
        </w:rPr>
        <w:t>据为准。严禁借项目建设之名非法采矿，临时用地不得动用矿产资源。</w:t>
      </w:r>
    </w:p>
    <w:p w14:paraId="1D7E0BE8">
      <w:pPr>
        <w:spacing w:line="550" w:lineRule="exact"/>
        <w:ind w:firstLine="640" w:firstLineChars="200"/>
        <w:rPr>
          <w:rFonts w:eastAsia="仿宋_GB2312"/>
          <w:snapToGrid w:val="0"/>
          <w:kern w:val="0"/>
          <w:sz w:val="32"/>
          <w:szCs w:val="32"/>
        </w:rPr>
      </w:pPr>
      <w:r>
        <w:rPr>
          <w:rFonts w:eastAsia="仿宋_GB2312"/>
          <w:snapToGrid w:val="0"/>
          <w:kern w:val="0"/>
          <w:sz w:val="32"/>
          <w:szCs w:val="32"/>
        </w:rPr>
        <w:t>（九）地方政府组织实施的历史遗留露天开采类矿山修复工程及其他需整体修复工程项目综合利用砂石的，不办理采矿许可证。整体修复区域按照生态修复方案实施的修复项目，工程施工范围及施工期间采挖的砂石，可以无偿用于本工程；确有剩余需对外销售的，应按不低于普通砂石基准价缴纳矿业权出让收益，由县级人民政府组织处置。</w:t>
      </w:r>
    </w:p>
    <w:p w14:paraId="6225B35E">
      <w:pPr>
        <w:spacing w:line="550" w:lineRule="exact"/>
        <w:ind w:firstLine="640" w:firstLineChars="200"/>
        <w:rPr>
          <w:rFonts w:eastAsia="仿宋_GB2312"/>
          <w:snapToGrid w:val="0"/>
          <w:kern w:val="0"/>
          <w:sz w:val="32"/>
          <w:szCs w:val="32"/>
        </w:rPr>
      </w:pPr>
      <w:r>
        <w:rPr>
          <w:rFonts w:eastAsia="仿宋_GB2312"/>
          <w:snapToGrid w:val="0"/>
          <w:kern w:val="0"/>
          <w:sz w:val="32"/>
          <w:szCs w:val="32"/>
        </w:rPr>
        <w:t>（十）地质灾害治理、安全排危、生态修复中产生的砂石，参照本通知第九条执行。抢险救灾应急项目涉及矿产资源按相关规定执行。</w:t>
      </w:r>
    </w:p>
    <w:p w14:paraId="63330FD6">
      <w:pPr>
        <w:spacing w:line="550" w:lineRule="exact"/>
        <w:ind w:firstLine="640"/>
        <w:rPr>
          <w:rFonts w:eastAsia="黑体"/>
          <w:snapToGrid w:val="0"/>
          <w:kern w:val="0"/>
          <w:sz w:val="32"/>
          <w:szCs w:val="32"/>
        </w:rPr>
      </w:pPr>
      <w:r>
        <w:rPr>
          <w:rFonts w:eastAsia="黑体"/>
          <w:snapToGrid w:val="0"/>
          <w:kern w:val="0"/>
          <w:sz w:val="32"/>
          <w:szCs w:val="32"/>
        </w:rPr>
        <w:t>五、全面推进矿山生态修复</w:t>
      </w:r>
    </w:p>
    <w:p w14:paraId="3D038E8C">
      <w:pPr>
        <w:spacing w:line="550" w:lineRule="exact"/>
        <w:ind w:firstLine="640"/>
        <w:rPr>
          <w:rFonts w:eastAsia="仿宋_GB2312"/>
          <w:snapToGrid w:val="0"/>
          <w:kern w:val="0"/>
          <w:sz w:val="32"/>
          <w:szCs w:val="32"/>
        </w:rPr>
      </w:pPr>
      <w:r>
        <w:rPr>
          <w:rFonts w:eastAsia="仿宋_GB2312"/>
          <w:snapToGrid w:val="0"/>
          <w:kern w:val="0"/>
          <w:sz w:val="32"/>
          <w:szCs w:val="32"/>
        </w:rPr>
        <w:t>（十一）矿业权人依照国家有关规定，严格履行“边开采、边修复”义务，对其矿业活动导致生态系统受损区域开展地质环境保护与治理、土地复垦、相应监测与管护等生态修复活动。按要求签订三方监管协议，计提矿山地质环境治理恢复基金，根据矿山地质环境保护与土地复垦方案确定的经费预算、工程实施计划、进度安排等，统筹用于开展矿山地质环境治理恢复和土地复垦。坚持“谁开发、谁治理”“宜耕则耕、宜林则林、宜草则草、宜湿则湿”原则，综合考虑修复后的社会效益、经济效益和生态效益，实施矿山生态修复。</w:t>
      </w:r>
    </w:p>
    <w:p w14:paraId="592AC9AF">
      <w:pPr>
        <w:spacing w:line="550" w:lineRule="exact"/>
        <w:ind w:firstLine="640" w:firstLineChars="200"/>
        <w:rPr>
          <w:rFonts w:eastAsia="黑体"/>
          <w:snapToGrid w:val="0"/>
          <w:kern w:val="0"/>
          <w:sz w:val="32"/>
          <w:szCs w:val="32"/>
        </w:rPr>
      </w:pPr>
      <w:r>
        <w:rPr>
          <w:rFonts w:hint="eastAsia" w:eastAsia="黑体"/>
          <w:snapToGrid w:val="0"/>
          <w:kern w:val="0"/>
          <w:sz w:val="32"/>
          <w:szCs w:val="32"/>
        </w:rPr>
        <w:t>六、</w:t>
      </w:r>
      <w:r>
        <w:rPr>
          <w:rFonts w:eastAsia="黑体"/>
          <w:snapToGrid w:val="0"/>
          <w:kern w:val="0"/>
          <w:sz w:val="32"/>
          <w:szCs w:val="32"/>
        </w:rPr>
        <w:t>切实发挥监督管理作用</w:t>
      </w:r>
    </w:p>
    <w:p w14:paraId="61141D53">
      <w:pPr>
        <w:spacing w:line="550" w:lineRule="exact"/>
        <w:ind w:firstLine="640" w:firstLineChars="200"/>
        <w:rPr>
          <w:rFonts w:eastAsia="仿宋_GB2312"/>
          <w:snapToGrid w:val="0"/>
          <w:kern w:val="0"/>
          <w:sz w:val="32"/>
          <w:szCs w:val="32"/>
        </w:rPr>
      </w:pPr>
      <w:r>
        <w:rPr>
          <w:rFonts w:eastAsia="仿宋_GB2312"/>
          <w:snapToGrid w:val="0"/>
          <w:kern w:val="0"/>
          <w:sz w:val="32"/>
          <w:szCs w:val="32"/>
        </w:rPr>
        <w:t>（十二）乡镇人民政府履行属地监管责任主体，相关部门按职能职责履行行业监管责任，坚决杜绝到期停产待延续登记期间、自行废止矿山和关闭矿山借生态修复或排危治理等名义非法采矿，矿山关闭注销后，移交乡镇人民政府监管。</w:t>
      </w:r>
    </w:p>
    <w:p w14:paraId="2026E5EA">
      <w:pPr>
        <w:spacing w:line="550" w:lineRule="exact"/>
        <w:ind w:firstLine="640" w:firstLineChars="200"/>
      </w:pPr>
      <w:r>
        <w:rPr>
          <w:rFonts w:eastAsia="仿宋_GB2312"/>
          <w:snapToGrid w:val="0"/>
          <w:kern w:val="0"/>
          <w:sz w:val="32"/>
          <w:szCs w:val="32"/>
        </w:rPr>
        <w:t>本通知自印发之日起施行，实施过程中，法律法规另有规定的，从其规定。</w:t>
      </w:r>
    </w:p>
    <w:sectPr>
      <w:headerReference r:id="rId3" w:type="default"/>
      <w:footerReference r:id="rId4" w:type="default"/>
      <w:pgSz w:w="11906" w:h="16838"/>
      <w:pgMar w:top="2098" w:right="1474" w:bottom="1985" w:left="1588" w:header="851" w:footer="1134"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兰亭黑_GBK">
    <w:altName w:val="微软雅黑"/>
    <w:panose1 w:val="00000000000000000000"/>
    <w:charset w:val="86"/>
    <w:family w:val="script"/>
    <w:pitch w:val="default"/>
    <w:sig w:usb0="00000000" w:usb1="00000000" w:usb2="00080016" w:usb3="00000000" w:csb0="00040001" w:csb1="00000000"/>
  </w:font>
  <w:font w:name="微软雅黑">
    <w:panose1 w:val="020B0503020204020204"/>
    <w:charset w:val="86"/>
    <w:family w:val="auto"/>
    <w:pitch w:val="default"/>
    <w:sig w:usb0="80000287" w:usb1="2ACF3C50"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1319F">
    <w:pPr>
      <w:pStyle w:val="8"/>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1A9E49">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8"/>
  <w:displayBackgroundShape w:val="1"/>
  <w:embedSystemFonts/>
  <w:bordersDoNotSurroundHeader w:val="1"/>
  <w:bordersDoNotSurroundFooter w:val="1"/>
  <w:hideGrammaticalErrors/>
  <w:documentProtection w:enforcement="0"/>
  <w:defaultTabStop w:val="420"/>
  <w:drawingGridHorizontalSpacing w:val="105"/>
  <w:drawingGridVerticalSpacing w:val="156"/>
  <w:displayHorizontalDrawingGridEvery w:val="0"/>
  <w:displayVerticalDrawingGridEvery w:val="2"/>
  <w:noPunctuationKerning w:val="1"/>
  <w:characterSpacingControl w:val="doNotCompress"/>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941CD3"/>
    <w:rsid w:val="00003986"/>
    <w:rsid w:val="00011195"/>
    <w:rsid w:val="000115EB"/>
    <w:rsid w:val="00013752"/>
    <w:rsid w:val="000137F8"/>
    <w:rsid w:val="00013DE1"/>
    <w:rsid w:val="00015D50"/>
    <w:rsid w:val="00016202"/>
    <w:rsid w:val="00016280"/>
    <w:rsid w:val="000164A6"/>
    <w:rsid w:val="00020851"/>
    <w:rsid w:val="00021199"/>
    <w:rsid w:val="0002418F"/>
    <w:rsid w:val="00032979"/>
    <w:rsid w:val="000343EA"/>
    <w:rsid w:val="00034625"/>
    <w:rsid w:val="0003622F"/>
    <w:rsid w:val="0004126C"/>
    <w:rsid w:val="00041C8F"/>
    <w:rsid w:val="000421B4"/>
    <w:rsid w:val="000437E3"/>
    <w:rsid w:val="00043FA3"/>
    <w:rsid w:val="00044E6B"/>
    <w:rsid w:val="00045898"/>
    <w:rsid w:val="00046C7F"/>
    <w:rsid w:val="00046CAB"/>
    <w:rsid w:val="00047F9F"/>
    <w:rsid w:val="00050F54"/>
    <w:rsid w:val="00051C31"/>
    <w:rsid w:val="00052F91"/>
    <w:rsid w:val="000530F7"/>
    <w:rsid w:val="000532B6"/>
    <w:rsid w:val="000548E5"/>
    <w:rsid w:val="00054D49"/>
    <w:rsid w:val="000558FC"/>
    <w:rsid w:val="00057A0C"/>
    <w:rsid w:val="00060B5C"/>
    <w:rsid w:val="00061A74"/>
    <w:rsid w:val="00064E16"/>
    <w:rsid w:val="00066C69"/>
    <w:rsid w:val="000670CC"/>
    <w:rsid w:val="0007138E"/>
    <w:rsid w:val="000719F0"/>
    <w:rsid w:val="00075013"/>
    <w:rsid w:val="000750AE"/>
    <w:rsid w:val="0007538F"/>
    <w:rsid w:val="00076686"/>
    <w:rsid w:val="00077AE3"/>
    <w:rsid w:val="0008372B"/>
    <w:rsid w:val="000846F2"/>
    <w:rsid w:val="00086668"/>
    <w:rsid w:val="00090393"/>
    <w:rsid w:val="000918B1"/>
    <w:rsid w:val="000925A9"/>
    <w:rsid w:val="000941A9"/>
    <w:rsid w:val="00094C33"/>
    <w:rsid w:val="000957FA"/>
    <w:rsid w:val="0009614A"/>
    <w:rsid w:val="000A23E0"/>
    <w:rsid w:val="000A2B30"/>
    <w:rsid w:val="000A2C43"/>
    <w:rsid w:val="000A2CE3"/>
    <w:rsid w:val="000A4441"/>
    <w:rsid w:val="000A4B11"/>
    <w:rsid w:val="000A5D09"/>
    <w:rsid w:val="000B0BD5"/>
    <w:rsid w:val="000B41C9"/>
    <w:rsid w:val="000B4F03"/>
    <w:rsid w:val="000B4FCA"/>
    <w:rsid w:val="000B5F59"/>
    <w:rsid w:val="000B747D"/>
    <w:rsid w:val="000C193D"/>
    <w:rsid w:val="000C29DE"/>
    <w:rsid w:val="000C6F95"/>
    <w:rsid w:val="000C762C"/>
    <w:rsid w:val="000D1C11"/>
    <w:rsid w:val="000D4907"/>
    <w:rsid w:val="000D52F1"/>
    <w:rsid w:val="000D5B1C"/>
    <w:rsid w:val="000E2315"/>
    <w:rsid w:val="000E3D4B"/>
    <w:rsid w:val="000E406A"/>
    <w:rsid w:val="000F0081"/>
    <w:rsid w:val="000F10F1"/>
    <w:rsid w:val="000F1543"/>
    <w:rsid w:val="000F26B6"/>
    <w:rsid w:val="000F4745"/>
    <w:rsid w:val="000F7393"/>
    <w:rsid w:val="000F794D"/>
    <w:rsid w:val="00100ADE"/>
    <w:rsid w:val="00101097"/>
    <w:rsid w:val="0010497B"/>
    <w:rsid w:val="0010592D"/>
    <w:rsid w:val="00111B00"/>
    <w:rsid w:val="00115F93"/>
    <w:rsid w:val="00116108"/>
    <w:rsid w:val="0011648D"/>
    <w:rsid w:val="00116930"/>
    <w:rsid w:val="00116B35"/>
    <w:rsid w:val="00120373"/>
    <w:rsid w:val="00122822"/>
    <w:rsid w:val="00122D3C"/>
    <w:rsid w:val="00123738"/>
    <w:rsid w:val="00123810"/>
    <w:rsid w:val="00124E61"/>
    <w:rsid w:val="001253AA"/>
    <w:rsid w:val="00125405"/>
    <w:rsid w:val="00126633"/>
    <w:rsid w:val="00127FB8"/>
    <w:rsid w:val="0013109A"/>
    <w:rsid w:val="00131594"/>
    <w:rsid w:val="00131BB9"/>
    <w:rsid w:val="001334DE"/>
    <w:rsid w:val="00134CD4"/>
    <w:rsid w:val="001351C4"/>
    <w:rsid w:val="001366D7"/>
    <w:rsid w:val="00143047"/>
    <w:rsid w:val="00143F42"/>
    <w:rsid w:val="00144546"/>
    <w:rsid w:val="001461BC"/>
    <w:rsid w:val="00151427"/>
    <w:rsid w:val="00151BFC"/>
    <w:rsid w:val="0015350B"/>
    <w:rsid w:val="001579E8"/>
    <w:rsid w:val="00157A75"/>
    <w:rsid w:val="001601EF"/>
    <w:rsid w:val="00160DB4"/>
    <w:rsid w:val="00167639"/>
    <w:rsid w:val="001701F2"/>
    <w:rsid w:val="00171CB7"/>
    <w:rsid w:val="001728F2"/>
    <w:rsid w:val="001767FC"/>
    <w:rsid w:val="001807F5"/>
    <w:rsid w:val="00181EFE"/>
    <w:rsid w:val="001826B3"/>
    <w:rsid w:val="001828F0"/>
    <w:rsid w:val="001843ED"/>
    <w:rsid w:val="001859C8"/>
    <w:rsid w:val="001869B6"/>
    <w:rsid w:val="0018702B"/>
    <w:rsid w:val="00190A37"/>
    <w:rsid w:val="0019220F"/>
    <w:rsid w:val="00192EC0"/>
    <w:rsid w:val="00193254"/>
    <w:rsid w:val="001937D9"/>
    <w:rsid w:val="0019732E"/>
    <w:rsid w:val="001A1355"/>
    <w:rsid w:val="001A261A"/>
    <w:rsid w:val="001A3241"/>
    <w:rsid w:val="001A41E0"/>
    <w:rsid w:val="001B1237"/>
    <w:rsid w:val="001B1FE2"/>
    <w:rsid w:val="001B21A8"/>
    <w:rsid w:val="001B25AB"/>
    <w:rsid w:val="001B44DA"/>
    <w:rsid w:val="001B7154"/>
    <w:rsid w:val="001B76D2"/>
    <w:rsid w:val="001C17D7"/>
    <w:rsid w:val="001C18D0"/>
    <w:rsid w:val="001C1BDD"/>
    <w:rsid w:val="001C2C62"/>
    <w:rsid w:val="001C493D"/>
    <w:rsid w:val="001C4D07"/>
    <w:rsid w:val="001C5BC6"/>
    <w:rsid w:val="001C7A83"/>
    <w:rsid w:val="001D04F0"/>
    <w:rsid w:val="001D0A94"/>
    <w:rsid w:val="001D1877"/>
    <w:rsid w:val="001D275C"/>
    <w:rsid w:val="001D33A0"/>
    <w:rsid w:val="001D4D2F"/>
    <w:rsid w:val="001D565A"/>
    <w:rsid w:val="001D759F"/>
    <w:rsid w:val="001E3097"/>
    <w:rsid w:val="001E56A8"/>
    <w:rsid w:val="001E5F1D"/>
    <w:rsid w:val="001E78BC"/>
    <w:rsid w:val="001F690D"/>
    <w:rsid w:val="001F6D9F"/>
    <w:rsid w:val="002002D0"/>
    <w:rsid w:val="0020117B"/>
    <w:rsid w:val="00202EE3"/>
    <w:rsid w:val="0020368A"/>
    <w:rsid w:val="00205A1A"/>
    <w:rsid w:val="002117D1"/>
    <w:rsid w:val="002133EE"/>
    <w:rsid w:val="002159D7"/>
    <w:rsid w:val="002172FF"/>
    <w:rsid w:val="002173F4"/>
    <w:rsid w:val="0022027D"/>
    <w:rsid w:val="00221835"/>
    <w:rsid w:val="00223E6D"/>
    <w:rsid w:val="0022411D"/>
    <w:rsid w:val="0022455A"/>
    <w:rsid w:val="00232437"/>
    <w:rsid w:val="00233294"/>
    <w:rsid w:val="00240CB7"/>
    <w:rsid w:val="00246492"/>
    <w:rsid w:val="002504EB"/>
    <w:rsid w:val="002511DD"/>
    <w:rsid w:val="002537EC"/>
    <w:rsid w:val="002557D5"/>
    <w:rsid w:val="00255815"/>
    <w:rsid w:val="00255925"/>
    <w:rsid w:val="0025626F"/>
    <w:rsid w:val="00260148"/>
    <w:rsid w:val="0026089C"/>
    <w:rsid w:val="0026104A"/>
    <w:rsid w:val="00261167"/>
    <w:rsid w:val="00261BF7"/>
    <w:rsid w:val="002630BA"/>
    <w:rsid w:val="00265C9A"/>
    <w:rsid w:val="00267E3D"/>
    <w:rsid w:val="00270D6D"/>
    <w:rsid w:val="00271BA7"/>
    <w:rsid w:val="002760B2"/>
    <w:rsid w:val="0028035D"/>
    <w:rsid w:val="00284619"/>
    <w:rsid w:val="00284EF8"/>
    <w:rsid w:val="0028732B"/>
    <w:rsid w:val="002877FD"/>
    <w:rsid w:val="00287ADA"/>
    <w:rsid w:val="00292F68"/>
    <w:rsid w:val="00293186"/>
    <w:rsid w:val="00296656"/>
    <w:rsid w:val="0029701B"/>
    <w:rsid w:val="002A104C"/>
    <w:rsid w:val="002A351F"/>
    <w:rsid w:val="002B153D"/>
    <w:rsid w:val="002B191F"/>
    <w:rsid w:val="002B21EA"/>
    <w:rsid w:val="002B293F"/>
    <w:rsid w:val="002B31A9"/>
    <w:rsid w:val="002B3D4B"/>
    <w:rsid w:val="002B7013"/>
    <w:rsid w:val="002B71F4"/>
    <w:rsid w:val="002B7365"/>
    <w:rsid w:val="002B7EDE"/>
    <w:rsid w:val="002C0E41"/>
    <w:rsid w:val="002C1CFD"/>
    <w:rsid w:val="002C276F"/>
    <w:rsid w:val="002C2F0B"/>
    <w:rsid w:val="002C38AE"/>
    <w:rsid w:val="002C5591"/>
    <w:rsid w:val="002C7F2C"/>
    <w:rsid w:val="002D1146"/>
    <w:rsid w:val="002D1296"/>
    <w:rsid w:val="002D2B80"/>
    <w:rsid w:val="002D2D92"/>
    <w:rsid w:val="002D301D"/>
    <w:rsid w:val="002D30A1"/>
    <w:rsid w:val="002D30FD"/>
    <w:rsid w:val="002D36D1"/>
    <w:rsid w:val="002D43D3"/>
    <w:rsid w:val="002D5A0F"/>
    <w:rsid w:val="002E085C"/>
    <w:rsid w:val="002E1FAD"/>
    <w:rsid w:val="002E48E6"/>
    <w:rsid w:val="002E5048"/>
    <w:rsid w:val="002E61A9"/>
    <w:rsid w:val="002E76D0"/>
    <w:rsid w:val="002F2C28"/>
    <w:rsid w:val="002F3864"/>
    <w:rsid w:val="002F3D67"/>
    <w:rsid w:val="002F43B9"/>
    <w:rsid w:val="002F5160"/>
    <w:rsid w:val="002F6271"/>
    <w:rsid w:val="003001F2"/>
    <w:rsid w:val="003006D6"/>
    <w:rsid w:val="003008AF"/>
    <w:rsid w:val="003024CE"/>
    <w:rsid w:val="00302A4A"/>
    <w:rsid w:val="00305BD0"/>
    <w:rsid w:val="00312F47"/>
    <w:rsid w:val="003136E8"/>
    <w:rsid w:val="003140F0"/>
    <w:rsid w:val="003145E6"/>
    <w:rsid w:val="00316841"/>
    <w:rsid w:val="0032535E"/>
    <w:rsid w:val="0032671F"/>
    <w:rsid w:val="003276CD"/>
    <w:rsid w:val="00327F05"/>
    <w:rsid w:val="00331DC4"/>
    <w:rsid w:val="00331F73"/>
    <w:rsid w:val="00332225"/>
    <w:rsid w:val="00334F32"/>
    <w:rsid w:val="00337F9C"/>
    <w:rsid w:val="003414F6"/>
    <w:rsid w:val="0034197B"/>
    <w:rsid w:val="00344845"/>
    <w:rsid w:val="003449A5"/>
    <w:rsid w:val="00345667"/>
    <w:rsid w:val="0034642A"/>
    <w:rsid w:val="00346B5D"/>
    <w:rsid w:val="00347AF1"/>
    <w:rsid w:val="00350629"/>
    <w:rsid w:val="00350AD8"/>
    <w:rsid w:val="00350F5C"/>
    <w:rsid w:val="00351F34"/>
    <w:rsid w:val="003522A8"/>
    <w:rsid w:val="00352B37"/>
    <w:rsid w:val="003538FD"/>
    <w:rsid w:val="00353CF7"/>
    <w:rsid w:val="00354787"/>
    <w:rsid w:val="003551D1"/>
    <w:rsid w:val="00356187"/>
    <w:rsid w:val="003569B1"/>
    <w:rsid w:val="00357946"/>
    <w:rsid w:val="0036327B"/>
    <w:rsid w:val="00366EB6"/>
    <w:rsid w:val="00367E57"/>
    <w:rsid w:val="00373BF4"/>
    <w:rsid w:val="00376802"/>
    <w:rsid w:val="003851A7"/>
    <w:rsid w:val="00385E2C"/>
    <w:rsid w:val="00390731"/>
    <w:rsid w:val="00390BFC"/>
    <w:rsid w:val="00395F58"/>
    <w:rsid w:val="00396F54"/>
    <w:rsid w:val="0039740F"/>
    <w:rsid w:val="003A6D70"/>
    <w:rsid w:val="003B1A45"/>
    <w:rsid w:val="003B1E3F"/>
    <w:rsid w:val="003B26DE"/>
    <w:rsid w:val="003B4411"/>
    <w:rsid w:val="003B5A18"/>
    <w:rsid w:val="003B5FFD"/>
    <w:rsid w:val="003B6227"/>
    <w:rsid w:val="003C081D"/>
    <w:rsid w:val="003C1ABA"/>
    <w:rsid w:val="003C4F38"/>
    <w:rsid w:val="003C50EB"/>
    <w:rsid w:val="003C5684"/>
    <w:rsid w:val="003C63BE"/>
    <w:rsid w:val="003C65CC"/>
    <w:rsid w:val="003C7B17"/>
    <w:rsid w:val="003D00D9"/>
    <w:rsid w:val="003D05FD"/>
    <w:rsid w:val="003D2F7D"/>
    <w:rsid w:val="003D32AF"/>
    <w:rsid w:val="003D6B75"/>
    <w:rsid w:val="003F0398"/>
    <w:rsid w:val="003F120D"/>
    <w:rsid w:val="003F2784"/>
    <w:rsid w:val="003F3E89"/>
    <w:rsid w:val="003F5841"/>
    <w:rsid w:val="003F5B35"/>
    <w:rsid w:val="00405B72"/>
    <w:rsid w:val="00405DB8"/>
    <w:rsid w:val="004060BE"/>
    <w:rsid w:val="00410F89"/>
    <w:rsid w:val="00415BF3"/>
    <w:rsid w:val="00417510"/>
    <w:rsid w:val="00420952"/>
    <w:rsid w:val="00423518"/>
    <w:rsid w:val="0042623C"/>
    <w:rsid w:val="00427001"/>
    <w:rsid w:val="0042730F"/>
    <w:rsid w:val="00427C4B"/>
    <w:rsid w:val="00432C19"/>
    <w:rsid w:val="00434AB8"/>
    <w:rsid w:val="00435B8E"/>
    <w:rsid w:val="0044018E"/>
    <w:rsid w:val="004457F2"/>
    <w:rsid w:val="00446514"/>
    <w:rsid w:val="00452B9E"/>
    <w:rsid w:val="00453440"/>
    <w:rsid w:val="00456A44"/>
    <w:rsid w:val="0045742A"/>
    <w:rsid w:val="00457A53"/>
    <w:rsid w:val="0046051B"/>
    <w:rsid w:val="00460C4E"/>
    <w:rsid w:val="00462FED"/>
    <w:rsid w:val="00463F09"/>
    <w:rsid w:val="00465909"/>
    <w:rsid w:val="00465BBE"/>
    <w:rsid w:val="00466D7E"/>
    <w:rsid w:val="0046788B"/>
    <w:rsid w:val="00470500"/>
    <w:rsid w:val="004716F4"/>
    <w:rsid w:val="004726A7"/>
    <w:rsid w:val="00473A77"/>
    <w:rsid w:val="00475D0B"/>
    <w:rsid w:val="00476D6D"/>
    <w:rsid w:val="0047708A"/>
    <w:rsid w:val="00480BFD"/>
    <w:rsid w:val="00481721"/>
    <w:rsid w:val="004817AB"/>
    <w:rsid w:val="00483BD5"/>
    <w:rsid w:val="004849A1"/>
    <w:rsid w:val="00485723"/>
    <w:rsid w:val="004875E1"/>
    <w:rsid w:val="00492800"/>
    <w:rsid w:val="0049661F"/>
    <w:rsid w:val="00497CF9"/>
    <w:rsid w:val="00497DEC"/>
    <w:rsid w:val="004A0FCA"/>
    <w:rsid w:val="004A1B92"/>
    <w:rsid w:val="004A25AB"/>
    <w:rsid w:val="004A51C3"/>
    <w:rsid w:val="004A6861"/>
    <w:rsid w:val="004A77CC"/>
    <w:rsid w:val="004A78A6"/>
    <w:rsid w:val="004A7C14"/>
    <w:rsid w:val="004B0EB4"/>
    <w:rsid w:val="004B162D"/>
    <w:rsid w:val="004B1FFB"/>
    <w:rsid w:val="004B2030"/>
    <w:rsid w:val="004B4763"/>
    <w:rsid w:val="004B5A84"/>
    <w:rsid w:val="004B7B3E"/>
    <w:rsid w:val="004C206C"/>
    <w:rsid w:val="004C413E"/>
    <w:rsid w:val="004C47A2"/>
    <w:rsid w:val="004C480E"/>
    <w:rsid w:val="004C6617"/>
    <w:rsid w:val="004D6906"/>
    <w:rsid w:val="004D7275"/>
    <w:rsid w:val="004E061F"/>
    <w:rsid w:val="004E0CF7"/>
    <w:rsid w:val="004E0E71"/>
    <w:rsid w:val="004E283E"/>
    <w:rsid w:val="004E4A0D"/>
    <w:rsid w:val="004E5D91"/>
    <w:rsid w:val="004E7831"/>
    <w:rsid w:val="004F164A"/>
    <w:rsid w:val="004F32FF"/>
    <w:rsid w:val="004F40A9"/>
    <w:rsid w:val="004F5A45"/>
    <w:rsid w:val="004F7F2F"/>
    <w:rsid w:val="004F7FCD"/>
    <w:rsid w:val="00500058"/>
    <w:rsid w:val="005002C3"/>
    <w:rsid w:val="00500714"/>
    <w:rsid w:val="00503B77"/>
    <w:rsid w:val="00504231"/>
    <w:rsid w:val="00504754"/>
    <w:rsid w:val="00504E41"/>
    <w:rsid w:val="00510E1E"/>
    <w:rsid w:val="005167B9"/>
    <w:rsid w:val="005172E9"/>
    <w:rsid w:val="00524B59"/>
    <w:rsid w:val="005259CF"/>
    <w:rsid w:val="00525E7E"/>
    <w:rsid w:val="00525EF7"/>
    <w:rsid w:val="005262DA"/>
    <w:rsid w:val="005301A9"/>
    <w:rsid w:val="0053298B"/>
    <w:rsid w:val="005344DE"/>
    <w:rsid w:val="0053757A"/>
    <w:rsid w:val="005406CD"/>
    <w:rsid w:val="005436D2"/>
    <w:rsid w:val="00544009"/>
    <w:rsid w:val="005462DD"/>
    <w:rsid w:val="00546A63"/>
    <w:rsid w:val="005470E2"/>
    <w:rsid w:val="00554CD2"/>
    <w:rsid w:val="00556753"/>
    <w:rsid w:val="00562A18"/>
    <w:rsid w:val="00562EF1"/>
    <w:rsid w:val="005638C3"/>
    <w:rsid w:val="00563BA3"/>
    <w:rsid w:val="00563D56"/>
    <w:rsid w:val="00564D72"/>
    <w:rsid w:val="00572942"/>
    <w:rsid w:val="0057453A"/>
    <w:rsid w:val="00575C81"/>
    <w:rsid w:val="00576EAB"/>
    <w:rsid w:val="00580C8E"/>
    <w:rsid w:val="00585293"/>
    <w:rsid w:val="00585454"/>
    <w:rsid w:val="005862CB"/>
    <w:rsid w:val="0058633F"/>
    <w:rsid w:val="005874EC"/>
    <w:rsid w:val="00591363"/>
    <w:rsid w:val="00596B2A"/>
    <w:rsid w:val="00597BE9"/>
    <w:rsid w:val="005A102F"/>
    <w:rsid w:val="005A3A7A"/>
    <w:rsid w:val="005A3D6D"/>
    <w:rsid w:val="005A565E"/>
    <w:rsid w:val="005A5DDB"/>
    <w:rsid w:val="005A71E8"/>
    <w:rsid w:val="005A78AC"/>
    <w:rsid w:val="005B14FB"/>
    <w:rsid w:val="005B3782"/>
    <w:rsid w:val="005B5463"/>
    <w:rsid w:val="005B7DCA"/>
    <w:rsid w:val="005C3531"/>
    <w:rsid w:val="005C4F3C"/>
    <w:rsid w:val="005C564D"/>
    <w:rsid w:val="005C61E3"/>
    <w:rsid w:val="005C667D"/>
    <w:rsid w:val="005D178C"/>
    <w:rsid w:val="005D17B9"/>
    <w:rsid w:val="005D1BC9"/>
    <w:rsid w:val="005D6815"/>
    <w:rsid w:val="005D6D23"/>
    <w:rsid w:val="005E27C9"/>
    <w:rsid w:val="005E66B5"/>
    <w:rsid w:val="005E696C"/>
    <w:rsid w:val="005F06F4"/>
    <w:rsid w:val="005F190F"/>
    <w:rsid w:val="005F2029"/>
    <w:rsid w:val="005F4A30"/>
    <w:rsid w:val="005F4C7D"/>
    <w:rsid w:val="005F7DD0"/>
    <w:rsid w:val="006003D9"/>
    <w:rsid w:val="00600A8B"/>
    <w:rsid w:val="006027F1"/>
    <w:rsid w:val="00602FF5"/>
    <w:rsid w:val="00603291"/>
    <w:rsid w:val="006071CD"/>
    <w:rsid w:val="006107DD"/>
    <w:rsid w:val="00612A9A"/>
    <w:rsid w:val="006138F8"/>
    <w:rsid w:val="006224D2"/>
    <w:rsid w:val="00622F7C"/>
    <w:rsid w:val="00624777"/>
    <w:rsid w:val="00624D81"/>
    <w:rsid w:val="0062542B"/>
    <w:rsid w:val="00625E22"/>
    <w:rsid w:val="00627A82"/>
    <w:rsid w:val="0063091C"/>
    <w:rsid w:val="006311F7"/>
    <w:rsid w:val="00631793"/>
    <w:rsid w:val="006324B0"/>
    <w:rsid w:val="00633A2F"/>
    <w:rsid w:val="006343C4"/>
    <w:rsid w:val="0063558A"/>
    <w:rsid w:val="006423DA"/>
    <w:rsid w:val="00643963"/>
    <w:rsid w:val="00646CF2"/>
    <w:rsid w:val="006500FF"/>
    <w:rsid w:val="00650280"/>
    <w:rsid w:val="00652718"/>
    <w:rsid w:val="00653A2F"/>
    <w:rsid w:val="00653E2A"/>
    <w:rsid w:val="00655731"/>
    <w:rsid w:val="00655D78"/>
    <w:rsid w:val="00655FA7"/>
    <w:rsid w:val="006572E5"/>
    <w:rsid w:val="00657994"/>
    <w:rsid w:val="00661796"/>
    <w:rsid w:val="0066341F"/>
    <w:rsid w:val="0066445C"/>
    <w:rsid w:val="0066535E"/>
    <w:rsid w:val="00666F04"/>
    <w:rsid w:val="006711FD"/>
    <w:rsid w:val="0067326E"/>
    <w:rsid w:val="00673DBE"/>
    <w:rsid w:val="00682CE1"/>
    <w:rsid w:val="00683257"/>
    <w:rsid w:val="00685EFE"/>
    <w:rsid w:val="006874B9"/>
    <w:rsid w:val="00691642"/>
    <w:rsid w:val="0069377A"/>
    <w:rsid w:val="00696BF8"/>
    <w:rsid w:val="00696D22"/>
    <w:rsid w:val="00697CA5"/>
    <w:rsid w:val="006A1393"/>
    <w:rsid w:val="006A1B4E"/>
    <w:rsid w:val="006A3199"/>
    <w:rsid w:val="006A461E"/>
    <w:rsid w:val="006A6EF4"/>
    <w:rsid w:val="006A76CA"/>
    <w:rsid w:val="006B2CA4"/>
    <w:rsid w:val="006B459B"/>
    <w:rsid w:val="006B4E1D"/>
    <w:rsid w:val="006B4EED"/>
    <w:rsid w:val="006B712C"/>
    <w:rsid w:val="006B754B"/>
    <w:rsid w:val="006C10D5"/>
    <w:rsid w:val="006C1A1A"/>
    <w:rsid w:val="006C1E2D"/>
    <w:rsid w:val="006C219F"/>
    <w:rsid w:val="006C3C05"/>
    <w:rsid w:val="006C5080"/>
    <w:rsid w:val="006C516F"/>
    <w:rsid w:val="006C678B"/>
    <w:rsid w:val="006C7608"/>
    <w:rsid w:val="006C782E"/>
    <w:rsid w:val="006D0E9E"/>
    <w:rsid w:val="006D5F5A"/>
    <w:rsid w:val="006E0CA6"/>
    <w:rsid w:val="006E43C7"/>
    <w:rsid w:val="006E4C90"/>
    <w:rsid w:val="006F2FE1"/>
    <w:rsid w:val="006F48A9"/>
    <w:rsid w:val="0070012C"/>
    <w:rsid w:val="00704993"/>
    <w:rsid w:val="007050C2"/>
    <w:rsid w:val="0070534B"/>
    <w:rsid w:val="0070591C"/>
    <w:rsid w:val="0070775C"/>
    <w:rsid w:val="00707BB3"/>
    <w:rsid w:val="00710D68"/>
    <w:rsid w:val="00716C2D"/>
    <w:rsid w:val="00717599"/>
    <w:rsid w:val="0072029F"/>
    <w:rsid w:val="007202E9"/>
    <w:rsid w:val="007219E2"/>
    <w:rsid w:val="00721D20"/>
    <w:rsid w:val="00723E23"/>
    <w:rsid w:val="0072533F"/>
    <w:rsid w:val="00726400"/>
    <w:rsid w:val="00727998"/>
    <w:rsid w:val="00727DA3"/>
    <w:rsid w:val="00730BFA"/>
    <w:rsid w:val="007349AD"/>
    <w:rsid w:val="00734BCB"/>
    <w:rsid w:val="00736AD8"/>
    <w:rsid w:val="007376C7"/>
    <w:rsid w:val="00737D32"/>
    <w:rsid w:val="00745883"/>
    <w:rsid w:val="00745BEC"/>
    <w:rsid w:val="00746205"/>
    <w:rsid w:val="00746DA0"/>
    <w:rsid w:val="00752211"/>
    <w:rsid w:val="0075283A"/>
    <w:rsid w:val="00752D51"/>
    <w:rsid w:val="0075300F"/>
    <w:rsid w:val="0075415B"/>
    <w:rsid w:val="0075425B"/>
    <w:rsid w:val="007542B1"/>
    <w:rsid w:val="00755671"/>
    <w:rsid w:val="00755E74"/>
    <w:rsid w:val="0076056C"/>
    <w:rsid w:val="00760C5B"/>
    <w:rsid w:val="007614D9"/>
    <w:rsid w:val="007629BB"/>
    <w:rsid w:val="0076429C"/>
    <w:rsid w:val="00766C23"/>
    <w:rsid w:val="0077074D"/>
    <w:rsid w:val="00770B37"/>
    <w:rsid w:val="00772B21"/>
    <w:rsid w:val="007821FD"/>
    <w:rsid w:val="00783929"/>
    <w:rsid w:val="00784F7C"/>
    <w:rsid w:val="00786DA9"/>
    <w:rsid w:val="0078790C"/>
    <w:rsid w:val="00792A14"/>
    <w:rsid w:val="00796436"/>
    <w:rsid w:val="00797334"/>
    <w:rsid w:val="00797938"/>
    <w:rsid w:val="00797BCF"/>
    <w:rsid w:val="007A2DA7"/>
    <w:rsid w:val="007A3B00"/>
    <w:rsid w:val="007A533C"/>
    <w:rsid w:val="007A5B41"/>
    <w:rsid w:val="007A6110"/>
    <w:rsid w:val="007B18B1"/>
    <w:rsid w:val="007B4C37"/>
    <w:rsid w:val="007B7E31"/>
    <w:rsid w:val="007C222A"/>
    <w:rsid w:val="007C3404"/>
    <w:rsid w:val="007C46CB"/>
    <w:rsid w:val="007C6872"/>
    <w:rsid w:val="007C79CB"/>
    <w:rsid w:val="007D0AC3"/>
    <w:rsid w:val="007D6ACC"/>
    <w:rsid w:val="007E0594"/>
    <w:rsid w:val="007E09BB"/>
    <w:rsid w:val="007E2C8E"/>
    <w:rsid w:val="007E2D27"/>
    <w:rsid w:val="007E3D96"/>
    <w:rsid w:val="007E602D"/>
    <w:rsid w:val="007F1081"/>
    <w:rsid w:val="007F148A"/>
    <w:rsid w:val="007F1FEC"/>
    <w:rsid w:val="007F3329"/>
    <w:rsid w:val="007F5A18"/>
    <w:rsid w:val="008041A6"/>
    <w:rsid w:val="00805E4E"/>
    <w:rsid w:val="00806FAD"/>
    <w:rsid w:val="008076AF"/>
    <w:rsid w:val="00807A4B"/>
    <w:rsid w:val="00811953"/>
    <w:rsid w:val="00823885"/>
    <w:rsid w:val="00826C3B"/>
    <w:rsid w:val="008273AF"/>
    <w:rsid w:val="0083086D"/>
    <w:rsid w:val="0083184E"/>
    <w:rsid w:val="0084016D"/>
    <w:rsid w:val="00841F5B"/>
    <w:rsid w:val="0084280D"/>
    <w:rsid w:val="008464BB"/>
    <w:rsid w:val="00846928"/>
    <w:rsid w:val="0084772A"/>
    <w:rsid w:val="0085059D"/>
    <w:rsid w:val="00851786"/>
    <w:rsid w:val="00851929"/>
    <w:rsid w:val="00851A93"/>
    <w:rsid w:val="00852E46"/>
    <w:rsid w:val="00854CAE"/>
    <w:rsid w:val="008554AB"/>
    <w:rsid w:val="008619D3"/>
    <w:rsid w:val="0086385F"/>
    <w:rsid w:val="00865A97"/>
    <w:rsid w:val="008668B9"/>
    <w:rsid w:val="00872E62"/>
    <w:rsid w:val="00874160"/>
    <w:rsid w:val="00877597"/>
    <w:rsid w:val="00877878"/>
    <w:rsid w:val="008806E4"/>
    <w:rsid w:val="008823B7"/>
    <w:rsid w:val="00882506"/>
    <w:rsid w:val="008856B2"/>
    <w:rsid w:val="00885C28"/>
    <w:rsid w:val="00886795"/>
    <w:rsid w:val="00887416"/>
    <w:rsid w:val="00892D5B"/>
    <w:rsid w:val="008933BC"/>
    <w:rsid w:val="008939AD"/>
    <w:rsid w:val="00894086"/>
    <w:rsid w:val="00895C86"/>
    <w:rsid w:val="008A0036"/>
    <w:rsid w:val="008A45BB"/>
    <w:rsid w:val="008A4BD8"/>
    <w:rsid w:val="008A5242"/>
    <w:rsid w:val="008A5A2B"/>
    <w:rsid w:val="008A70A6"/>
    <w:rsid w:val="008B0C70"/>
    <w:rsid w:val="008B1B5B"/>
    <w:rsid w:val="008B302F"/>
    <w:rsid w:val="008B36F2"/>
    <w:rsid w:val="008B3C9D"/>
    <w:rsid w:val="008B43FC"/>
    <w:rsid w:val="008B5E60"/>
    <w:rsid w:val="008B6134"/>
    <w:rsid w:val="008B649F"/>
    <w:rsid w:val="008B7E6B"/>
    <w:rsid w:val="008C1C2B"/>
    <w:rsid w:val="008C3A73"/>
    <w:rsid w:val="008C3BAB"/>
    <w:rsid w:val="008C42EA"/>
    <w:rsid w:val="008C68C2"/>
    <w:rsid w:val="008C6973"/>
    <w:rsid w:val="008C75DC"/>
    <w:rsid w:val="008D1962"/>
    <w:rsid w:val="008D388C"/>
    <w:rsid w:val="008D429C"/>
    <w:rsid w:val="008D4B86"/>
    <w:rsid w:val="008D5481"/>
    <w:rsid w:val="008E4A07"/>
    <w:rsid w:val="008E64C8"/>
    <w:rsid w:val="008F6D98"/>
    <w:rsid w:val="008F777C"/>
    <w:rsid w:val="00903BE0"/>
    <w:rsid w:val="0090483A"/>
    <w:rsid w:val="00905254"/>
    <w:rsid w:val="00907D51"/>
    <w:rsid w:val="0091018A"/>
    <w:rsid w:val="00910C54"/>
    <w:rsid w:val="00912642"/>
    <w:rsid w:val="00913D33"/>
    <w:rsid w:val="0091428F"/>
    <w:rsid w:val="009164F2"/>
    <w:rsid w:val="00916C9E"/>
    <w:rsid w:val="009174CE"/>
    <w:rsid w:val="00921333"/>
    <w:rsid w:val="0092334D"/>
    <w:rsid w:val="00924D6C"/>
    <w:rsid w:val="009278E3"/>
    <w:rsid w:val="009279BD"/>
    <w:rsid w:val="009307BB"/>
    <w:rsid w:val="009321D5"/>
    <w:rsid w:val="00934293"/>
    <w:rsid w:val="0093483C"/>
    <w:rsid w:val="00935247"/>
    <w:rsid w:val="009372AC"/>
    <w:rsid w:val="00940C7F"/>
    <w:rsid w:val="0094120A"/>
    <w:rsid w:val="00941CD3"/>
    <w:rsid w:val="00942789"/>
    <w:rsid w:val="00942AFC"/>
    <w:rsid w:val="00942FE0"/>
    <w:rsid w:val="009438A3"/>
    <w:rsid w:val="009467C8"/>
    <w:rsid w:val="0095211F"/>
    <w:rsid w:val="00952B04"/>
    <w:rsid w:val="0095687F"/>
    <w:rsid w:val="00957F09"/>
    <w:rsid w:val="0096090F"/>
    <w:rsid w:val="00960DFD"/>
    <w:rsid w:val="009620F1"/>
    <w:rsid w:val="0096291F"/>
    <w:rsid w:val="00963685"/>
    <w:rsid w:val="00963B3F"/>
    <w:rsid w:val="00964270"/>
    <w:rsid w:val="00967221"/>
    <w:rsid w:val="00967984"/>
    <w:rsid w:val="00970F64"/>
    <w:rsid w:val="00972640"/>
    <w:rsid w:val="0097523A"/>
    <w:rsid w:val="00982BC8"/>
    <w:rsid w:val="00985328"/>
    <w:rsid w:val="00986648"/>
    <w:rsid w:val="00987AD4"/>
    <w:rsid w:val="009925F5"/>
    <w:rsid w:val="009926F7"/>
    <w:rsid w:val="009933DE"/>
    <w:rsid w:val="00993D24"/>
    <w:rsid w:val="009A0E1D"/>
    <w:rsid w:val="009A2864"/>
    <w:rsid w:val="009A346F"/>
    <w:rsid w:val="009A6B2A"/>
    <w:rsid w:val="009A7EE6"/>
    <w:rsid w:val="009B0C4E"/>
    <w:rsid w:val="009B152C"/>
    <w:rsid w:val="009B221A"/>
    <w:rsid w:val="009B4F09"/>
    <w:rsid w:val="009B664E"/>
    <w:rsid w:val="009B6BF2"/>
    <w:rsid w:val="009B7EDE"/>
    <w:rsid w:val="009C0D49"/>
    <w:rsid w:val="009C230E"/>
    <w:rsid w:val="009C32B2"/>
    <w:rsid w:val="009C3B60"/>
    <w:rsid w:val="009C58DB"/>
    <w:rsid w:val="009C683D"/>
    <w:rsid w:val="009C6A12"/>
    <w:rsid w:val="009C6BDC"/>
    <w:rsid w:val="009D12F3"/>
    <w:rsid w:val="009D2541"/>
    <w:rsid w:val="009D3422"/>
    <w:rsid w:val="009D3F01"/>
    <w:rsid w:val="009D4809"/>
    <w:rsid w:val="009D5D52"/>
    <w:rsid w:val="009D6B0F"/>
    <w:rsid w:val="009E30C6"/>
    <w:rsid w:val="009E319E"/>
    <w:rsid w:val="009E3876"/>
    <w:rsid w:val="009E3DC0"/>
    <w:rsid w:val="009F0F0F"/>
    <w:rsid w:val="009F29B5"/>
    <w:rsid w:val="009F2F25"/>
    <w:rsid w:val="009F3447"/>
    <w:rsid w:val="009F4262"/>
    <w:rsid w:val="009F4F78"/>
    <w:rsid w:val="009F5523"/>
    <w:rsid w:val="009F5B22"/>
    <w:rsid w:val="009F6345"/>
    <w:rsid w:val="009F79CF"/>
    <w:rsid w:val="00A02309"/>
    <w:rsid w:val="00A02C55"/>
    <w:rsid w:val="00A040DD"/>
    <w:rsid w:val="00A1142A"/>
    <w:rsid w:val="00A12791"/>
    <w:rsid w:val="00A12F7B"/>
    <w:rsid w:val="00A15922"/>
    <w:rsid w:val="00A15CE7"/>
    <w:rsid w:val="00A2159A"/>
    <w:rsid w:val="00A22294"/>
    <w:rsid w:val="00A2245B"/>
    <w:rsid w:val="00A2439A"/>
    <w:rsid w:val="00A24950"/>
    <w:rsid w:val="00A24F35"/>
    <w:rsid w:val="00A3135D"/>
    <w:rsid w:val="00A32740"/>
    <w:rsid w:val="00A33A39"/>
    <w:rsid w:val="00A41048"/>
    <w:rsid w:val="00A419CA"/>
    <w:rsid w:val="00A41EA6"/>
    <w:rsid w:val="00A42749"/>
    <w:rsid w:val="00A4280A"/>
    <w:rsid w:val="00A42C79"/>
    <w:rsid w:val="00A4302A"/>
    <w:rsid w:val="00A4381B"/>
    <w:rsid w:val="00A43F05"/>
    <w:rsid w:val="00A52395"/>
    <w:rsid w:val="00A55AF2"/>
    <w:rsid w:val="00A576BC"/>
    <w:rsid w:val="00A57C39"/>
    <w:rsid w:val="00A60BA3"/>
    <w:rsid w:val="00A61929"/>
    <w:rsid w:val="00A621F6"/>
    <w:rsid w:val="00A62382"/>
    <w:rsid w:val="00A6321E"/>
    <w:rsid w:val="00A63493"/>
    <w:rsid w:val="00A645E6"/>
    <w:rsid w:val="00A649F6"/>
    <w:rsid w:val="00A65656"/>
    <w:rsid w:val="00A6728D"/>
    <w:rsid w:val="00A70E44"/>
    <w:rsid w:val="00A72724"/>
    <w:rsid w:val="00A74C96"/>
    <w:rsid w:val="00A754EE"/>
    <w:rsid w:val="00A76C4F"/>
    <w:rsid w:val="00A77083"/>
    <w:rsid w:val="00A827A3"/>
    <w:rsid w:val="00A832F1"/>
    <w:rsid w:val="00A837E9"/>
    <w:rsid w:val="00A86059"/>
    <w:rsid w:val="00A87402"/>
    <w:rsid w:val="00A905BE"/>
    <w:rsid w:val="00A9331F"/>
    <w:rsid w:val="00A9665C"/>
    <w:rsid w:val="00A96C9F"/>
    <w:rsid w:val="00AA0061"/>
    <w:rsid w:val="00AA36CC"/>
    <w:rsid w:val="00AB13E6"/>
    <w:rsid w:val="00AB4954"/>
    <w:rsid w:val="00AB73FD"/>
    <w:rsid w:val="00AC2A6B"/>
    <w:rsid w:val="00AC40BE"/>
    <w:rsid w:val="00AC46F0"/>
    <w:rsid w:val="00AC6B48"/>
    <w:rsid w:val="00AC724A"/>
    <w:rsid w:val="00AD112A"/>
    <w:rsid w:val="00AD2127"/>
    <w:rsid w:val="00AD3F35"/>
    <w:rsid w:val="00AD4461"/>
    <w:rsid w:val="00AD56E5"/>
    <w:rsid w:val="00AD74D9"/>
    <w:rsid w:val="00AE1646"/>
    <w:rsid w:val="00AE1BAB"/>
    <w:rsid w:val="00AE3240"/>
    <w:rsid w:val="00AE504D"/>
    <w:rsid w:val="00AE5101"/>
    <w:rsid w:val="00AE7AEE"/>
    <w:rsid w:val="00AF0DC3"/>
    <w:rsid w:val="00AF335E"/>
    <w:rsid w:val="00AF4E48"/>
    <w:rsid w:val="00AF5756"/>
    <w:rsid w:val="00AF7134"/>
    <w:rsid w:val="00B0196A"/>
    <w:rsid w:val="00B01CDA"/>
    <w:rsid w:val="00B04576"/>
    <w:rsid w:val="00B04999"/>
    <w:rsid w:val="00B070E9"/>
    <w:rsid w:val="00B101A1"/>
    <w:rsid w:val="00B10849"/>
    <w:rsid w:val="00B10DB2"/>
    <w:rsid w:val="00B11007"/>
    <w:rsid w:val="00B119A2"/>
    <w:rsid w:val="00B13ED9"/>
    <w:rsid w:val="00B14E7A"/>
    <w:rsid w:val="00B1585A"/>
    <w:rsid w:val="00B15FAC"/>
    <w:rsid w:val="00B170B8"/>
    <w:rsid w:val="00B20526"/>
    <w:rsid w:val="00B2491C"/>
    <w:rsid w:val="00B2516D"/>
    <w:rsid w:val="00B30E75"/>
    <w:rsid w:val="00B30ED3"/>
    <w:rsid w:val="00B327F0"/>
    <w:rsid w:val="00B3347D"/>
    <w:rsid w:val="00B33C8C"/>
    <w:rsid w:val="00B346B9"/>
    <w:rsid w:val="00B34AFC"/>
    <w:rsid w:val="00B350BF"/>
    <w:rsid w:val="00B40599"/>
    <w:rsid w:val="00B47ADD"/>
    <w:rsid w:val="00B512D4"/>
    <w:rsid w:val="00B53263"/>
    <w:rsid w:val="00B543E0"/>
    <w:rsid w:val="00B56967"/>
    <w:rsid w:val="00B56C1A"/>
    <w:rsid w:val="00B6029F"/>
    <w:rsid w:val="00B6125A"/>
    <w:rsid w:val="00B62F40"/>
    <w:rsid w:val="00B6712C"/>
    <w:rsid w:val="00B7049F"/>
    <w:rsid w:val="00B71653"/>
    <w:rsid w:val="00B71F97"/>
    <w:rsid w:val="00B75B81"/>
    <w:rsid w:val="00B765F9"/>
    <w:rsid w:val="00B769E6"/>
    <w:rsid w:val="00B80654"/>
    <w:rsid w:val="00B83EE4"/>
    <w:rsid w:val="00B841C9"/>
    <w:rsid w:val="00B85495"/>
    <w:rsid w:val="00B91496"/>
    <w:rsid w:val="00B95100"/>
    <w:rsid w:val="00B96932"/>
    <w:rsid w:val="00B96A67"/>
    <w:rsid w:val="00BA04CE"/>
    <w:rsid w:val="00BA130F"/>
    <w:rsid w:val="00BA157F"/>
    <w:rsid w:val="00BA5C1A"/>
    <w:rsid w:val="00BA78A9"/>
    <w:rsid w:val="00BA7C68"/>
    <w:rsid w:val="00BB093C"/>
    <w:rsid w:val="00BB0E74"/>
    <w:rsid w:val="00BB1080"/>
    <w:rsid w:val="00BB331E"/>
    <w:rsid w:val="00BB4D2C"/>
    <w:rsid w:val="00BB58BF"/>
    <w:rsid w:val="00BC050A"/>
    <w:rsid w:val="00BC289B"/>
    <w:rsid w:val="00BC3F87"/>
    <w:rsid w:val="00BC5B84"/>
    <w:rsid w:val="00BC5F41"/>
    <w:rsid w:val="00BC60E8"/>
    <w:rsid w:val="00BC61E3"/>
    <w:rsid w:val="00BC7349"/>
    <w:rsid w:val="00BD0205"/>
    <w:rsid w:val="00BD14FC"/>
    <w:rsid w:val="00BD264A"/>
    <w:rsid w:val="00BD30E9"/>
    <w:rsid w:val="00BD49F7"/>
    <w:rsid w:val="00BD7477"/>
    <w:rsid w:val="00BE078C"/>
    <w:rsid w:val="00BE0CAD"/>
    <w:rsid w:val="00BE14AA"/>
    <w:rsid w:val="00BE2525"/>
    <w:rsid w:val="00BE3B47"/>
    <w:rsid w:val="00BE3EB1"/>
    <w:rsid w:val="00BE4293"/>
    <w:rsid w:val="00BE51A2"/>
    <w:rsid w:val="00BE6EDF"/>
    <w:rsid w:val="00BF1B62"/>
    <w:rsid w:val="00BF2A9B"/>
    <w:rsid w:val="00BF3651"/>
    <w:rsid w:val="00BF61EF"/>
    <w:rsid w:val="00BF78C3"/>
    <w:rsid w:val="00C04D8E"/>
    <w:rsid w:val="00C05505"/>
    <w:rsid w:val="00C05F62"/>
    <w:rsid w:val="00C06FAD"/>
    <w:rsid w:val="00C078CA"/>
    <w:rsid w:val="00C10074"/>
    <w:rsid w:val="00C1477F"/>
    <w:rsid w:val="00C16750"/>
    <w:rsid w:val="00C174BA"/>
    <w:rsid w:val="00C1751E"/>
    <w:rsid w:val="00C20D6E"/>
    <w:rsid w:val="00C21125"/>
    <w:rsid w:val="00C217EE"/>
    <w:rsid w:val="00C21AA3"/>
    <w:rsid w:val="00C24622"/>
    <w:rsid w:val="00C25634"/>
    <w:rsid w:val="00C26F99"/>
    <w:rsid w:val="00C30561"/>
    <w:rsid w:val="00C31075"/>
    <w:rsid w:val="00C31E03"/>
    <w:rsid w:val="00C35B86"/>
    <w:rsid w:val="00C36324"/>
    <w:rsid w:val="00C41F6C"/>
    <w:rsid w:val="00C42387"/>
    <w:rsid w:val="00C43B1E"/>
    <w:rsid w:val="00C50549"/>
    <w:rsid w:val="00C51CAC"/>
    <w:rsid w:val="00C540FF"/>
    <w:rsid w:val="00C541E8"/>
    <w:rsid w:val="00C562FD"/>
    <w:rsid w:val="00C56648"/>
    <w:rsid w:val="00C61086"/>
    <w:rsid w:val="00C62CF6"/>
    <w:rsid w:val="00C64F75"/>
    <w:rsid w:val="00C67C5C"/>
    <w:rsid w:val="00C716B6"/>
    <w:rsid w:val="00C73627"/>
    <w:rsid w:val="00C736BC"/>
    <w:rsid w:val="00C7390C"/>
    <w:rsid w:val="00C739A3"/>
    <w:rsid w:val="00C743A6"/>
    <w:rsid w:val="00C7456E"/>
    <w:rsid w:val="00C74C94"/>
    <w:rsid w:val="00C75FD4"/>
    <w:rsid w:val="00C80A08"/>
    <w:rsid w:val="00C8172D"/>
    <w:rsid w:val="00C84449"/>
    <w:rsid w:val="00C90B35"/>
    <w:rsid w:val="00C922F6"/>
    <w:rsid w:val="00C96176"/>
    <w:rsid w:val="00C96DDA"/>
    <w:rsid w:val="00C97D69"/>
    <w:rsid w:val="00CA1D6F"/>
    <w:rsid w:val="00CA5623"/>
    <w:rsid w:val="00CA64C6"/>
    <w:rsid w:val="00CA7539"/>
    <w:rsid w:val="00CA7814"/>
    <w:rsid w:val="00CB4D17"/>
    <w:rsid w:val="00CB5C2B"/>
    <w:rsid w:val="00CB7027"/>
    <w:rsid w:val="00CB70EC"/>
    <w:rsid w:val="00CB73EE"/>
    <w:rsid w:val="00CC0535"/>
    <w:rsid w:val="00CC1496"/>
    <w:rsid w:val="00CC2A5C"/>
    <w:rsid w:val="00CD0074"/>
    <w:rsid w:val="00CD0DFB"/>
    <w:rsid w:val="00CD3835"/>
    <w:rsid w:val="00CD3880"/>
    <w:rsid w:val="00CD392B"/>
    <w:rsid w:val="00CD718A"/>
    <w:rsid w:val="00CD7A0A"/>
    <w:rsid w:val="00CE1083"/>
    <w:rsid w:val="00CE179D"/>
    <w:rsid w:val="00CE18DD"/>
    <w:rsid w:val="00CE1909"/>
    <w:rsid w:val="00CE21B1"/>
    <w:rsid w:val="00CE21E6"/>
    <w:rsid w:val="00CE479F"/>
    <w:rsid w:val="00CE62CD"/>
    <w:rsid w:val="00CE68B4"/>
    <w:rsid w:val="00CE6ACE"/>
    <w:rsid w:val="00CE7B4B"/>
    <w:rsid w:val="00CF1E41"/>
    <w:rsid w:val="00CF647A"/>
    <w:rsid w:val="00CF6D50"/>
    <w:rsid w:val="00CF6DC4"/>
    <w:rsid w:val="00CF6DE7"/>
    <w:rsid w:val="00D0121E"/>
    <w:rsid w:val="00D043A5"/>
    <w:rsid w:val="00D04B5B"/>
    <w:rsid w:val="00D06E62"/>
    <w:rsid w:val="00D146AC"/>
    <w:rsid w:val="00D153F7"/>
    <w:rsid w:val="00D165B1"/>
    <w:rsid w:val="00D21CFC"/>
    <w:rsid w:val="00D30860"/>
    <w:rsid w:val="00D33EAC"/>
    <w:rsid w:val="00D36699"/>
    <w:rsid w:val="00D37263"/>
    <w:rsid w:val="00D42EF0"/>
    <w:rsid w:val="00D45E91"/>
    <w:rsid w:val="00D46490"/>
    <w:rsid w:val="00D506B6"/>
    <w:rsid w:val="00D51250"/>
    <w:rsid w:val="00D51930"/>
    <w:rsid w:val="00D52E20"/>
    <w:rsid w:val="00D52EA8"/>
    <w:rsid w:val="00D54989"/>
    <w:rsid w:val="00D550A8"/>
    <w:rsid w:val="00D560A1"/>
    <w:rsid w:val="00D564EC"/>
    <w:rsid w:val="00D619DB"/>
    <w:rsid w:val="00D624BE"/>
    <w:rsid w:val="00D62967"/>
    <w:rsid w:val="00D6313E"/>
    <w:rsid w:val="00D70EEB"/>
    <w:rsid w:val="00D72B55"/>
    <w:rsid w:val="00D750F4"/>
    <w:rsid w:val="00D7628B"/>
    <w:rsid w:val="00D80CCC"/>
    <w:rsid w:val="00D81A86"/>
    <w:rsid w:val="00D8247F"/>
    <w:rsid w:val="00D84994"/>
    <w:rsid w:val="00D84F04"/>
    <w:rsid w:val="00D86105"/>
    <w:rsid w:val="00D86CCA"/>
    <w:rsid w:val="00D87AC9"/>
    <w:rsid w:val="00D922A9"/>
    <w:rsid w:val="00D9359F"/>
    <w:rsid w:val="00DA00F5"/>
    <w:rsid w:val="00DA2FBB"/>
    <w:rsid w:val="00DA51BF"/>
    <w:rsid w:val="00DA6460"/>
    <w:rsid w:val="00DA6831"/>
    <w:rsid w:val="00DA7687"/>
    <w:rsid w:val="00DB0D1F"/>
    <w:rsid w:val="00DB3524"/>
    <w:rsid w:val="00DB443E"/>
    <w:rsid w:val="00DB4E1E"/>
    <w:rsid w:val="00DB638B"/>
    <w:rsid w:val="00DB659E"/>
    <w:rsid w:val="00DB7A5C"/>
    <w:rsid w:val="00DC3D2D"/>
    <w:rsid w:val="00DC4D05"/>
    <w:rsid w:val="00DC6AD0"/>
    <w:rsid w:val="00DD3B43"/>
    <w:rsid w:val="00DD61D7"/>
    <w:rsid w:val="00DE0CD0"/>
    <w:rsid w:val="00DE1326"/>
    <w:rsid w:val="00DE227C"/>
    <w:rsid w:val="00DE353C"/>
    <w:rsid w:val="00DE3731"/>
    <w:rsid w:val="00DE47A0"/>
    <w:rsid w:val="00DE69D3"/>
    <w:rsid w:val="00DE6BDF"/>
    <w:rsid w:val="00DE7446"/>
    <w:rsid w:val="00DF3C15"/>
    <w:rsid w:val="00DF4763"/>
    <w:rsid w:val="00DF4FC9"/>
    <w:rsid w:val="00E00F04"/>
    <w:rsid w:val="00E0283C"/>
    <w:rsid w:val="00E03C9A"/>
    <w:rsid w:val="00E06C5D"/>
    <w:rsid w:val="00E079E8"/>
    <w:rsid w:val="00E100A2"/>
    <w:rsid w:val="00E139A0"/>
    <w:rsid w:val="00E13D6B"/>
    <w:rsid w:val="00E13F45"/>
    <w:rsid w:val="00E14C0F"/>
    <w:rsid w:val="00E15673"/>
    <w:rsid w:val="00E16819"/>
    <w:rsid w:val="00E178FD"/>
    <w:rsid w:val="00E17A19"/>
    <w:rsid w:val="00E2122D"/>
    <w:rsid w:val="00E22895"/>
    <w:rsid w:val="00E22E5D"/>
    <w:rsid w:val="00E2347C"/>
    <w:rsid w:val="00E24BA1"/>
    <w:rsid w:val="00E309CE"/>
    <w:rsid w:val="00E30A85"/>
    <w:rsid w:val="00E31914"/>
    <w:rsid w:val="00E31F47"/>
    <w:rsid w:val="00E33D61"/>
    <w:rsid w:val="00E35785"/>
    <w:rsid w:val="00E407B9"/>
    <w:rsid w:val="00E412A9"/>
    <w:rsid w:val="00E41899"/>
    <w:rsid w:val="00E4481B"/>
    <w:rsid w:val="00E44CEE"/>
    <w:rsid w:val="00E47017"/>
    <w:rsid w:val="00E50CC0"/>
    <w:rsid w:val="00E520A5"/>
    <w:rsid w:val="00E54F94"/>
    <w:rsid w:val="00E55163"/>
    <w:rsid w:val="00E57010"/>
    <w:rsid w:val="00E604BD"/>
    <w:rsid w:val="00E60BE9"/>
    <w:rsid w:val="00E61AB2"/>
    <w:rsid w:val="00E63D03"/>
    <w:rsid w:val="00E64B6C"/>
    <w:rsid w:val="00E6512D"/>
    <w:rsid w:val="00E65B61"/>
    <w:rsid w:val="00E715A9"/>
    <w:rsid w:val="00E73282"/>
    <w:rsid w:val="00E7380B"/>
    <w:rsid w:val="00E76F5F"/>
    <w:rsid w:val="00E779AC"/>
    <w:rsid w:val="00E8190A"/>
    <w:rsid w:val="00E826B0"/>
    <w:rsid w:val="00E84E13"/>
    <w:rsid w:val="00E8610D"/>
    <w:rsid w:val="00E86752"/>
    <w:rsid w:val="00E87EC7"/>
    <w:rsid w:val="00E912C5"/>
    <w:rsid w:val="00E923C1"/>
    <w:rsid w:val="00E939A8"/>
    <w:rsid w:val="00E95C69"/>
    <w:rsid w:val="00E972D6"/>
    <w:rsid w:val="00E97E2A"/>
    <w:rsid w:val="00EA22DD"/>
    <w:rsid w:val="00EA34B6"/>
    <w:rsid w:val="00EA3FA5"/>
    <w:rsid w:val="00EA5160"/>
    <w:rsid w:val="00EB080F"/>
    <w:rsid w:val="00EB27B8"/>
    <w:rsid w:val="00EB2CA0"/>
    <w:rsid w:val="00EB5DAE"/>
    <w:rsid w:val="00EC06A3"/>
    <w:rsid w:val="00EC1E3E"/>
    <w:rsid w:val="00EC5DCD"/>
    <w:rsid w:val="00EC60B7"/>
    <w:rsid w:val="00ED1204"/>
    <w:rsid w:val="00ED293E"/>
    <w:rsid w:val="00ED6E35"/>
    <w:rsid w:val="00ED7913"/>
    <w:rsid w:val="00EE0E3F"/>
    <w:rsid w:val="00EE1CDE"/>
    <w:rsid w:val="00EE1D7B"/>
    <w:rsid w:val="00EE454C"/>
    <w:rsid w:val="00EE47A3"/>
    <w:rsid w:val="00EE5DE0"/>
    <w:rsid w:val="00EE66CA"/>
    <w:rsid w:val="00EE7E36"/>
    <w:rsid w:val="00EF02EB"/>
    <w:rsid w:val="00EF1681"/>
    <w:rsid w:val="00EF3C47"/>
    <w:rsid w:val="00EF4EB2"/>
    <w:rsid w:val="00EF678E"/>
    <w:rsid w:val="00EF6DCB"/>
    <w:rsid w:val="00EF749D"/>
    <w:rsid w:val="00EF75B3"/>
    <w:rsid w:val="00F033C3"/>
    <w:rsid w:val="00F03ECB"/>
    <w:rsid w:val="00F1051F"/>
    <w:rsid w:val="00F11243"/>
    <w:rsid w:val="00F12E11"/>
    <w:rsid w:val="00F1337F"/>
    <w:rsid w:val="00F24612"/>
    <w:rsid w:val="00F253A5"/>
    <w:rsid w:val="00F26300"/>
    <w:rsid w:val="00F27021"/>
    <w:rsid w:val="00F4066D"/>
    <w:rsid w:val="00F4150A"/>
    <w:rsid w:val="00F50026"/>
    <w:rsid w:val="00F50D68"/>
    <w:rsid w:val="00F524C2"/>
    <w:rsid w:val="00F576C6"/>
    <w:rsid w:val="00F61825"/>
    <w:rsid w:val="00F6256B"/>
    <w:rsid w:val="00F62827"/>
    <w:rsid w:val="00F67AF3"/>
    <w:rsid w:val="00F70997"/>
    <w:rsid w:val="00F71A29"/>
    <w:rsid w:val="00F754E6"/>
    <w:rsid w:val="00F76A7F"/>
    <w:rsid w:val="00F77100"/>
    <w:rsid w:val="00F80AC8"/>
    <w:rsid w:val="00F8111A"/>
    <w:rsid w:val="00F82A44"/>
    <w:rsid w:val="00F84B83"/>
    <w:rsid w:val="00F90788"/>
    <w:rsid w:val="00F90C5F"/>
    <w:rsid w:val="00F92593"/>
    <w:rsid w:val="00F94C77"/>
    <w:rsid w:val="00F95563"/>
    <w:rsid w:val="00F95B73"/>
    <w:rsid w:val="00F96701"/>
    <w:rsid w:val="00FA0BA7"/>
    <w:rsid w:val="00FA2ADD"/>
    <w:rsid w:val="00FA6048"/>
    <w:rsid w:val="00FA6920"/>
    <w:rsid w:val="00FB37DB"/>
    <w:rsid w:val="00FB53F5"/>
    <w:rsid w:val="00FB7D1A"/>
    <w:rsid w:val="00FC2AD3"/>
    <w:rsid w:val="00FC2E30"/>
    <w:rsid w:val="00FC332F"/>
    <w:rsid w:val="00FC429D"/>
    <w:rsid w:val="00FC5697"/>
    <w:rsid w:val="00FC6B08"/>
    <w:rsid w:val="00FC6C47"/>
    <w:rsid w:val="00FC6F92"/>
    <w:rsid w:val="00FD2E04"/>
    <w:rsid w:val="00FD395F"/>
    <w:rsid w:val="00FD3B9A"/>
    <w:rsid w:val="00FD56A5"/>
    <w:rsid w:val="00FD6A82"/>
    <w:rsid w:val="00FE02A6"/>
    <w:rsid w:val="00FE0AD4"/>
    <w:rsid w:val="00FE0C03"/>
    <w:rsid w:val="00FE3599"/>
    <w:rsid w:val="00FE3F88"/>
    <w:rsid w:val="00FE42B6"/>
    <w:rsid w:val="00FE5402"/>
    <w:rsid w:val="00FE588A"/>
    <w:rsid w:val="00FE666C"/>
    <w:rsid w:val="00FE77E9"/>
    <w:rsid w:val="00FF187C"/>
    <w:rsid w:val="00FF3968"/>
    <w:rsid w:val="00FF6B53"/>
    <w:rsid w:val="2C060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方正兰亭黑_GBK" w:hAnsi="方正兰亭黑_GBK" w:eastAsia="黑体" w:cs="方正兰亭黑_GBK"/>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semiHidden="0"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方正兰亭黑_GBK" w:hAnsi="方正兰亭黑_GBK" w:eastAsia="黑体"/>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13">
    <w:name w:val="Default Paragraph Font"/>
    <w:semiHidden/>
    <w:unhideWhenUsed/>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17"/>
    <w:unhideWhenUsed/>
    <w:uiPriority w:val="99"/>
    <w:pPr>
      <w:jc w:val="left"/>
    </w:pPr>
  </w:style>
  <w:style w:type="paragraph" w:styleId="6">
    <w:name w:val="Date"/>
    <w:basedOn w:val="1"/>
    <w:next w:val="1"/>
    <w:link w:val="18"/>
    <w:semiHidden/>
    <w:unhideWhenUsed/>
    <w:uiPriority w:val="99"/>
    <w:pPr>
      <w:ind w:left="100" w:leftChars="2500"/>
    </w:pPr>
  </w:style>
  <w:style w:type="paragraph" w:styleId="7">
    <w:name w:val="Balloon Text"/>
    <w:basedOn w:val="1"/>
    <w:link w:val="15"/>
    <w:semiHidden/>
    <w:unhideWhenUsed/>
    <w:uiPriority w:val="99"/>
    <w:rPr>
      <w:sz w:val="18"/>
      <w:szCs w:val="18"/>
    </w:rPr>
  </w:style>
  <w:style w:type="paragraph" w:styleId="8">
    <w:name w:val="footer"/>
    <w:basedOn w:val="1"/>
    <w:uiPriority w:val="0"/>
    <w:pPr>
      <w:tabs>
        <w:tab w:val="center" w:pos="4153"/>
        <w:tab w:val="right" w:pos="8306"/>
      </w:tabs>
      <w:snapToGrid w:val="0"/>
      <w:jc w:val="left"/>
    </w:pPr>
    <w:rPr>
      <w:sz w:val="18"/>
      <w:szCs w:val="18"/>
    </w:rPr>
  </w:style>
  <w:style w:type="paragraph" w:styleId="9">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uiPriority w:val="0"/>
    <w:pPr>
      <w:widowControl/>
      <w:spacing w:before="100" w:beforeAutospacing="1" w:after="100" w:afterAutospacing="1"/>
      <w:jc w:val="left"/>
    </w:pPr>
    <w:rPr>
      <w:rFonts w:ascii="宋体" w:hAnsi="宋体" w:cs="宋体"/>
      <w:kern w:val="0"/>
      <w:sz w:val="24"/>
    </w:rPr>
  </w:style>
  <w:style w:type="table" w:styleId="12">
    <w:name w:val="Table Grid"/>
    <w:basedOn w:val="11"/>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page number"/>
    <w:basedOn w:val="13"/>
    <w:uiPriority w:val="0"/>
  </w:style>
  <w:style w:type="character" w:customStyle="1" w:styleId="15">
    <w:name w:val="批注框文本 Char"/>
    <w:link w:val="7"/>
    <w:semiHidden/>
    <w:uiPriority w:val="99"/>
    <w:rPr>
      <w:rFonts w:ascii="Times New Roman" w:hAnsi="Times New Roman" w:eastAsia="宋体" w:cs="Times New Roman"/>
      <w:kern w:val="2"/>
      <w:sz w:val="18"/>
      <w:szCs w:val="18"/>
    </w:rPr>
  </w:style>
  <w:style w:type="paragraph" w:customStyle="1" w:styleId="16">
    <w:name w:val="Revision"/>
    <w:hidden/>
    <w:semiHidden/>
    <w:uiPriority w:val="99"/>
    <w:rPr>
      <w:rFonts w:ascii="Times New Roman" w:hAnsi="Times New Roman" w:eastAsia="宋体" w:cs="Times New Roman"/>
      <w:kern w:val="2"/>
      <w:sz w:val="21"/>
      <w:szCs w:val="24"/>
      <w:lang w:val="en-US" w:eastAsia="zh-CN" w:bidi="ar-SA"/>
    </w:rPr>
  </w:style>
  <w:style w:type="character" w:customStyle="1" w:styleId="17">
    <w:name w:val="批注文字 Char"/>
    <w:link w:val="5"/>
    <w:uiPriority w:val="99"/>
    <w:rPr>
      <w:rFonts w:ascii="Times New Roman" w:hAnsi="Times New Roman" w:eastAsia="宋体" w:cs="Times New Roman"/>
      <w:kern w:val="2"/>
      <w:sz w:val="21"/>
      <w:szCs w:val="24"/>
    </w:rPr>
  </w:style>
  <w:style w:type="character" w:customStyle="1" w:styleId="18">
    <w:name w:val="日期 Char"/>
    <w:basedOn w:val="13"/>
    <w:link w:val="6"/>
    <w:semiHidden/>
    <w:uiPriority w:val="99"/>
    <w:rPr>
      <w:rFonts w:ascii="Times New Roman" w:hAnsi="Times New Roman" w:eastAsia="宋体" w:cs="Times New Roman"/>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6B9740-9101-45EC-A963-196751E67DC3}">
  <ds:schemaRefs/>
</ds:datastoreItem>
</file>

<file path=docProps/app.xml><?xml version="1.0" encoding="utf-8"?>
<Properties xmlns="http://schemas.openxmlformats.org/officeDocument/2006/extended-properties" xmlns:vt="http://schemas.openxmlformats.org/officeDocument/2006/docPropsVTypes">
  <Template>Normal</Template>
  <Company>Yozosoft</Company>
  <Pages>7</Pages>
  <Words>3983</Words>
  <Characters>4063</Characters>
  <Lines>29</Lines>
  <Paragraphs>8</Paragraphs>
  <TotalTime>4164</TotalTime>
  <ScaleCrop>false</ScaleCrop>
  <LinksUpToDate>false</LinksUpToDate>
  <CharactersWithSpaces>4087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2025-03-14T01:51:00Z</dcterms:created>
  <dc:creator>User274</dc:creator>
  <cp:lastModifiedBy>宋扬</cp:lastModifiedBy>
  <cp:lastPrinted>2025-06-04T13:46:00Z</cp:lastPrinted>
  <dcterms:modified xsi:type="dcterms:W3CDTF">2025-06-05T01:13:54Z</dcterms:modified>
  <dc:title>达州市自然资源和规划局</dc:title>
  <cp:revision>233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eyJoZGlkIjoiODY4ZjUyN2YwNTQzZTAyYWYwNGIyMmVjOWVhYmVjNjIiLCJ1c2VySWQiOiIxNjgwNDY2MzI4In0=</vt:lpwstr>
  </property>
  <property fmtid="{D5CDD505-2E9C-101B-9397-08002B2CF9AE}" pid="3" name="KSOProductBuildVer">
    <vt:lpwstr>2052-12.1.0.20784</vt:lpwstr>
  </property>
  <property fmtid="{D5CDD505-2E9C-101B-9397-08002B2CF9AE}" pid="4" name="ICV">
    <vt:lpwstr>479A31C97AC845A49316E9484FFF30D4_12</vt:lpwstr>
  </property>
</Properties>
</file>