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D8DE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20" w:lineRule="auto"/>
        <w:jc w:val="left"/>
        <w:textAlignment w:val="auto"/>
        <w:rPr>
          <w:rFonts w:hint="default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附件2</w:t>
      </w:r>
    </w:p>
    <w:p w14:paraId="7EFD2D98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20" w:lineRule="auto"/>
        <w:ind w:firstLine="883" w:firstLineChars="200"/>
        <w:jc w:val="left"/>
        <w:textAlignment w:val="auto"/>
        <w:rPr>
          <w:rFonts w:hint="eastAsia" w:ascii="仿宋" w:hAnsi="仿宋" w:eastAsia="仿宋" w:cs="仿宋"/>
          <w:b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44"/>
          <w:szCs w:val="44"/>
        </w:rPr>
        <w:t>万源市突发事件总体应急预案</w:t>
      </w:r>
      <w:r>
        <w:rPr>
          <w:rFonts w:hint="eastAsia" w:ascii="仿宋" w:hAnsi="仿宋" w:eastAsia="仿宋" w:cs="仿宋"/>
          <w:b/>
          <w:bCs w:val="0"/>
          <w:sz w:val="44"/>
          <w:szCs w:val="44"/>
          <w:lang w:eastAsia="zh-CN"/>
        </w:rPr>
        <w:t>解读</w:t>
      </w:r>
    </w:p>
    <w:p w14:paraId="4304FD9A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20" w:lineRule="auto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44A475D1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2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本应急预案共设6章，包括总则、组织指挥体系、运行机制、应急保障、预案管理、附件。</w:t>
      </w:r>
    </w:p>
    <w:p w14:paraId="5D9E51FC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2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1.总则</w:t>
      </w:r>
    </w:p>
    <w:p w14:paraId="72AEBA3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总体要求</w:t>
      </w:r>
      <w:r>
        <w:rPr>
          <w:rFonts w:hint="eastAsia" w:ascii="仿宋" w:hAnsi="仿宋" w:eastAsia="仿宋" w:cs="仿宋"/>
          <w:sz w:val="32"/>
          <w:szCs w:val="32"/>
        </w:rPr>
        <w:t>：以习近平新时代中国特色社会主义思想为指导，坚持党的全面领导，统筹发展和安全，建立统一指挥、专常兼备、反应灵敏、上下联动的应急管理体制，推进应急管理体系和能力现代化。</w:t>
      </w:r>
    </w:p>
    <w:p w14:paraId="05BE532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适用范围</w:t>
      </w:r>
      <w:r>
        <w:rPr>
          <w:rFonts w:hint="eastAsia" w:ascii="仿宋" w:hAnsi="仿宋" w:eastAsia="仿宋" w:cs="仿宋"/>
          <w:sz w:val="32"/>
          <w:szCs w:val="32"/>
        </w:rPr>
        <w:t>：适用于市委、市政府应对一般及以上突发事件工作，指导全市突发事件应对。</w:t>
      </w:r>
    </w:p>
    <w:p w14:paraId="44F4EAD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分类分级</w:t>
      </w:r>
      <w:r>
        <w:rPr>
          <w:rFonts w:hint="eastAsia" w:ascii="仿宋" w:hAnsi="仿宋" w:eastAsia="仿宋" w:cs="仿宋"/>
          <w:sz w:val="32"/>
          <w:szCs w:val="32"/>
        </w:rPr>
        <w:t>：四类事件：自然灾害（水旱、气象、地震等）、事故灾难（生产安全事故、交通、环境等）、公共卫生事件（传染病、食品药品安全等）、社会安全事件（刑事、群体性、金融等）。</w:t>
      </w:r>
    </w:p>
    <w:p w14:paraId="42839BE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分级标准</w:t>
      </w:r>
      <w:r>
        <w:rPr>
          <w:rFonts w:hint="eastAsia" w:ascii="仿宋" w:hAnsi="仿宋" w:eastAsia="仿宋" w:cs="仿宋"/>
          <w:sz w:val="32"/>
          <w:szCs w:val="32"/>
        </w:rPr>
        <w:t>：自然灾害、事故灾难、公共卫生事件分为特别重大、重大、较大、一般4级（按国家规定）；社会安全事件分级按有关规定执行。</w:t>
      </w:r>
    </w:p>
    <w:p w14:paraId="508626E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应急预案体系</w:t>
      </w:r>
      <w:r>
        <w:rPr>
          <w:rFonts w:hint="eastAsia" w:ascii="仿宋" w:hAnsi="仿宋" w:eastAsia="仿宋" w:cs="仿宋"/>
          <w:sz w:val="32"/>
          <w:szCs w:val="32"/>
        </w:rPr>
        <w:t>：市政府统一领导，包括总体、专项、部门应急预案及基层、企事业单位预案，支撑性文件有工作手册、行动方案等。</w:t>
      </w:r>
    </w:p>
    <w:p w14:paraId="3439CABB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2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2.组织指挥体系</w:t>
      </w:r>
    </w:p>
    <w:p w14:paraId="554DD09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县级层面指挥体制</w:t>
      </w:r>
      <w:r>
        <w:rPr>
          <w:rFonts w:hint="eastAsia" w:ascii="仿宋" w:hAnsi="仿宋" w:eastAsia="仿宋" w:cs="仿宋"/>
          <w:sz w:val="32"/>
          <w:szCs w:val="32"/>
        </w:rPr>
        <w:t>：市委统一领导，市政府为最高行政领导机关，可设应急指挥机构，指定负责同志协调指挥；必要时由市委、市政府主要负责同志统一指挥。</w:t>
      </w:r>
    </w:p>
    <w:p w14:paraId="1242351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乡镇（街道）机构</w:t>
      </w:r>
      <w:r>
        <w:rPr>
          <w:rFonts w:hint="eastAsia" w:ascii="仿宋" w:hAnsi="仿宋" w:eastAsia="仿宋" w:cs="仿宋"/>
          <w:sz w:val="32"/>
          <w:szCs w:val="32"/>
        </w:rPr>
        <w:t>：为本区域应急管理行政领导机构，负责先期处置；村（社区）强化监测预警、信息报告等能力。</w:t>
      </w:r>
    </w:p>
    <w:p w14:paraId="3548B03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专家组</w:t>
      </w:r>
      <w:r>
        <w:rPr>
          <w:rFonts w:hint="eastAsia" w:ascii="仿宋" w:hAnsi="仿宋" w:eastAsia="仿宋" w:cs="仿宋"/>
          <w:sz w:val="32"/>
          <w:szCs w:val="32"/>
        </w:rPr>
        <w:t>：按事件类别建立专家库（如卫健、生态环境、应急管理等领域），提供决策建议及参与处置。</w:t>
      </w:r>
    </w:p>
    <w:p w14:paraId="7D4D9674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2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3.运行机制</w:t>
      </w:r>
    </w:p>
    <w:p w14:paraId="45D5EF9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风险防控</w:t>
      </w:r>
      <w:r>
        <w:rPr>
          <w:rFonts w:hint="eastAsia" w:ascii="仿宋" w:hAnsi="仿宋" w:eastAsia="仿宋" w:cs="仿宋"/>
          <w:sz w:val="32"/>
          <w:szCs w:val="32"/>
        </w:rPr>
        <w:t>：健全风险防范机制，纳入网格化管理，对危险源、关键基础设施、人员密集场所等登记评估、监控检查。</w:t>
      </w:r>
    </w:p>
    <w:p w14:paraId="52FBFF9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监测与预警</w:t>
      </w:r>
      <w:r>
        <w:rPr>
          <w:rFonts w:hint="eastAsia" w:ascii="仿宋" w:hAnsi="仿宋" w:eastAsia="仿宋" w:cs="仿宋"/>
          <w:sz w:val="32"/>
          <w:szCs w:val="32"/>
        </w:rPr>
        <w:t>：</w:t>
      </w:r>
      <w:bookmarkStart w:id="0" w:name="_GoBack"/>
      <w:bookmarkEnd w:id="0"/>
    </w:p>
    <w:p w14:paraId="5A3C5CE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监测</w:t>
      </w:r>
      <w:r>
        <w:rPr>
          <w:rFonts w:hint="eastAsia" w:ascii="仿宋" w:hAnsi="仿宋" w:eastAsia="仿宋" w:cs="仿宋"/>
          <w:sz w:val="32"/>
          <w:szCs w:val="32"/>
        </w:rPr>
        <w:t>：整合资源，完善网络，群专结合，建立基础信息数据库。</w:t>
      </w:r>
    </w:p>
    <w:p w14:paraId="0835461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预警</w:t>
      </w:r>
      <w:r>
        <w:rPr>
          <w:rFonts w:hint="eastAsia" w:ascii="仿宋" w:hAnsi="仿宋" w:eastAsia="仿宋" w:cs="仿宋"/>
          <w:sz w:val="32"/>
          <w:szCs w:val="32"/>
        </w:rPr>
        <w:t>：分一级（红色）、二级（橙色）、三级（黄色）、四级（蓝色）；发布后采取转移疏散、预置力量等措施，危险消除后解除预警，发生时启动应急响应。</w:t>
      </w:r>
    </w:p>
    <w:p w14:paraId="0D05CB2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处置与救援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4320429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先期处置与信息报告</w:t>
      </w:r>
      <w:r>
        <w:rPr>
          <w:rFonts w:hint="eastAsia" w:ascii="仿宋" w:hAnsi="仿宋" w:eastAsia="仿宋" w:cs="仿宋"/>
          <w:sz w:val="32"/>
          <w:szCs w:val="32"/>
        </w:rPr>
        <w:t>：涉事单位立即处置并报告，乡镇（街道）统筹先期处置；市委、市政府15分钟内报达州市，乡镇（街道）最迟1小时内报告，不得迟/谎/瞒/漏报。</w:t>
      </w:r>
    </w:p>
    <w:p w14:paraId="06F5C73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响应分级</w:t>
      </w:r>
      <w:r>
        <w:rPr>
          <w:rFonts w:hint="eastAsia" w:ascii="仿宋" w:hAnsi="仿宋" w:eastAsia="仿宋" w:cs="仿宋"/>
          <w:sz w:val="32"/>
          <w:szCs w:val="32"/>
        </w:rPr>
        <w:t>：一级由市委、市政府或指挥机构主要负责同志决定，二级由牵头部门建议报主要负责同志决定，三级由牵头部门建议报指挥机构负责同志决定，四级由牵头部门决定。</w:t>
      </w:r>
    </w:p>
    <w:p w14:paraId="607BAD8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指挥协调</w:t>
      </w:r>
      <w:r>
        <w:rPr>
          <w:rFonts w:hint="eastAsia" w:ascii="仿宋" w:hAnsi="仿宋" w:eastAsia="仿宋" w:cs="仿宋"/>
          <w:sz w:val="32"/>
          <w:szCs w:val="32"/>
        </w:rPr>
        <w:t>：分级指挥与专业指挥结合，跨区域事件由共同上一级协调。</w:t>
      </w:r>
    </w:p>
    <w:p w14:paraId="45F8E7D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信息发布</w:t>
      </w:r>
      <w:r>
        <w:rPr>
          <w:rFonts w:hint="eastAsia" w:ascii="仿宋" w:hAnsi="仿宋" w:eastAsia="仿宋" w:cs="仿宋"/>
          <w:sz w:val="32"/>
          <w:szCs w:val="32"/>
        </w:rPr>
        <w:t>：事件发生后5小时内发布简要信息，后续发布进展；较大及以上事件配合上级发布。</w:t>
      </w:r>
    </w:p>
    <w:p w14:paraId="4253884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恢复与重建</w:t>
      </w:r>
      <w:r>
        <w:rPr>
          <w:rFonts w:hint="eastAsia" w:ascii="仿宋" w:hAnsi="仿宋" w:eastAsia="仿宋" w:cs="仿宋"/>
          <w:sz w:val="32"/>
          <w:szCs w:val="32"/>
        </w:rPr>
        <w:t>：包括善后处置（救助、补偿、抚恤等）、调查评估（查明原因、总结教训）、恢复重建（分级负责，灾区为主体，争取上级支持）。</w:t>
      </w:r>
    </w:p>
    <w:p w14:paraId="27035EF7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2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4.应急保障</w:t>
      </w:r>
    </w:p>
    <w:p w14:paraId="3F5E9F8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人力资源</w:t>
      </w:r>
      <w:r>
        <w:rPr>
          <w:rFonts w:hint="eastAsia" w:ascii="仿宋" w:hAnsi="仿宋" w:eastAsia="仿宋" w:cs="仿宋"/>
          <w:sz w:val="32"/>
          <w:szCs w:val="32"/>
        </w:rPr>
        <w:t>：国家综合性消防救援队伍为骨干，专业应急力量、武警民兵为突击力量；县级建≥50人综合应急队，乡镇（街道）≥20人，村（社）≥10人。</w:t>
      </w:r>
    </w:p>
    <w:p w14:paraId="0DA2D76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财力支持</w:t>
      </w:r>
      <w:r>
        <w:rPr>
          <w:rFonts w:hint="eastAsia" w:ascii="仿宋" w:hAnsi="仿宋" w:eastAsia="仿宋" w:cs="仿宋"/>
          <w:sz w:val="32"/>
          <w:szCs w:val="32"/>
        </w:rPr>
        <w:t>：纳入财政预算，鼓励保险参与（巨灾、安全生产责任险等），接受社会捐赠。</w:t>
      </w:r>
    </w:p>
    <w:p w14:paraId="23B5BA6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物资保障</w:t>
      </w:r>
      <w:r>
        <w:rPr>
          <w:rFonts w:hint="eastAsia" w:ascii="仿宋" w:hAnsi="仿宋" w:eastAsia="仿宋" w:cs="仿宋"/>
          <w:sz w:val="32"/>
          <w:szCs w:val="32"/>
        </w:rPr>
        <w:t>：应急管理局牵头构建储备体系，规划储备点，动态更新储备目录；保障生活必需品、药品等供应。</w:t>
      </w:r>
    </w:p>
    <w:p w14:paraId="0A37F92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交通通信电力保障</w:t>
      </w:r>
      <w:r>
        <w:rPr>
          <w:rFonts w:hint="eastAsia" w:ascii="仿宋" w:hAnsi="仿宋" w:eastAsia="仿宋" w:cs="仿宋"/>
          <w:sz w:val="32"/>
          <w:szCs w:val="32"/>
        </w:rPr>
        <w:t>：交通部门保障应急运力优先调度，通信部门建应急通信网络，电力部门保障应急供电。</w:t>
      </w:r>
    </w:p>
    <w:p w14:paraId="5C67189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科技支撑</w:t>
      </w:r>
      <w:r>
        <w:rPr>
          <w:rFonts w:hint="eastAsia" w:ascii="仿宋" w:hAnsi="仿宋" w:eastAsia="仿宋" w:cs="仿宋"/>
          <w:sz w:val="32"/>
          <w:szCs w:val="32"/>
        </w:rPr>
        <w:t>：应用大数据、人工智能等技术，推广应急指挥平台，强化数字化能力建设。</w:t>
      </w:r>
    </w:p>
    <w:p w14:paraId="39C76FBF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2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5.预案管理</w:t>
      </w:r>
    </w:p>
    <w:p w14:paraId="72720ED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编制</w:t>
      </w:r>
      <w:r>
        <w:rPr>
          <w:rFonts w:hint="eastAsia" w:ascii="仿宋" w:hAnsi="仿宋" w:eastAsia="仿宋" w:cs="仿宋"/>
          <w:sz w:val="32"/>
          <w:szCs w:val="32"/>
        </w:rPr>
        <w:t>：总体预案为总纲，专项、部门预案由相关部门编制报批；乡镇（街道）、企事业单位、重大活动主办单位按规定编制。</w:t>
      </w:r>
    </w:p>
    <w:p w14:paraId="65B5280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衔接</w:t>
      </w:r>
      <w:r>
        <w:rPr>
          <w:rFonts w:hint="eastAsia" w:ascii="仿宋" w:hAnsi="仿宋" w:eastAsia="仿宋" w:cs="仿宋"/>
          <w:sz w:val="32"/>
          <w:szCs w:val="32"/>
        </w:rPr>
        <w:t>：市应急管理局协调全市预案衔接，避免交叉矛盾。</w:t>
      </w:r>
    </w:p>
    <w:p w14:paraId="685F885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演练</w:t>
      </w:r>
      <w:r>
        <w:rPr>
          <w:rFonts w:hint="eastAsia" w:ascii="仿宋" w:hAnsi="仿宋" w:eastAsia="仿宋" w:cs="仿宋"/>
          <w:sz w:val="32"/>
          <w:szCs w:val="32"/>
        </w:rPr>
        <w:t>：市级专项和部门预案每3年至少1次，乡镇（街道）每年至少1次，基层和企事业单位结合实际开展。</w:t>
      </w:r>
    </w:p>
    <w:p w14:paraId="7EC6260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评估修订</w:t>
      </w:r>
      <w:r>
        <w:rPr>
          <w:rFonts w:hint="eastAsia" w:ascii="仿宋" w:hAnsi="仿宋" w:eastAsia="仿宋" w:cs="仿宋"/>
          <w:sz w:val="32"/>
          <w:szCs w:val="32"/>
        </w:rPr>
        <w:t>：每1-3年评估修订，增强针对性、实用性。</w:t>
      </w:r>
    </w:p>
    <w:p w14:paraId="12CA9B6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宣传培训与奖惩</w:t>
      </w:r>
      <w:r>
        <w:rPr>
          <w:rFonts w:hint="eastAsia" w:ascii="仿宋" w:hAnsi="仿宋" w:eastAsia="仿宋" w:cs="仿宋"/>
          <w:sz w:val="32"/>
          <w:szCs w:val="32"/>
        </w:rPr>
        <w:t>：加强预案宣传解读，落实责任追究制，表彰突出贡献者。</w:t>
      </w:r>
    </w:p>
    <w:p w14:paraId="5E172B4C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12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附件：应急预案体系组成</w:t>
      </w:r>
    </w:p>
    <w:p w14:paraId="47D622E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市委、市政府应急预案</w:t>
      </w:r>
      <w:r>
        <w:rPr>
          <w:rFonts w:hint="eastAsia" w:ascii="仿宋" w:hAnsi="仿宋" w:eastAsia="仿宋" w:cs="仿宋"/>
          <w:sz w:val="32"/>
          <w:szCs w:val="32"/>
        </w:rPr>
        <w:t>：总体应急预案、专项应急预案、部门应急预案。</w:t>
      </w:r>
    </w:p>
    <w:p w14:paraId="706D280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uto"/>
        <w:ind w:firstLine="643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专项应急预案目录</w:t>
      </w:r>
      <w:r>
        <w:rPr>
          <w:rFonts w:hint="eastAsia" w:ascii="仿宋" w:hAnsi="仿宋" w:eastAsia="仿宋" w:cs="仿宋"/>
          <w:sz w:val="32"/>
          <w:szCs w:val="32"/>
        </w:rPr>
        <w:t>：含事件处置类（如地震、防汛抗旱、突发公共卫生事件等）和应急保障类（如通信保障、交通运输保障、应急物资保障等）。</w:t>
      </w:r>
    </w:p>
    <w:p w14:paraId="72B613F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57A07"/>
    <w:rsid w:val="01D87631"/>
    <w:rsid w:val="3A4E3293"/>
    <w:rsid w:val="46D467FB"/>
    <w:rsid w:val="5EEE10E9"/>
    <w:rsid w:val="774A1E07"/>
    <w:rsid w:val="7EE5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1563</Words>
  <Characters>1575</Characters>
  <Lines>0</Lines>
  <Paragraphs>0</Paragraphs>
  <TotalTime>7</TotalTime>
  <ScaleCrop>false</ScaleCrop>
  <LinksUpToDate>false</LinksUpToDate>
  <CharactersWithSpaces>1575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2025-11-10T01:16:00Z</dcterms:created>
  <dc:creator>张光玖</dc:creator>
  <cp:lastModifiedBy>张光玖</cp:lastModifiedBy>
  <dcterms:modified xsi:type="dcterms:W3CDTF">2026-03-18T08:04:04Z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CF2EF3326F1A4AEF9440CE61BFC0EDD4_11</vt:lpwstr>
  </property>
  <property fmtid="{D5CDD505-2E9C-101B-9397-08002B2CF9AE}" pid="4" name="KSOTemplateDocerSaveRecord">
    <vt:lpwstr>eyJoZGlkIjoiMTBlYTAxZTFjOWEwZDY0YjJhMTA1OGViZmVlMmIxYWIiLCJ1c2VySWQiOiIxNjY1Mjg3MzEyIn0=</vt:lpwstr>
  </property>
</Properties>
</file>