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112"/>
          <w:szCs w:val="112"/>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四川省达州市万源市大沙镇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headerReference r:id="rId3" w:type="default"/>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14</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0</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sectPr>
          <w:footerReference r:id="rId5"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31" w:type="dxa"/>
        <w:jc w:val="center"/>
        <w:shd w:val="clear" w:color="auto" w:fill="auto"/>
        <w:tblLayout w:type="fixed"/>
        <w:tblCellMar>
          <w:top w:w="0" w:type="dxa"/>
          <w:left w:w="0" w:type="dxa"/>
          <w:bottom w:w="0" w:type="dxa"/>
          <w:right w:w="0" w:type="dxa"/>
        </w:tblCellMar>
      </w:tblPr>
      <w:tblGrid>
        <w:gridCol w:w="854"/>
        <w:gridCol w:w="13077"/>
      </w:tblGrid>
      <w:tr>
        <w:tblPrEx>
          <w:shd w:val="clear" w:color="auto" w:fill="auto"/>
          <w:tblCellMar>
            <w:top w:w="0" w:type="dxa"/>
            <w:left w:w="0" w:type="dxa"/>
            <w:bottom w:w="0" w:type="dxa"/>
            <w:right w:w="0" w:type="dxa"/>
          </w:tblCellMar>
        </w:tblPrEx>
        <w:trPr>
          <w:trHeight w:val="401" w:hRule="atLeast"/>
          <w:tblHeader/>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40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w:t>
            </w:r>
            <w:r>
              <w:rPr>
                <w:rFonts w:hint="default" w:ascii="Times New Roman" w:hAnsi="Times New Roman" w:eastAsia="宋体" w:cs="Times New Roman"/>
                <w:b/>
                <w:bCs/>
                <w:i w:val="0"/>
                <w:color w:val="000000"/>
                <w:kern w:val="0"/>
                <w:sz w:val="24"/>
                <w:szCs w:val="24"/>
                <w:u w:val="none"/>
                <w:lang w:val="en-US" w:eastAsia="zh-CN" w:bidi="ar"/>
              </w:rPr>
              <w:t>17</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52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62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tblPrEx>
          <w:tblCellMar>
            <w:top w:w="0" w:type="dxa"/>
            <w:left w:w="0" w:type="dxa"/>
            <w:bottom w:w="0" w:type="dxa"/>
            <w:right w:w="0"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81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82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8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46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落实党管人才责任，做好农业科技、产业发展、乡村建设等方面人才引进、队伍建设、服务和管理工作，培育壮大本土人才队伍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tblPrEx>
          <w:tblCellMar>
            <w:top w:w="0" w:type="dxa"/>
            <w:left w:w="0" w:type="dxa"/>
            <w:bottom w:w="0" w:type="dxa"/>
            <w:right w:w="0" w:type="dxa"/>
          </w:tblCellMar>
        </w:tblPrEx>
        <w:trPr>
          <w:trHeight w:val="84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8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52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畜禽、中药材、烟叶等特色优势产业，培育、保护本土农产品品牌</w:t>
            </w:r>
          </w:p>
        </w:tc>
      </w:tr>
      <w:tr>
        <w:tblPrEx>
          <w:tblCellMar>
            <w:top w:w="0" w:type="dxa"/>
            <w:left w:w="0" w:type="dxa"/>
            <w:bottom w:w="0" w:type="dxa"/>
            <w:right w:w="0" w:type="dxa"/>
          </w:tblCellMar>
        </w:tblPrEx>
        <w:trPr>
          <w:trHeight w:val="162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114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tblPrEx>
          <w:tblCellMar>
            <w:top w:w="0" w:type="dxa"/>
            <w:left w:w="0" w:type="dxa"/>
            <w:bottom w:w="0" w:type="dxa"/>
            <w:right w:w="0" w:type="dxa"/>
          </w:tblCellMar>
        </w:tblPrEx>
        <w:trPr>
          <w:trHeight w:val="152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8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227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31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193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32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124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33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203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kern w:val="2"/>
                <w:sz w:val="24"/>
                <w:szCs w:val="24"/>
                <w:lang w:val="en-US" w:eastAsia="zh-CN" w:bidi="ar-SA"/>
              </w:rPr>
              <w:t>34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6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2"/>
                <w:sz w:val="24"/>
                <w:szCs w:val="24"/>
                <w:lang w:val="en-US" w:eastAsia="zh-CN" w:bidi="ar-SA"/>
              </w:rPr>
              <w:t>35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112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一对一</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9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8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8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68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养殖、中药材、烟叶、辣椒种植等特色农业产业</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84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负责红星水库等塘库堰、沟渠等小微型农田水利基础设施日常巡查、管护、安全和问题上报，推动高效节灌、农业节水等工作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84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1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_GBK" w:cs="Times New Roman"/>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82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89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7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4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8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tblPrEx>
          <w:tblCellMar>
            <w:top w:w="0" w:type="dxa"/>
            <w:left w:w="0" w:type="dxa"/>
            <w:bottom w:w="0" w:type="dxa"/>
            <w:right w:w="0" w:type="dxa"/>
          </w:tblCellMar>
        </w:tblPrEx>
        <w:trPr>
          <w:trHeight w:val="9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58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tblPrEx>
          <w:tblCellMar>
            <w:top w:w="0" w:type="dxa"/>
            <w:left w:w="0" w:type="dxa"/>
            <w:bottom w:w="0" w:type="dxa"/>
            <w:right w:w="0" w:type="dxa"/>
          </w:tblCellMar>
        </w:tblPrEx>
        <w:trPr>
          <w:trHeight w:val="152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40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58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74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59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24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kern w:val="2"/>
                <w:sz w:val="24"/>
                <w:szCs w:val="24"/>
                <w:lang w:val="en-US" w:eastAsia="zh-CN" w:bidi="ar-SA"/>
              </w:rPr>
            </w:pPr>
            <w:r>
              <w:rPr>
                <w:rFonts w:hint="default" w:ascii="Times New Roman" w:hAnsi="Times New Roman" w:eastAsia="宋体" w:cs="Times New Roman"/>
                <w:b/>
                <w:bCs/>
                <w:i w:val="0"/>
                <w:color w:val="000000"/>
                <w:kern w:val="2"/>
                <w:sz w:val="24"/>
                <w:szCs w:val="24"/>
                <w:lang w:val="en-US" w:eastAsia="zh-CN" w:bidi="ar-SA"/>
              </w:rPr>
              <w:t>60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9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eastAsia="zh-CN"/>
              </w:rPr>
              <w:t>6</w:t>
            </w:r>
            <w:r>
              <w:rPr>
                <w:rFonts w:hint="default" w:ascii="Times New Roman" w:hAnsi="Times New Roman" w:eastAsia="宋体" w:cs="Times New Roman"/>
                <w:b/>
                <w:bCs/>
                <w:i w:val="0"/>
                <w:color w:val="000000"/>
                <w:sz w:val="24"/>
                <w:szCs w:val="24"/>
                <w:u w:val="none"/>
                <w:lang w:val="en-US" w:eastAsia="zh-CN"/>
              </w:rPr>
              <w:t>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4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5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8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83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8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sz w:val="24"/>
                <w:szCs w:val="24"/>
                <w:u w:val="none"/>
                <w:lang w:val="en-US" w:eastAsia="zh-CN"/>
              </w:rPr>
              <w:t>66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组织实施公共服务能力提升、人文历史品位提升等工程，依托黑宝山绿色建材和森林康养片区发展规划，促进城乡融合发展</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30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2"/>
                <w:sz w:val="24"/>
                <w:szCs w:val="24"/>
                <w:lang w:val="en-US" w:eastAsia="zh-CN" w:bidi="ar-SA"/>
              </w:rPr>
              <w:t>70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5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2"/>
                <w:sz w:val="24"/>
                <w:szCs w:val="24"/>
                <w:lang w:val="en-US" w:eastAsia="zh-CN" w:bidi="ar-SA"/>
              </w:rPr>
              <w:t>71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49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1"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4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3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工作点位，培育主播人员，推广销售魔芋、茶叶等农产品</w:t>
            </w:r>
          </w:p>
        </w:tc>
      </w:tr>
      <w:tr>
        <w:tblPrEx>
          <w:tblCellMar>
            <w:top w:w="0" w:type="dxa"/>
            <w:left w:w="0" w:type="dxa"/>
            <w:bottom w:w="0" w:type="dxa"/>
            <w:right w:w="0" w:type="dxa"/>
          </w:tblCellMar>
        </w:tblPrEx>
        <w:trPr>
          <w:trHeight w:val="60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负责杜家湾摩崖造像、大田坝佛龛子摩崖造像等文物的宣传、普查工作，指导各村（社区）发掘非遗文化</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保护、利用、开发桂花村龙形坝张家院子传统村落、荔枝道（万源段）第九批省级古遗址，指导各村（社区）发掘地方特色文化，加强村史馆建设、管理、维护等工作</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负责旅游文化宣传工作，深度挖掘红色旅游资源，依托草莓采摘园、茶园等地方产业和旅游资源，发展休闲旅游、体验、研学等乡村旅游新业态，推进农文旅产业融合发展</w:t>
            </w:r>
          </w:p>
        </w:tc>
      </w:tr>
      <w:tr>
        <w:tblPrEx>
          <w:tblCellMar>
            <w:top w:w="0" w:type="dxa"/>
            <w:left w:w="0" w:type="dxa"/>
            <w:bottom w:w="0" w:type="dxa"/>
            <w:right w:w="0" w:type="dxa"/>
          </w:tblCellMar>
        </w:tblPrEx>
        <w:trPr>
          <w:trHeight w:val="5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负责协调推进康养产业发展，加强黑宝山森林康养基地的宣传和氛围营造</w:t>
            </w:r>
          </w:p>
        </w:tc>
      </w:tr>
      <w:tr>
        <w:tblPrEx>
          <w:tblCellMar>
            <w:top w:w="0" w:type="dxa"/>
            <w:left w:w="0" w:type="dxa"/>
            <w:bottom w:w="0" w:type="dxa"/>
            <w:right w:w="0" w:type="dxa"/>
          </w:tblCellMar>
        </w:tblPrEx>
        <w:trPr>
          <w:trHeight w:val="57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63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tblPrEx>
          <w:tblCellMar>
            <w:top w:w="0" w:type="dxa"/>
            <w:left w:w="0" w:type="dxa"/>
            <w:bottom w:w="0" w:type="dxa"/>
            <w:right w:w="0" w:type="dxa"/>
          </w:tblCellMar>
        </w:tblPrEx>
        <w:trPr>
          <w:trHeight w:val="55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工作机制，督促指导企业、村（社区）落实安全生产责任</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11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5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6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45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52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148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69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tblPrEx>
          <w:tblCellMar>
            <w:top w:w="0" w:type="dxa"/>
            <w:left w:w="0" w:type="dxa"/>
            <w:bottom w:w="0" w:type="dxa"/>
            <w:right w:w="0" w:type="dxa"/>
          </w:tblCellMar>
        </w:tblPrEx>
        <w:trPr>
          <w:trHeight w:val="58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tblPrEx>
          <w:tblCellMar>
            <w:top w:w="0" w:type="dxa"/>
            <w:left w:w="0" w:type="dxa"/>
            <w:bottom w:w="0" w:type="dxa"/>
            <w:right w:w="0" w:type="dxa"/>
          </w:tblCellMar>
        </w:tblPrEx>
        <w:trPr>
          <w:trHeight w:val="66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tblPrEx>
          <w:tblCellMar>
            <w:top w:w="0" w:type="dxa"/>
            <w:left w:w="0" w:type="dxa"/>
            <w:bottom w:w="0" w:type="dxa"/>
            <w:right w:w="0" w:type="dxa"/>
          </w:tblCellMar>
        </w:tblPrEx>
        <w:trPr>
          <w:trHeight w:val="72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keepNext w:val="0"/>
        <w:keepLines w:val="0"/>
        <w:pageBreakBefore w:val="0"/>
        <w:widowControl w:val="0"/>
        <w:numPr>
          <w:ilvl w:val="0"/>
          <w:numId w:val="0"/>
        </w:numPr>
        <w:suppressLineNumbers w:val="0"/>
        <w:tabs>
          <w:tab w:val="left" w:pos="0"/>
        </w:tabs>
        <w:kinsoku/>
        <w:wordWrap/>
        <w:overflowPunct w:val="0"/>
        <w:topLinePunct w:val="0"/>
        <w:autoSpaceDE/>
        <w:autoSpaceDN/>
        <w:bidi w:val="0"/>
        <w:adjustRightInd w:val="0"/>
        <w:snapToGrid w:val="0"/>
        <w:ind w:left="0" w:leftChars="0" w:firstLine="0" w:firstLineChars="0"/>
        <w:jc w:val="both"/>
        <w:textAlignment w:val="center"/>
        <w:rPr>
          <w:rFonts w:hint="default" w:ascii="Times New Roman" w:hAnsi="Times New Roman" w:cs="Times New Roman"/>
          <w:b/>
          <w:bCs/>
        </w:rPr>
      </w:pPr>
      <w:r>
        <w:rPr>
          <w:rFonts w:hint="default" w:ascii="Times New Roman" w:hAnsi="Times New Roman" w:cs="Times New Roman"/>
          <w:b/>
          <w:bCs/>
        </w:rPr>
        <w:br w:type="page"/>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color w:val="000000"/>
          <w:sz w:val="44"/>
          <w:szCs w:val="44"/>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配合履职事项清单</w:t>
      </w:r>
    </w:p>
    <w:tbl>
      <w:tblPr>
        <w:tblStyle w:val="4"/>
        <w:tblW w:w="13372" w:type="dxa"/>
        <w:jc w:val="center"/>
        <w:shd w:val="clear" w:color="auto" w:fill="auto"/>
        <w:tblLayout w:type="fixed"/>
        <w:tblCellMar>
          <w:top w:w="0" w:type="dxa"/>
          <w:left w:w="0" w:type="dxa"/>
          <w:bottom w:w="0" w:type="dxa"/>
          <w:right w:w="0" w:type="dxa"/>
        </w:tblCellMar>
      </w:tblPr>
      <w:tblGrid>
        <w:gridCol w:w="672"/>
        <w:gridCol w:w="1225"/>
        <w:gridCol w:w="1914"/>
        <w:gridCol w:w="4494"/>
        <w:gridCol w:w="297"/>
        <w:gridCol w:w="4770"/>
      </w:tblGrid>
      <w:tr>
        <w:tblPrEx>
          <w:shd w:val="clear" w:color="auto" w:fill="auto"/>
          <w:tblCellMar>
            <w:top w:w="0" w:type="dxa"/>
            <w:left w:w="0" w:type="dxa"/>
            <w:bottom w:w="0" w:type="dxa"/>
            <w:right w:w="0" w:type="dxa"/>
          </w:tblCellMar>
        </w:tblPrEx>
        <w:trPr>
          <w:trHeight w:val="334" w:hRule="atLeast"/>
          <w:tblHeader/>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shd w:val="clear" w:color="auto" w:fill="auto"/>
          <w:tblCellMar>
            <w:top w:w="0" w:type="dxa"/>
            <w:left w:w="0" w:type="dxa"/>
            <w:bottom w:w="0" w:type="dxa"/>
            <w:right w:w="0" w:type="dxa"/>
          </w:tblCellMar>
        </w:tblPrEx>
        <w:trPr>
          <w:trHeight w:val="38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71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负责保障社区工作者待遇经费保障。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3.负责社区工作者的日常管理、出具考核意见。</w:t>
            </w:r>
          </w:p>
        </w:tc>
      </w:tr>
      <w:tr>
        <w:tblPrEx>
          <w:shd w:val="clear" w:color="auto" w:fill="auto"/>
          <w:tblCellMar>
            <w:top w:w="0" w:type="dxa"/>
            <w:left w:w="0" w:type="dxa"/>
            <w:bottom w:w="0" w:type="dxa"/>
            <w:right w:w="0" w:type="dxa"/>
          </w:tblCellMar>
        </w:tblPrEx>
        <w:trPr>
          <w:trHeight w:val="206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“室组地”联合监督、联合办案</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2.按片区开展监督检查、案件查办等工作，对乡镇办理案件统一进行提级审理；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4.对受处分人员开展回访工作。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185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2.负责派驻人员的聘用（解聘）、工资福利保障、考核奖惩、人事调整等工作。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2.对派驻人员选拔、任免、考核、评优评先等工作出具意见。</w:t>
            </w:r>
          </w:p>
        </w:tc>
      </w:tr>
      <w:tr>
        <w:tblPrEx>
          <w:shd w:val="clear" w:color="auto" w:fill="auto"/>
          <w:tblCellMar>
            <w:top w:w="0" w:type="dxa"/>
            <w:left w:w="0" w:type="dxa"/>
            <w:bottom w:w="0" w:type="dxa"/>
            <w:right w:w="0" w:type="dxa"/>
          </w:tblCellMar>
        </w:tblPrEx>
        <w:trPr>
          <w:trHeight w:val="38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4.及时上报市外新闻媒体实地采访活动。</w:t>
            </w:r>
          </w:p>
        </w:tc>
      </w:tr>
      <w:tr>
        <w:tblPrEx>
          <w:shd w:val="clear" w:color="auto" w:fill="auto"/>
          <w:tblCellMar>
            <w:top w:w="0" w:type="dxa"/>
            <w:left w:w="0" w:type="dxa"/>
            <w:bottom w:w="0" w:type="dxa"/>
            <w:right w:w="0" w:type="dxa"/>
          </w:tblCellMar>
        </w:tblPrEx>
        <w:trPr>
          <w:trHeight w:val="45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36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固定资产项目投资</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4.督促项目业主单位进行项目申报统计入库。</w:t>
            </w:r>
          </w:p>
        </w:tc>
      </w:tr>
      <w:tr>
        <w:tblPrEx>
          <w:shd w:val="clear" w:color="auto" w:fill="auto"/>
          <w:tblCellMar>
            <w:top w:w="0" w:type="dxa"/>
            <w:left w:w="0" w:type="dxa"/>
            <w:bottom w:w="0" w:type="dxa"/>
            <w:right w:w="0" w:type="dxa"/>
          </w:tblCellMar>
        </w:tblPrEx>
        <w:trPr>
          <w:trHeight w:val="30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以工代赈项目管理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3.牵头组织以工代赈项目验收，指导项目乡（镇）做好项目档案资料收集整理归档。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3.配合以工代赈项目验收，做好资料收集整理归档。</w:t>
            </w:r>
          </w:p>
        </w:tc>
      </w:tr>
      <w:tr>
        <w:tblPrEx>
          <w:shd w:val="clear" w:color="auto" w:fill="auto"/>
          <w:tblCellMar>
            <w:top w:w="0" w:type="dxa"/>
            <w:left w:w="0" w:type="dxa"/>
            <w:bottom w:w="0" w:type="dxa"/>
            <w:right w:w="0" w:type="dxa"/>
          </w:tblCellMar>
        </w:tblPrEx>
        <w:trPr>
          <w:trHeight w:val="50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5.配合做好电力、电信、广播电视设施违法犯罪行为防范打击等工作。</w:t>
            </w:r>
          </w:p>
        </w:tc>
      </w:tr>
      <w:tr>
        <w:tblPrEx>
          <w:shd w:val="clear" w:color="auto" w:fill="auto"/>
          <w:tblCellMar>
            <w:top w:w="0" w:type="dxa"/>
            <w:left w:w="0" w:type="dxa"/>
            <w:bottom w:w="0" w:type="dxa"/>
            <w:right w:w="0" w:type="dxa"/>
          </w:tblCellMar>
        </w:tblPrEx>
        <w:trPr>
          <w:trHeight w:val="3918"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597"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4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48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三、民生服务（5项）</w:t>
            </w:r>
          </w:p>
        </w:tc>
      </w:tr>
      <w:tr>
        <w:tblPrEx>
          <w:shd w:val="clear" w:color="auto" w:fill="auto"/>
          <w:tblCellMar>
            <w:top w:w="0" w:type="dxa"/>
            <w:left w:w="0" w:type="dxa"/>
            <w:bottom w:w="0" w:type="dxa"/>
            <w:right w:w="0" w:type="dxa"/>
          </w:tblCellMar>
        </w:tblPrEx>
        <w:trPr>
          <w:trHeight w:val="37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37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5.结合日常工作对供水单位和用水情况进行巡查。</w:t>
            </w:r>
          </w:p>
        </w:tc>
      </w:tr>
      <w:tr>
        <w:tblPrEx>
          <w:shd w:val="clear" w:color="auto" w:fill="auto"/>
          <w:tblCellMar>
            <w:top w:w="0" w:type="dxa"/>
            <w:left w:w="0" w:type="dxa"/>
            <w:bottom w:w="0" w:type="dxa"/>
            <w:right w:w="0" w:type="dxa"/>
          </w:tblCellMar>
        </w:tblPrEx>
        <w:trPr>
          <w:trHeight w:val="50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大中型水库移民安置及后期扶持</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3.负责管理移民安置资金、后期扶持资金项目库；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6.负责移民技能培训和产业扶持等工作。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负责移民房屋工程建设等工作。                      </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1.开展移民安置及后期扶持政策宣传；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5.配合开展涉及移民的信访维稳及矛盾纠纷化解工作。</w:t>
            </w:r>
          </w:p>
        </w:tc>
      </w:tr>
      <w:tr>
        <w:tblPrEx>
          <w:shd w:val="clear" w:color="auto" w:fill="auto"/>
          <w:tblCellMar>
            <w:top w:w="0" w:type="dxa"/>
            <w:left w:w="0" w:type="dxa"/>
            <w:bottom w:w="0" w:type="dxa"/>
            <w:right w:w="0" w:type="dxa"/>
          </w:tblCellMar>
        </w:tblPrEx>
        <w:trPr>
          <w:trHeight w:val="310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3.负责对违法违规的养老机构责令改正及行政处罚。</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3.推动有条件的村（社区）设立爱心食堂。</w:t>
            </w:r>
          </w:p>
        </w:tc>
      </w:tr>
      <w:tr>
        <w:tblPrEx>
          <w:shd w:val="clear" w:color="auto" w:fill="auto"/>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CellMar>
            <w:top w:w="0" w:type="dxa"/>
            <w:left w:w="0" w:type="dxa"/>
            <w:bottom w:w="0" w:type="dxa"/>
            <w:right w:w="0" w:type="dxa"/>
          </w:tblCellMar>
        </w:tblPrEx>
        <w:trPr>
          <w:trHeight w:val="50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四</w:t>
            </w:r>
            <w:r>
              <w:rPr>
                <w:rFonts w:hint="default" w:ascii="Times New Roman" w:hAnsi="Times New Roman" w:eastAsia="方正黑体简体" w:cs="Times New Roman"/>
                <w:b/>
                <w:bCs/>
                <w:i w:val="0"/>
                <w:color w:val="000000"/>
                <w:kern w:val="0"/>
                <w:sz w:val="21"/>
                <w:szCs w:val="21"/>
                <w:u w:val="none"/>
                <w:lang w:val="en-US" w:eastAsia="zh-CN" w:bidi="ar"/>
              </w:rPr>
              <w:t>、平安法治（1项）</w:t>
            </w:r>
          </w:p>
        </w:tc>
      </w:tr>
      <w:tr>
        <w:tblPrEx>
          <w:shd w:val="clear" w:color="auto" w:fill="auto"/>
          <w:tblCellMar>
            <w:top w:w="0" w:type="dxa"/>
            <w:left w:w="0" w:type="dxa"/>
            <w:bottom w:w="0" w:type="dxa"/>
            <w:right w:w="0" w:type="dxa"/>
          </w:tblCellMar>
        </w:tblPrEx>
        <w:trPr>
          <w:trHeight w:val="341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4.配合参与社区矫正对象突发事件应急处置。</w:t>
            </w:r>
          </w:p>
        </w:tc>
      </w:tr>
      <w:tr>
        <w:tblPrEx>
          <w:shd w:val="clear" w:color="auto" w:fill="auto"/>
          <w:tblCellMar>
            <w:top w:w="0" w:type="dxa"/>
            <w:left w:w="0" w:type="dxa"/>
            <w:bottom w:w="0" w:type="dxa"/>
            <w:right w:w="0" w:type="dxa"/>
          </w:tblCellMar>
        </w:tblPrEx>
        <w:trPr>
          <w:trHeight w:val="62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五、乡村振兴（8项）</w:t>
            </w:r>
          </w:p>
        </w:tc>
      </w:tr>
      <w:tr>
        <w:tblPrEx>
          <w:shd w:val="clear" w:color="auto" w:fill="auto"/>
          <w:tblCellMar>
            <w:top w:w="0" w:type="dxa"/>
            <w:left w:w="0" w:type="dxa"/>
            <w:bottom w:w="0" w:type="dxa"/>
            <w:right w:w="0" w:type="dxa"/>
          </w:tblCellMar>
        </w:tblPrEx>
        <w:trPr>
          <w:trHeight w:val="53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5.收集上报农产品质量安全违法线索。</w:t>
            </w:r>
          </w:p>
        </w:tc>
      </w:tr>
      <w:tr>
        <w:tblPrEx>
          <w:shd w:val="clear" w:color="auto" w:fill="auto"/>
          <w:tblCellMar>
            <w:top w:w="0" w:type="dxa"/>
            <w:left w:w="0" w:type="dxa"/>
            <w:bottom w:w="0" w:type="dxa"/>
            <w:right w:w="0" w:type="dxa"/>
          </w:tblCellMar>
        </w:tblPrEx>
        <w:trPr>
          <w:trHeight w:val="27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6.负责高标准农田资产登记、设施保管、运行安全巡查，督促管护主体做好问题整改。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30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“大棚房”清理整治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2.负责查处职责范围内的违法违规建设“大棚房”的行为。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3.配合查处违法违规建设“大棚房”的行为。</w:t>
            </w:r>
          </w:p>
        </w:tc>
      </w:tr>
      <w:tr>
        <w:tblPrEx>
          <w:shd w:val="clear" w:color="auto" w:fill="auto"/>
          <w:tblCellMar>
            <w:top w:w="0" w:type="dxa"/>
            <w:left w:w="0" w:type="dxa"/>
            <w:bottom w:w="0" w:type="dxa"/>
            <w:right w:w="0" w:type="dxa"/>
          </w:tblCellMar>
        </w:tblPrEx>
        <w:trPr>
          <w:trHeight w:val="51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5.配合开展动物疫病违法违规行为的调查处理。</w:t>
            </w:r>
          </w:p>
        </w:tc>
      </w:tr>
      <w:tr>
        <w:tblPrEx>
          <w:shd w:val="clear" w:color="auto" w:fill="auto"/>
          <w:tblCellMar>
            <w:top w:w="0" w:type="dxa"/>
            <w:left w:w="0" w:type="dxa"/>
            <w:bottom w:w="0" w:type="dxa"/>
            <w:right w:w="0" w:type="dxa"/>
          </w:tblCellMar>
        </w:tblPrEx>
        <w:trPr>
          <w:trHeight w:val="17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5.对涉及农作物病虫害防治的违法行为进行处置，督促采取补救措施并恢复原状。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3.配合开展专业化病虫害防治服务和病虫害统防统治。</w:t>
            </w:r>
          </w:p>
        </w:tc>
      </w:tr>
      <w:tr>
        <w:tblPrEx>
          <w:shd w:val="clear" w:color="auto" w:fill="auto"/>
          <w:tblCellMar>
            <w:top w:w="0" w:type="dxa"/>
            <w:left w:w="0" w:type="dxa"/>
            <w:bottom w:w="0" w:type="dxa"/>
            <w:right w:w="0" w:type="dxa"/>
          </w:tblCellMar>
        </w:tblPrEx>
        <w:trPr>
          <w:trHeight w:val="24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农村供水工程管理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4.督促规范收取农村供水费用水费。</w:t>
            </w:r>
          </w:p>
        </w:tc>
      </w:tr>
      <w:tr>
        <w:tblPrEx>
          <w:shd w:val="clear" w:color="auto" w:fill="auto"/>
          <w:tblCellMar>
            <w:top w:w="0" w:type="dxa"/>
            <w:left w:w="0" w:type="dxa"/>
            <w:bottom w:w="0" w:type="dxa"/>
            <w:right w:w="0" w:type="dxa"/>
          </w:tblCellMar>
        </w:tblPrEx>
        <w:trPr>
          <w:trHeight w:val="39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农村厕所整改整治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4.落实项目抽查验收工作。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9.落实项目维稳信访工作。</w:t>
            </w:r>
          </w:p>
        </w:tc>
      </w:tr>
      <w:tr>
        <w:tblPrEx>
          <w:shd w:val="clear" w:color="auto" w:fill="auto"/>
          <w:tblCellMar>
            <w:top w:w="0" w:type="dxa"/>
            <w:left w:w="0" w:type="dxa"/>
            <w:bottom w:w="0" w:type="dxa"/>
            <w:right w:w="0" w:type="dxa"/>
          </w:tblCellMar>
        </w:tblPrEx>
        <w:trPr>
          <w:trHeight w:val="33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55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六、社会管理（6项）</w:t>
            </w:r>
          </w:p>
        </w:tc>
      </w:tr>
      <w:tr>
        <w:tblPrEx>
          <w:shd w:val="clear" w:color="auto" w:fill="auto"/>
          <w:tblCellMar>
            <w:top w:w="0" w:type="dxa"/>
            <w:left w:w="0" w:type="dxa"/>
            <w:bottom w:w="0" w:type="dxa"/>
            <w:right w:w="0" w:type="dxa"/>
          </w:tblCellMar>
        </w:tblPrEx>
        <w:trPr>
          <w:trHeight w:val="414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6.对行政区划和地名管理相关违法违规行为进行处罚。</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6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3.开展免疫和狂犬、野犬等处置。</w:t>
            </w:r>
          </w:p>
        </w:tc>
      </w:tr>
      <w:tr>
        <w:tblPrEx>
          <w:shd w:val="clear" w:color="auto" w:fill="auto"/>
          <w:tblCellMar>
            <w:top w:w="0" w:type="dxa"/>
            <w:left w:w="0" w:type="dxa"/>
            <w:bottom w:w="0" w:type="dxa"/>
            <w:right w:w="0" w:type="dxa"/>
          </w:tblCellMar>
        </w:tblPrEx>
        <w:trPr>
          <w:trHeight w:val="153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2.组织村（社区）参加流动人口信息采集核实工作。</w:t>
            </w:r>
          </w:p>
        </w:tc>
      </w:tr>
      <w:tr>
        <w:tblPrEx>
          <w:shd w:val="clear" w:color="auto" w:fill="auto"/>
          <w:tblCellMar>
            <w:top w:w="0" w:type="dxa"/>
            <w:left w:w="0" w:type="dxa"/>
            <w:bottom w:w="0" w:type="dxa"/>
            <w:right w:w="0" w:type="dxa"/>
          </w:tblCellMar>
        </w:tblPrEx>
        <w:trPr>
          <w:trHeight w:val="188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3.依法管理飞行活动，开展无人驾驶航空器飞行监督检查。</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shd w:val="clear" w:color="auto" w:fill="auto"/>
          <w:tblCellMar>
            <w:top w:w="0" w:type="dxa"/>
            <w:left w:w="0" w:type="dxa"/>
            <w:bottom w:w="0" w:type="dxa"/>
            <w:right w:w="0" w:type="dxa"/>
          </w:tblCellMar>
        </w:tblPrEx>
        <w:trPr>
          <w:trHeight w:val="24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tblCellMar>
            <w:top w:w="0" w:type="dxa"/>
            <w:left w:w="0" w:type="dxa"/>
            <w:bottom w:w="0" w:type="dxa"/>
            <w:right w:w="0" w:type="dxa"/>
          </w:tblCellMar>
        </w:tblPrEx>
        <w:trPr>
          <w:trHeight w:val="56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校外培训机构监管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3.配合业务主管部门督促培训机构做好整改工作。</w:t>
            </w:r>
          </w:p>
        </w:tc>
      </w:tr>
      <w:tr>
        <w:tblPrEx>
          <w:shd w:val="clear" w:color="auto" w:fill="auto"/>
          <w:tblCellMar>
            <w:top w:w="0" w:type="dxa"/>
            <w:left w:w="0" w:type="dxa"/>
            <w:bottom w:w="0" w:type="dxa"/>
            <w:right w:w="0" w:type="dxa"/>
          </w:tblCellMar>
        </w:tblPrEx>
        <w:trPr>
          <w:trHeight w:val="61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737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3.负责维护校园周边环境及秩序管理工作。</w:t>
            </w:r>
          </w:p>
        </w:tc>
      </w:tr>
      <w:tr>
        <w:tblPrEx>
          <w:shd w:val="clear" w:color="auto" w:fill="auto"/>
          <w:tblCellMar>
            <w:top w:w="0" w:type="dxa"/>
            <w:left w:w="0" w:type="dxa"/>
            <w:bottom w:w="0" w:type="dxa"/>
            <w:right w:w="0" w:type="dxa"/>
          </w:tblCellMar>
        </w:tblPrEx>
        <w:trPr>
          <w:trHeight w:val="80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21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7.重要时期根据上级工作安排对涉及治安类安全、公共安全隐患进行排查整治。</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3.按照活动预案安排，及时做好突发事件应对处置。</w:t>
            </w:r>
          </w:p>
        </w:tc>
      </w:tr>
      <w:tr>
        <w:tblPrEx>
          <w:shd w:val="clear" w:color="auto" w:fill="auto"/>
          <w:tblCellMar>
            <w:top w:w="0" w:type="dxa"/>
            <w:left w:w="0" w:type="dxa"/>
            <w:bottom w:w="0" w:type="dxa"/>
            <w:right w:w="0" w:type="dxa"/>
          </w:tblCellMar>
        </w:tblPrEx>
        <w:trPr>
          <w:trHeight w:val="384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7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35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2.组织编制城镇开发边界局部优化方案、专家论证和公示征求公众意见。</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4.组织镇人大对规划进行审议并报批。</w:t>
            </w:r>
          </w:p>
        </w:tc>
      </w:tr>
      <w:tr>
        <w:tblPrEx>
          <w:shd w:val="clear" w:color="auto" w:fill="auto"/>
          <w:tblCellMar>
            <w:top w:w="0" w:type="dxa"/>
            <w:left w:w="0" w:type="dxa"/>
            <w:bottom w:w="0" w:type="dxa"/>
            <w:right w:w="0" w:type="dxa"/>
          </w:tblCellMar>
        </w:tblPrEx>
        <w:trPr>
          <w:trHeight w:val="398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5.会同市公安局对破坏营林、造林、产业等项目的违法行为进行查处。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4.配合开展检查验收工作。</w:t>
            </w:r>
          </w:p>
        </w:tc>
      </w:tr>
      <w:tr>
        <w:tblPrEx>
          <w:shd w:val="clear" w:color="auto" w:fill="auto"/>
          <w:tblCellMar>
            <w:top w:w="0" w:type="dxa"/>
            <w:left w:w="0" w:type="dxa"/>
            <w:bottom w:w="0" w:type="dxa"/>
            <w:right w:w="0" w:type="dxa"/>
          </w:tblCellMar>
        </w:tblPrEx>
        <w:trPr>
          <w:trHeight w:val="45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3.根据职责对违法违规行为督促整改、立案查处。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4.配合开展执法及整改。</w:t>
            </w:r>
          </w:p>
        </w:tc>
      </w:tr>
      <w:tr>
        <w:tblPrEx>
          <w:shd w:val="clear" w:color="auto" w:fill="auto"/>
          <w:tblCellMar>
            <w:top w:w="0" w:type="dxa"/>
            <w:left w:w="0" w:type="dxa"/>
            <w:bottom w:w="0" w:type="dxa"/>
            <w:right w:w="0" w:type="dxa"/>
          </w:tblCellMar>
        </w:tblPrEx>
        <w:trPr>
          <w:trHeight w:val="241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土地整治项目实施</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5.负责项目审核验收及资金拨付。</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104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2.指导、督促流出耕地整改恢复工作。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2.开展流出耕地整改和恢复补充工作，建立核实整改台账。</w:t>
            </w:r>
          </w:p>
        </w:tc>
      </w:tr>
      <w:tr>
        <w:tblPrEx>
          <w:shd w:val="clear" w:color="auto" w:fill="auto"/>
          <w:tblCellMar>
            <w:top w:w="0" w:type="dxa"/>
            <w:left w:w="0" w:type="dxa"/>
            <w:bottom w:w="0" w:type="dxa"/>
            <w:right w:w="0" w:type="dxa"/>
          </w:tblCellMar>
        </w:tblPrEx>
        <w:trPr>
          <w:trHeight w:val="211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2.负责检查验收、落地上图，并会同市财政局，开展补助资金发放工作。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2.开展全民义务植树、城乡绿化工作。</w:t>
            </w:r>
          </w:p>
        </w:tc>
      </w:tr>
      <w:tr>
        <w:tblPrEx>
          <w:shd w:val="clear" w:color="auto" w:fill="auto"/>
          <w:tblCellMar>
            <w:top w:w="0" w:type="dxa"/>
            <w:left w:w="0" w:type="dxa"/>
            <w:bottom w:w="0" w:type="dxa"/>
            <w:right w:w="0" w:type="dxa"/>
          </w:tblCellMar>
        </w:tblPrEx>
        <w:trPr>
          <w:trHeight w:val="591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7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25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                                                                                                                                                                 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1795"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42</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4.在火势较小、保证安全的前提下，先行组织进行初期扑救。</w:t>
            </w:r>
          </w:p>
        </w:tc>
      </w:tr>
      <w:tr>
        <w:tblPrEx>
          <w:shd w:val="clear" w:color="auto" w:fill="auto"/>
          <w:tblCellMar>
            <w:top w:w="0" w:type="dxa"/>
            <w:left w:w="0" w:type="dxa"/>
            <w:bottom w:w="0" w:type="dxa"/>
            <w:right w:w="0" w:type="dxa"/>
          </w:tblCellMar>
        </w:tblPrEx>
        <w:trPr>
          <w:trHeight w:val="6300"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4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388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4.开展矿业权出让及房屋征收补偿安置。</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3.配合矿业权出让涉及的房屋征收补偿安置。</w:t>
            </w:r>
          </w:p>
        </w:tc>
      </w:tr>
      <w:tr>
        <w:tblPrEx>
          <w:shd w:val="clear" w:color="auto" w:fill="auto"/>
          <w:tblCellMar>
            <w:top w:w="0" w:type="dxa"/>
            <w:left w:w="0" w:type="dxa"/>
            <w:bottom w:w="0" w:type="dxa"/>
            <w:right w:w="0" w:type="dxa"/>
          </w:tblCellMar>
        </w:tblPrEx>
        <w:trPr>
          <w:trHeight w:val="41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4.对水资源保护方面存在的违规违法问题进行处理。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2.结合日常工作，开展取用水日常检查，发现问题及时上报。</w:t>
            </w:r>
          </w:p>
        </w:tc>
      </w:tr>
      <w:tr>
        <w:tblPrEx>
          <w:shd w:val="clear" w:color="auto" w:fill="auto"/>
          <w:tblCellMar>
            <w:top w:w="0" w:type="dxa"/>
            <w:left w:w="0" w:type="dxa"/>
            <w:bottom w:w="0" w:type="dxa"/>
            <w:right w:w="0" w:type="dxa"/>
          </w:tblCellMar>
        </w:tblPrEx>
        <w:trPr>
          <w:trHeight w:val="65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4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4.组织单位和个人植树种草，扩大林草覆盖面积，涵养水源。</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6.配合实施土壤污染风险管控和修复。</w:t>
            </w:r>
          </w:p>
        </w:tc>
      </w:tr>
      <w:tr>
        <w:tblPrEx>
          <w:shd w:val="clear" w:color="auto" w:fill="auto"/>
          <w:tblCellMar>
            <w:top w:w="0" w:type="dxa"/>
            <w:left w:w="0" w:type="dxa"/>
            <w:bottom w:w="0" w:type="dxa"/>
            <w:right w:w="0" w:type="dxa"/>
          </w:tblCellMar>
        </w:tblPrEx>
        <w:trPr>
          <w:trHeight w:val="386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10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2.负责医疗机构污水收集、处理和消毒的监管。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5.受理破坏大气环境投诉，调处环境初信初访和矛盾纠纷。</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4.负责噪音扰民的矛盾纠纷调解。</w:t>
            </w:r>
          </w:p>
        </w:tc>
      </w:tr>
      <w:tr>
        <w:tblPrEx>
          <w:shd w:val="clear" w:color="auto" w:fill="auto"/>
          <w:tblCellMar>
            <w:top w:w="0" w:type="dxa"/>
            <w:left w:w="0" w:type="dxa"/>
            <w:bottom w:w="0" w:type="dxa"/>
            <w:right w:w="0" w:type="dxa"/>
          </w:tblCellMar>
        </w:tblPrEx>
        <w:trPr>
          <w:trHeight w:val="35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5.组织实施生态环境损害赔偿制度，解决有关环境污染纠纷。</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4.开展舆论引导和宣传解释。</w:t>
            </w:r>
          </w:p>
        </w:tc>
      </w:tr>
      <w:tr>
        <w:tblPrEx>
          <w:shd w:val="clear" w:color="auto" w:fill="auto"/>
          <w:tblCellMar>
            <w:top w:w="0" w:type="dxa"/>
            <w:left w:w="0" w:type="dxa"/>
            <w:bottom w:w="0" w:type="dxa"/>
            <w:right w:w="0" w:type="dxa"/>
          </w:tblCellMar>
        </w:tblPrEx>
        <w:trPr>
          <w:trHeight w:val="45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6.负责对畜禽规模养殖场的选址进行初审并上报。</w:t>
            </w:r>
          </w:p>
        </w:tc>
      </w:tr>
      <w:tr>
        <w:tblPrEx>
          <w:tblCellMar>
            <w:top w:w="0" w:type="dxa"/>
            <w:left w:w="0" w:type="dxa"/>
            <w:bottom w:w="0" w:type="dxa"/>
            <w:right w:w="0" w:type="dxa"/>
          </w:tblCellMar>
        </w:tblPrEx>
        <w:trPr>
          <w:trHeight w:val="71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singl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65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74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3.加强督查检查，督促属地政府、相关部门做好抢险救灾工作；                                                                                                             4.会同市自然资源局等相关部门对群众反映强烈，社会影响恶劣的行为，协调多部门联合依法查处。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4.配合市住建局对城市危险房屋落实排危措施。</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“两违”（违法用地、违法建设）整治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3.指导、会同辖区街道（乡镇）对住宅小区违法建设进行拆除。</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0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3.配合开展农用地转用报批组卷工作。</w:t>
            </w:r>
          </w:p>
        </w:tc>
      </w:tr>
      <w:tr>
        <w:tblPrEx>
          <w:shd w:val="clear" w:color="auto" w:fill="auto"/>
          <w:tblCellMar>
            <w:top w:w="0" w:type="dxa"/>
            <w:left w:w="0" w:type="dxa"/>
            <w:bottom w:w="0" w:type="dxa"/>
            <w:right w:w="0" w:type="dxa"/>
          </w:tblCellMar>
        </w:tblPrEx>
        <w:trPr>
          <w:trHeight w:val="49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既有住宅增设电梯</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2.负责对财政奖补资金使用情况进行监督管理。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6.配合做好住宅电梯的隐患排查。</w:t>
            </w:r>
          </w:p>
        </w:tc>
      </w:tr>
      <w:tr>
        <w:tblPrEx>
          <w:shd w:val="clear" w:color="auto" w:fill="auto"/>
          <w:tblCellMar>
            <w:top w:w="0" w:type="dxa"/>
            <w:left w:w="0" w:type="dxa"/>
            <w:bottom w:w="0" w:type="dxa"/>
            <w:right w:w="0" w:type="dxa"/>
          </w:tblCellMar>
        </w:tblPrEx>
        <w:trPr>
          <w:trHeight w:val="807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                                                                                                                                                                    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7.调解处理征地补偿安置纠纷。</w:t>
            </w:r>
          </w:p>
        </w:tc>
      </w:tr>
      <w:tr>
        <w:tblPrEx>
          <w:shd w:val="clear" w:color="auto" w:fill="auto"/>
          <w:tblCellMar>
            <w:top w:w="0" w:type="dxa"/>
            <w:left w:w="0" w:type="dxa"/>
            <w:bottom w:w="0" w:type="dxa"/>
            <w:right w:w="0" w:type="dxa"/>
          </w:tblCellMar>
        </w:tblPrEx>
        <w:trPr>
          <w:trHeight w:val="232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2.协助市住建局等部门开展散装水泥发展应用工作。</w:t>
            </w:r>
          </w:p>
        </w:tc>
      </w:tr>
      <w:tr>
        <w:tblPrEx>
          <w:shd w:val="clear" w:color="auto" w:fill="auto"/>
          <w:tblCellMar>
            <w:top w:w="0" w:type="dxa"/>
            <w:left w:w="0" w:type="dxa"/>
            <w:bottom w:w="0" w:type="dxa"/>
            <w:right w:w="0" w:type="dxa"/>
          </w:tblCellMar>
        </w:tblPrEx>
        <w:trPr>
          <w:trHeight w:val="47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十一、交通运输（2项）</w:t>
            </w:r>
          </w:p>
        </w:tc>
      </w:tr>
      <w:tr>
        <w:tblPrEx>
          <w:shd w:val="clear" w:color="auto" w:fill="auto"/>
          <w:tblCellMar>
            <w:top w:w="0" w:type="dxa"/>
            <w:left w:w="0" w:type="dxa"/>
            <w:bottom w:w="0" w:type="dxa"/>
            <w:right w:w="0" w:type="dxa"/>
          </w:tblCellMar>
        </w:tblPrEx>
        <w:trPr>
          <w:trHeight w:val="525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5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52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3.开展接转场所、村级寄递物流综合服务站建设。</w:t>
            </w:r>
          </w:p>
        </w:tc>
      </w:tr>
      <w:tr>
        <w:tblPrEx>
          <w:shd w:val="clear" w:color="auto" w:fill="auto"/>
          <w:tblCellMar>
            <w:top w:w="0" w:type="dxa"/>
            <w:left w:w="0" w:type="dxa"/>
            <w:bottom w:w="0" w:type="dxa"/>
            <w:right w:w="0" w:type="dxa"/>
          </w:tblCellMar>
        </w:tblPrEx>
        <w:trPr>
          <w:trHeight w:val="61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十二、文化和旅游（3项）</w:t>
            </w:r>
          </w:p>
        </w:tc>
      </w:tr>
      <w:tr>
        <w:tblPrEx>
          <w:shd w:val="clear" w:color="auto" w:fill="auto"/>
          <w:tblCellMar>
            <w:top w:w="0" w:type="dxa"/>
            <w:left w:w="0" w:type="dxa"/>
            <w:bottom w:w="0" w:type="dxa"/>
            <w:right w:w="0" w:type="dxa"/>
          </w:tblCellMar>
        </w:tblPrEx>
        <w:trPr>
          <w:trHeight w:val="213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3.配合开展文化市场宣传和教育。</w:t>
            </w:r>
          </w:p>
        </w:tc>
      </w:tr>
      <w:tr>
        <w:tblPrEx>
          <w:shd w:val="clear" w:color="auto" w:fill="auto"/>
          <w:tblCellMar>
            <w:top w:w="0" w:type="dxa"/>
            <w:left w:w="0" w:type="dxa"/>
            <w:bottom w:w="0" w:type="dxa"/>
            <w:right w:w="0" w:type="dxa"/>
          </w:tblCellMar>
        </w:tblPrEx>
        <w:trPr>
          <w:trHeight w:val="80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3.对杜家湾摩崖造像等有关文物采取措施，加强保护；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6.提供文物线索，配合核实文物点权属及实地调查。</w:t>
            </w:r>
          </w:p>
        </w:tc>
      </w:tr>
      <w:tr>
        <w:tblPrEx>
          <w:shd w:val="clear" w:color="auto" w:fill="auto"/>
          <w:tblCellMar>
            <w:top w:w="0" w:type="dxa"/>
            <w:left w:w="0" w:type="dxa"/>
            <w:bottom w:w="0" w:type="dxa"/>
            <w:right w:w="0" w:type="dxa"/>
          </w:tblCellMar>
        </w:tblPrEx>
        <w:trPr>
          <w:trHeight w:val="81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pacing w:val="-11"/>
                <w:sz w:val="21"/>
                <w:szCs w:val="21"/>
                <w:u w:val="none"/>
              </w:rPr>
            </w:pPr>
            <w:r>
              <w:rPr>
                <w:rFonts w:hint="default" w:ascii="Times New Roman" w:hAnsi="Times New Roman" w:eastAsia="方正仿宋简体" w:cs="Times New Roman"/>
                <w:b/>
                <w:bCs/>
                <w:i w:val="0"/>
                <w:color w:val="000000"/>
                <w:spacing w:val="-11"/>
                <w:kern w:val="0"/>
                <w:sz w:val="21"/>
                <w:szCs w:val="21"/>
                <w:u w:val="none"/>
                <w:lang w:val="en-US" w:eastAsia="zh-CN" w:bidi="ar"/>
              </w:rPr>
              <w:t>市文</w:t>
            </w:r>
            <w:r>
              <w:rPr>
                <w:rFonts w:hint="default" w:ascii="Times New Roman" w:hAnsi="Times New Roman" w:eastAsia="方正仿宋简体" w:cs="Times New Roman"/>
                <w:b/>
                <w:bCs/>
                <w:i w:val="0"/>
                <w:color w:val="000000"/>
                <w:spacing w:val="0"/>
                <w:kern w:val="0"/>
                <w:sz w:val="21"/>
                <w:szCs w:val="21"/>
                <w:u w:val="none"/>
                <w:lang w:val="en-US" w:eastAsia="zh-CN" w:bidi="ar"/>
              </w:rPr>
              <w:t>体旅游局：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市财政局：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3.开展体育场地设施统计调查工作。</w:t>
            </w:r>
          </w:p>
        </w:tc>
      </w:tr>
      <w:tr>
        <w:tblPrEx>
          <w:shd w:val="clear" w:color="auto" w:fill="auto"/>
          <w:tblCellMar>
            <w:top w:w="0" w:type="dxa"/>
            <w:left w:w="0" w:type="dxa"/>
            <w:bottom w:w="0" w:type="dxa"/>
            <w:right w:w="0" w:type="dxa"/>
          </w:tblCellMar>
        </w:tblPrEx>
        <w:trPr>
          <w:trHeight w:val="45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color w:val="000000"/>
                <w:spacing w:val="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76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pacing w:val="-11"/>
                <w:sz w:val="21"/>
                <w:szCs w:val="21"/>
                <w:u w:val="none"/>
              </w:rPr>
            </w:pPr>
            <w:r>
              <w:rPr>
                <w:rFonts w:hint="default" w:ascii="Times New Roman" w:hAnsi="Times New Roman" w:eastAsia="方正仿宋简体" w:cs="Times New Roman"/>
                <w:b/>
                <w:bCs/>
                <w:i w:val="0"/>
                <w:color w:val="000000"/>
                <w:spacing w:val="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市公安局：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市农业农村局：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市交运局：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市市场监管局：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市发改局：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市商务局：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2.防止突发公共卫生事件在贸易活动举办期间发生和跨地区传播扩散。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5.做好社区防控工作，建设专兼职工作队，鼓励居民参与防控活动；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6.加强人员追踪，摸排人员往来情况，有针对性地采取防控措施。</w:t>
            </w:r>
          </w:p>
        </w:tc>
      </w:tr>
      <w:tr>
        <w:tblPrEx>
          <w:shd w:val="clear" w:color="auto" w:fill="auto"/>
          <w:tblCellMar>
            <w:top w:w="0" w:type="dxa"/>
            <w:left w:w="0" w:type="dxa"/>
            <w:bottom w:w="0" w:type="dxa"/>
            <w:right w:w="0" w:type="dxa"/>
          </w:tblCellMar>
        </w:tblPrEx>
        <w:trPr>
          <w:trHeight w:val="41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十四、应急管理及消防（13项）</w:t>
            </w:r>
          </w:p>
        </w:tc>
      </w:tr>
      <w:tr>
        <w:tblPrEx>
          <w:shd w:val="clear" w:color="auto" w:fill="auto"/>
          <w:tblCellMar>
            <w:top w:w="0" w:type="dxa"/>
            <w:left w:w="0" w:type="dxa"/>
            <w:bottom w:w="0" w:type="dxa"/>
            <w:right w:w="0" w:type="dxa"/>
          </w:tblCellMar>
        </w:tblPrEx>
        <w:trPr>
          <w:trHeight w:val="770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4.配合开展集中充电设施建设管理的协调和矛盾纠纷调处工作。</w:t>
            </w:r>
          </w:p>
        </w:tc>
      </w:tr>
      <w:tr>
        <w:tblPrEx>
          <w:shd w:val="clear" w:color="auto" w:fill="auto"/>
          <w:tblCellMar>
            <w:top w:w="0" w:type="dxa"/>
            <w:left w:w="0" w:type="dxa"/>
            <w:bottom w:w="0" w:type="dxa"/>
            <w:right w:w="0" w:type="dxa"/>
          </w:tblCellMar>
        </w:tblPrEx>
        <w:trPr>
          <w:trHeight w:val="81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电动自行车“飞线充电”整治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市发改、经信、财政、自然资源、交通运输、商务、应急、综合执法等部门按照各自职责分工做好电动自行车“飞线整治”工作，建立联合执法和信息共享机制。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2.协调安装智能充电桩，发现“飞线充电”行为及时制止，开展事故先期处置并上报。</w:t>
            </w:r>
          </w:p>
        </w:tc>
      </w:tr>
      <w:tr>
        <w:tblPrEx>
          <w:shd w:val="clear" w:color="auto" w:fill="auto"/>
          <w:tblCellMar>
            <w:top w:w="0" w:type="dxa"/>
            <w:left w:w="0" w:type="dxa"/>
            <w:bottom w:w="0" w:type="dxa"/>
            <w:right w:w="0" w:type="dxa"/>
          </w:tblCellMar>
        </w:tblPrEx>
        <w:trPr>
          <w:trHeight w:val="426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6.组织开展受灾群众的生产生活恢复工作。</w:t>
            </w:r>
          </w:p>
        </w:tc>
      </w:tr>
      <w:tr>
        <w:tblPrEx>
          <w:shd w:val="clear" w:color="auto" w:fill="auto"/>
          <w:tblCellMar>
            <w:top w:w="0" w:type="dxa"/>
            <w:left w:w="0" w:type="dxa"/>
            <w:bottom w:w="0" w:type="dxa"/>
            <w:right w:w="0" w:type="dxa"/>
          </w:tblCellMar>
        </w:tblPrEx>
        <w:trPr>
          <w:trHeight w:val="37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其他行业主管部门按照“三管三必须”负责职责范围内的安全生产监管职责。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5.配合安全生产违法行为的处理。</w:t>
            </w:r>
          </w:p>
        </w:tc>
      </w:tr>
      <w:tr>
        <w:tblPrEx>
          <w:tblCellMar>
            <w:top w:w="0" w:type="dxa"/>
            <w:left w:w="0" w:type="dxa"/>
            <w:bottom w:w="0" w:type="dxa"/>
            <w:right w:w="0" w:type="dxa"/>
          </w:tblCellMar>
        </w:tblPrEx>
        <w:trPr>
          <w:trHeight w:val="366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3.发生火灾时及时组织群众疏散，协助做好火灾扑救和原因调查。</w:t>
            </w:r>
          </w:p>
        </w:tc>
      </w:tr>
      <w:tr>
        <w:tblPrEx>
          <w:shd w:val="clear" w:color="auto" w:fill="auto"/>
          <w:tblCellMar>
            <w:top w:w="0" w:type="dxa"/>
            <w:left w:w="0" w:type="dxa"/>
            <w:bottom w:w="0" w:type="dxa"/>
            <w:right w:w="0" w:type="dxa"/>
          </w:tblCellMar>
        </w:tblPrEx>
        <w:trPr>
          <w:trHeight w:val="42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3.配合对相关违法行为进行调查处理。</w:t>
            </w:r>
          </w:p>
        </w:tc>
      </w:tr>
      <w:tr>
        <w:tblPrEx>
          <w:shd w:val="clear" w:color="auto" w:fill="auto"/>
          <w:tblCellMar>
            <w:top w:w="0" w:type="dxa"/>
            <w:left w:w="0" w:type="dxa"/>
            <w:bottom w:w="0" w:type="dxa"/>
            <w:right w:w="0" w:type="dxa"/>
          </w:tblCellMar>
        </w:tblPrEx>
        <w:trPr>
          <w:trHeight w:val="25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567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4.配合事故调查、救援和处置。</w:t>
            </w:r>
          </w:p>
        </w:tc>
      </w:tr>
      <w:tr>
        <w:tblPrEx>
          <w:shd w:val="clear" w:color="auto" w:fill="auto"/>
          <w:tblCellMar>
            <w:top w:w="0" w:type="dxa"/>
            <w:left w:w="0" w:type="dxa"/>
            <w:bottom w:w="0" w:type="dxa"/>
            <w:right w:w="0" w:type="dxa"/>
          </w:tblCellMar>
        </w:tblPrEx>
        <w:trPr>
          <w:trHeight w:val="810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5.组织人员疏散撤离，配合做好应急处置工作。</w:t>
            </w:r>
          </w:p>
        </w:tc>
      </w:tr>
      <w:tr>
        <w:tblPrEx>
          <w:shd w:val="clear" w:color="auto" w:fill="auto"/>
          <w:tblCellMar>
            <w:top w:w="0" w:type="dxa"/>
            <w:left w:w="0" w:type="dxa"/>
            <w:bottom w:w="0" w:type="dxa"/>
            <w:right w:w="0" w:type="dxa"/>
          </w:tblCellMar>
        </w:tblPrEx>
        <w:trPr>
          <w:trHeight w:val="79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2.负责燃气生产环节的产品质量、计量监管和压力容器、压力管道制造等环节的安全监察；</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3.对辖区居民每年组织不少于4次燃气方面的宣传教育。</w:t>
            </w:r>
          </w:p>
        </w:tc>
      </w:tr>
      <w:tr>
        <w:tblPrEx>
          <w:shd w:val="clear" w:color="auto" w:fill="auto"/>
          <w:tblCellMar>
            <w:top w:w="0" w:type="dxa"/>
            <w:left w:w="0" w:type="dxa"/>
            <w:bottom w:w="0" w:type="dxa"/>
            <w:right w:w="0" w:type="dxa"/>
          </w:tblCellMar>
        </w:tblPrEx>
        <w:trPr>
          <w:trHeight w:val="802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2"/>
                <w:sz w:val="21"/>
                <w:szCs w:val="21"/>
                <w:lang w:val="en-US" w:eastAsia="zh-CN" w:bidi="ar-SA"/>
              </w:rPr>
              <w:t>77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3.协助相关部门打击烟花爆竹相关违法违规行为。</w:t>
            </w:r>
          </w:p>
        </w:tc>
      </w:tr>
      <w:tr>
        <w:tblPrEx>
          <w:shd w:val="clear" w:color="auto" w:fill="auto"/>
          <w:tblCellMar>
            <w:top w:w="0" w:type="dxa"/>
            <w:left w:w="0" w:type="dxa"/>
            <w:bottom w:w="0" w:type="dxa"/>
            <w:right w:w="0" w:type="dxa"/>
          </w:tblCellMar>
        </w:tblPrEx>
        <w:trPr>
          <w:trHeight w:val="358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2.配合建立粮食经营者信用档案。</w:t>
            </w:r>
          </w:p>
        </w:tc>
      </w:tr>
      <w:tr>
        <w:tblPrEx>
          <w:shd w:val="clear" w:color="auto" w:fill="auto"/>
          <w:tblCellMar>
            <w:top w:w="0" w:type="dxa"/>
            <w:left w:w="0" w:type="dxa"/>
            <w:bottom w:w="0" w:type="dxa"/>
            <w:right w:w="0" w:type="dxa"/>
          </w:tblCellMar>
        </w:tblPrEx>
        <w:trPr>
          <w:trHeight w:val="461"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十五、市场监管（5项）</w:t>
            </w:r>
          </w:p>
        </w:tc>
      </w:tr>
      <w:tr>
        <w:tblPrEx>
          <w:shd w:val="clear" w:color="auto" w:fill="auto"/>
          <w:tblCellMar>
            <w:top w:w="0" w:type="dxa"/>
            <w:left w:w="0" w:type="dxa"/>
            <w:bottom w:w="0" w:type="dxa"/>
            <w:right w:w="0" w:type="dxa"/>
          </w:tblCellMar>
        </w:tblPrEx>
        <w:trPr>
          <w:trHeight w:val="392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5.协同相关部门核查处置食品安全突发事件。</w:t>
            </w:r>
          </w:p>
        </w:tc>
      </w:tr>
      <w:tr>
        <w:tblPrEx>
          <w:shd w:val="clear" w:color="auto" w:fill="auto"/>
          <w:tblCellMar>
            <w:top w:w="0" w:type="dxa"/>
            <w:left w:w="0" w:type="dxa"/>
            <w:bottom w:w="0" w:type="dxa"/>
            <w:right w:w="0" w:type="dxa"/>
          </w:tblCellMar>
        </w:tblPrEx>
        <w:trPr>
          <w:trHeight w:val="390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41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2.维护市场经营秩序，制止不正当竞争，查处生产销售假冒伪劣商品等违法行为。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4.配合维护市场经营秩序，制止不正当竞争。</w:t>
            </w:r>
          </w:p>
        </w:tc>
      </w:tr>
      <w:tr>
        <w:tblPrEx>
          <w:shd w:val="clear" w:color="auto" w:fill="auto"/>
          <w:tblCellMar>
            <w:top w:w="0" w:type="dxa"/>
            <w:left w:w="0" w:type="dxa"/>
            <w:bottom w:w="0" w:type="dxa"/>
            <w:right w:w="0" w:type="dxa"/>
          </w:tblCellMar>
        </w:tblPrEx>
        <w:trPr>
          <w:trHeight w:val="797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农贸市场管理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                                                                                                                                                                        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其他行业主管部门按照职责分工做好农贸市场监督管理工作。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1.对大沙镇关庙坝社区农贸市场食品安全、市容环境卫生、公共安全、传染病疫情防控等情况结合日常工作开展巡查；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2.督促市场开办者及市场经营者落实相关责任；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3.发现农贸市场食品安全等违法行为及时制止并上报。</w:t>
            </w:r>
          </w:p>
        </w:tc>
      </w:tr>
      <w:tr>
        <w:tblPrEx>
          <w:shd w:val="clear" w:color="auto" w:fill="auto"/>
          <w:tblCellMar>
            <w:top w:w="0" w:type="dxa"/>
            <w:left w:w="0" w:type="dxa"/>
            <w:bottom w:w="0" w:type="dxa"/>
            <w:right w:w="0" w:type="dxa"/>
          </w:tblCellMar>
        </w:tblPrEx>
        <w:trPr>
          <w:trHeight w:val="400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农村集体聚餐管理（针对100人以上的集体聚餐）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4.配合处置农村集体聚餐食品安全事故。</w:t>
            </w:r>
          </w:p>
        </w:tc>
      </w:tr>
    </w:tbl>
    <w:p>
      <w:pPr>
        <w:rPr>
          <w:rFonts w:hint="eastAsia" w:ascii="方正仿宋简体" w:hAnsi="方正仿宋简体" w:eastAsia="方正仿宋简体" w:cs="方正仿宋简体"/>
          <w:b/>
          <w:bCs/>
        </w:rPr>
      </w:pPr>
    </w:p>
    <w:p>
      <w:pPr>
        <w:rPr>
          <w:rFonts w:hint="default" w:ascii="Times New Roman" w:hAnsi="Times New Roman" w:cs="Times New Roman"/>
          <w:b/>
          <w:bCs/>
        </w:rPr>
      </w:pPr>
      <w:r>
        <w:rPr>
          <w:rFonts w:hint="default" w:ascii="Times New Roman" w:hAnsi="Times New Roman" w:cs="Times New Roman"/>
          <w:b/>
          <w:bCs/>
        </w:rPr>
        <w:br w:type="page"/>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color w:val="000000"/>
          <w:sz w:val="44"/>
          <w:szCs w:val="44"/>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上级部门收回事项清单</w:t>
      </w:r>
    </w:p>
    <w:tbl>
      <w:tblPr>
        <w:tblStyle w:val="4"/>
        <w:tblW w:w="14020" w:type="dxa"/>
        <w:jc w:val="center"/>
        <w:shd w:val="clear" w:color="auto" w:fill="auto"/>
        <w:tblLayout w:type="fixed"/>
        <w:tblCellMar>
          <w:top w:w="0" w:type="dxa"/>
          <w:left w:w="0" w:type="dxa"/>
          <w:bottom w:w="0" w:type="dxa"/>
          <w:right w:w="0" w:type="dxa"/>
        </w:tblCellMar>
      </w:tblPr>
      <w:tblGrid>
        <w:gridCol w:w="785"/>
        <w:gridCol w:w="4387"/>
        <w:gridCol w:w="8848"/>
      </w:tblGrid>
      <w:tr>
        <w:tblPrEx>
          <w:shd w:val="clear" w:color="auto" w:fill="auto"/>
          <w:tblCellMar>
            <w:top w:w="0" w:type="dxa"/>
            <w:left w:w="0" w:type="dxa"/>
            <w:bottom w:w="0" w:type="dxa"/>
            <w:right w:w="0" w:type="dxa"/>
          </w:tblCellMar>
        </w:tblPrEx>
        <w:trPr>
          <w:trHeight w:val="369" w:hRule="atLeast"/>
          <w:tblHeader/>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379"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tblCellMar>
            <w:top w:w="0" w:type="dxa"/>
            <w:left w:w="0" w:type="dxa"/>
            <w:bottom w:w="0" w:type="dxa"/>
            <w:right w:w="0" w:type="dxa"/>
          </w:tblCellMar>
        </w:tblPrEx>
        <w:trPr>
          <w:trHeight w:val="87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tblPrEx>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97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22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445"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6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07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tblCellMar>
            <w:top w:w="0" w:type="dxa"/>
            <w:left w:w="0" w:type="dxa"/>
            <w:bottom w:w="0" w:type="dxa"/>
            <w:right w:w="0" w:type="dxa"/>
          </w:tblCellMar>
        </w:tblPrEx>
        <w:trPr>
          <w:trHeight w:val="11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tblPrEx>
          <w:tblCellMar>
            <w:top w:w="0" w:type="dxa"/>
            <w:left w:w="0" w:type="dxa"/>
            <w:bottom w:w="0" w:type="dxa"/>
            <w:right w:w="0" w:type="dxa"/>
          </w:tblCellMar>
        </w:tblPrEx>
        <w:trPr>
          <w:trHeight w:val="10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11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14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6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375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1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574"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tblCellMar>
            <w:top w:w="0" w:type="dxa"/>
            <w:left w:w="0" w:type="dxa"/>
            <w:bottom w:w="0" w:type="dxa"/>
            <w:right w:w="0" w:type="dxa"/>
          </w:tblCellMar>
        </w:tblPrEx>
        <w:trPr>
          <w:trHeight w:val="9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111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807"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579"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tblCellMar>
            <w:top w:w="0" w:type="dxa"/>
            <w:left w:w="0" w:type="dxa"/>
            <w:bottom w:w="0" w:type="dxa"/>
            <w:right w:w="0" w:type="dxa"/>
          </w:tblCellMar>
        </w:tblPrEx>
        <w:trPr>
          <w:trHeight w:val="7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64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tblPrEx>
          <w:tblCellMar>
            <w:top w:w="0" w:type="dxa"/>
            <w:left w:w="0" w:type="dxa"/>
            <w:bottom w:w="0" w:type="dxa"/>
            <w:right w:w="0" w:type="dxa"/>
          </w:tblCellMar>
        </w:tblPrEx>
        <w:trPr>
          <w:trHeight w:val="7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89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81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2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17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9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tblPrEx>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8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2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tblCellMar>
            <w:top w:w="0" w:type="dxa"/>
            <w:left w:w="0" w:type="dxa"/>
            <w:bottom w:w="0" w:type="dxa"/>
            <w:right w:w="0" w:type="dxa"/>
          </w:tblCellMar>
        </w:tblPrEx>
        <w:trPr>
          <w:trHeight w:val="283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tblCellMar>
            <w:top w:w="0" w:type="dxa"/>
            <w:left w:w="0" w:type="dxa"/>
            <w:bottom w:w="0" w:type="dxa"/>
            <w:right w:w="0" w:type="dxa"/>
          </w:tblCellMar>
        </w:tblPrEx>
        <w:trPr>
          <w:trHeight w:val="47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tblPrEx>
          <w:tblCellMar>
            <w:top w:w="0" w:type="dxa"/>
            <w:left w:w="0" w:type="dxa"/>
            <w:bottom w:w="0" w:type="dxa"/>
            <w:right w:w="0"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369"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tblCellMar>
            <w:top w:w="0" w:type="dxa"/>
            <w:left w:w="0" w:type="dxa"/>
            <w:bottom w:w="0" w:type="dxa"/>
            <w:right w:w="0" w:type="dxa"/>
          </w:tblCellMar>
        </w:tblPrEx>
        <w:trPr>
          <w:trHeight w:val="62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50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4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19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5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56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tblCellMar>
            <w:top w:w="0" w:type="dxa"/>
            <w:left w:w="0" w:type="dxa"/>
            <w:bottom w:w="0" w:type="dxa"/>
            <w:right w:w="0" w:type="dxa"/>
          </w:tblCellMar>
        </w:tblPrEx>
        <w:trPr>
          <w:trHeight w:val="32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674"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tblCellMar>
            <w:top w:w="0" w:type="dxa"/>
            <w:left w:w="0" w:type="dxa"/>
            <w:bottom w:w="0" w:type="dxa"/>
            <w:right w:w="0" w:type="dxa"/>
          </w:tblCellMar>
        </w:tblPrEx>
        <w:trPr>
          <w:trHeight w:val="163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437"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11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tblCellMar>
            <w:top w:w="0" w:type="dxa"/>
            <w:left w:w="0" w:type="dxa"/>
            <w:bottom w:w="0" w:type="dxa"/>
            <w:right w:w="0" w:type="dxa"/>
          </w:tblCellMar>
        </w:tblPrEx>
        <w:trPr>
          <w:trHeight w:val="8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54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80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11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0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0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63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tblPrEx>
          <w:tblCellMar>
            <w:top w:w="0" w:type="dxa"/>
            <w:left w:w="0" w:type="dxa"/>
            <w:bottom w:w="0" w:type="dxa"/>
            <w:right w:w="0" w:type="dxa"/>
          </w:tblCellMar>
        </w:tblPrEx>
        <w:trPr>
          <w:trHeight w:val="674"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54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tblCellMar>
            <w:top w:w="0" w:type="dxa"/>
            <w:left w:w="0" w:type="dxa"/>
            <w:bottom w:w="0" w:type="dxa"/>
            <w:right w:w="0" w:type="dxa"/>
          </w:tblCellMar>
        </w:tblPrEx>
        <w:trPr>
          <w:trHeight w:val="10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tblCellMar>
            <w:top w:w="0" w:type="dxa"/>
            <w:left w:w="0" w:type="dxa"/>
            <w:bottom w:w="0" w:type="dxa"/>
            <w:right w:w="0" w:type="dxa"/>
          </w:tblCellMar>
        </w:tblPrEx>
        <w:trPr>
          <w:trHeight w:val="49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8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8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tblPrEx>
          <w:tblCellMar>
            <w:top w:w="0" w:type="dxa"/>
            <w:left w:w="0" w:type="dxa"/>
            <w:bottom w:w="0" w:type="dxa"/>
            <w:right w:w="0" w:type="dxa"/>
          </w:tblCellMar>
        </w:tblPrEx>
        <w:trPr>
          <w:trHeight w:val="508"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tblCellMar>
            <w:top w:w="0" w:type="dxa"/>
            <w:left w:w="0" w:type="dxa"/>
            <w:bottom w:w="0" w:type="dxa"/>
            <w:right w:w="0" w:type="dxa"/>
          </w:tblCellMar>
        </w:tblPrEx>
        <w:trPr>
          <w:trHeight w:val="86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62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48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b/>
          <w:bCs/>
        </w:rPr>
      </w:pPr>
    </w:p>
    <w:sectPr>
      <w:footerReference r:id="rId6"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57DC784B"/>
    <w:rsid w:val="008E2E21"/>
    <w:rsid w:val="012A63E4"/>
    <w:rsid w:val="051364BB"/>
    <w:rsid w:val="05986B7C"/>
    <w:rsid w:val="05FF5728"/>
    <w:rsid w:val="07A15AE9"/>
    <w:rsid w:val="09343D04"/>
    <w:rsid w:val="097067FE"/>
    <w:rsid w:val="09B64ADD"/>
    <w:rsid w:val="0A4D6451"/>
    <w:rsid w:val="0B46692A"/>
    <w:rsid w:val="0CAB2B5C"/>
    <w:rsid w:val="0D5662B2"/>
    <w:rsid w:val="0D58454D"/>
    <w:rsid w:val="0FC74721"/>
    <w:rsid w:val="10A15B90"/>
    <w:rsid w:val="10FC4F6D"/>
    <w:rsid w:val="111E6442"/>
    <w:rsid w:val="13DA4865"/>
    <w:rsid w:val="156D675B"/>
    <w:rsid w:val="16D357B8"/>
    <w:rsid w:val="17A50D7F"/>
    <w:rsid w:val="18D04E58"/>
    <w:rsid w:val="19B6095F"/>
    <w:rsid w:val="1AD00ADD"/>
    <w:rsid w:val="1AFA3091"/>
    <w:rsid w:val="1C5811A1"/>
    <w:rsid w:val="1D5545CD"/>
    <w:rsid w:val="1DFF44A3"/>
    <w:rsid w:val="25C01BB0"/>
    <w:rsid w:val="26DE6396"/>
    <w:rsid w:val="285C6730"/>
    <w:rsid w:val="2890116A"/>
    <w:rsid w:val="29093445"/>
    <w:rsid w:val="2B001DA7"/>
    <w:rsid w:val="2D5512D9"/>
    <w:rsid w:val="2DBD34E2"/>
    <w:rsid w:val="33682FA0"/>
    <w:rsid w:val="351A6043"/>
    <w:rsid w:val="3561361A"/>
    <w:rsid w:val="37306AA8"/>
    <w:rsid w:val="37387627"/>
    <w:rsid w:val="399C387F"/>
    <w:rsid w:val="3AEA33AC"/>
    <w:rsid w:val="3B0C3C9F"/>
    <w:rsid w:val="3C4A1267"/>
    <w:rsid w:val="3C7B4224"/>
    <w:rsid w:val="3D281519"/>
    <w:rsid w:val="3DC76FFE"/>
    <w:rsid w:val="3F415FC2"/>
    <w:rsid w:val="41CA7A0B"/>
    <w:rsid w:val="41CE2C93"/>
    <w:rsid w:val="42525B01"/>
    <w:rsid w:val="427A21D4"/>
    <w:rsid w:val="43F31A7A"/>
    <w:rsid w:val="44A868C9"/>
    <w:rsid w:val="44CA6D87"/>
    <w:rsid w:val="453B624A"/>
    <w:rsid w:val="48F92F97"/>
    <w:rsid w:val="49C61A18"/>
    <w:rsid w:val="4A7D4C52"/>
    <w:rsid w:val="4ADF7CE0"/>
    <w:rsid w:val="4B511452"/>
    <w:rsid w:val="4BA47493"/>
    <w:rsid w:val="4CEE1542"/>
    <w:rsid w:val="4D790684"/>
    <w:rsid w:val="4D803936"/>
    <w:rsid w:val="51590F5E"/>
    <w:rsid w:val="52257550"/>
    <w:rsid w:val="530F41F0"/>
    <w:rsid w:val="533010B0"/>
    <w:rsid w:val="53F402FA"/>
    <w:rsid w:val="5526649C"/>
    <w:rsid w:val="57DC784B"/>
    <w:rsid w:val="59913365"/>
    <w:rsid w:val="5A74536E"/>
    <w:rsid w:val="5A982D17"/>
    <w:rsid w:val="5D1E5AD2"/>
    <w:rsid w:val="5E7019C6"/>
    <w:rsid w:val="5F053502"/>
    <w:rsid w:val="60004E45"/>
    <w:rsid w:val="61F26810"/>
    <w:rsid w:val="62605041"/>
    <w:rsid w:val="64FF62B0"/>
    <w:rsid w:val="66A81479"/>
    <w:rsid w:val="674708DE"/>
    <w:rsid w:val="6A1A2087"/>
    <w:rsid w:val="703710C5"/>
    <w:rsid w:val="70A906E5"/>
    <w:rsid w:val="721B7B75"/>
    <w:rsid w:val="72641E33"/>
    <w:rsid w:val="731B48DC"/>
    <w:rsid w:val="733B519B"/>
    <w:rsid w:val="75FF0362"/>
    <w:rsid w:val="76195702"/>
    <w:rsid w:val="77935205"/>
    <w:rsid w:val="790D6137"/>
    <w:rsid w:val="79CE2165"/>
    <w:rsid w:val="7A092D9E"/>
    <w:rsid w:val="7C4445F8"/>
    <w:rsid w:val="7D55440C"/>
    <w:rsid w:val="7ED0204B"/>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21"/>
    <w:basedOn w:val="5"/>
    <w:autoRedefine/>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autoRedefine/>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autoRedefine/>
    <w:qFormat/>
    <w:uiPriority w:val="0"/>
    <w:rPr>
      <w:rFonts w:hint="default" w:ascii="Times New Roman" w:hAnsi="Times New Roman" w:cs="Times New Roman"/>
      <w:b/>
      <w:color w:val="000000"/>
      <w:sz w:val="24"/>
      <w:szCs w:val="24"/>
      <w:u w:val="none"/>
    </w:rPr>
  </w:style>
  <w:style w:type="character" w:customStyle="1" w:styleId="11">
    <w:name w:val="font151"/>
    <w:basedOn w:val="5"/>
    <w:autoRedefine/>
    <w:qFormat/>
    <w:uiPriority w:val="0"/>
    <w:rPr>
      <w:rFonts w:hint="default" w:ascii="Times New Roman" w:hAnsi="Times New Roman" w:cs="Times New Roman"/>
      <w:color w:val="000000"/>
      <w:sz w:val="24"/>
      <w:szCs w:val="24"/>
      <w:u w:val="none"/>
    </w:rPr>
  </w:style>
  <w:style w:type="character" w:customStyle="1" w:styleId="12">
    <w:name w:val="font132"/>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autoRedefine/>
    <w:qFormat/>
    <w:uiPriority w:val="0"/>
    <w:rPr>
      <w:rFonts w:hint="default" w:ascii="Times New Roman" w:hAnsi="Times New Roman" w:cs="Times New Roman"/>
      <w:color w:val="000000"/>
      <w:sz w:val="22"/>
      <w:szCs w:val="22"/>
      <w:u w:val="none"/>
    </w:rPr>
  </w:style>
  <w:style w:type="character" w:customStyle="1" w:styleId="15">
    <w:name w:val="font61"/>
    <w:basedOn w:val="5"/>
    <w:autoRedefine/>
    <w:qFormat/>
    <w:uiPriority w:val="0"/>
    <w:rPr>
      <w:rFonts w:hint="eastAsia" w:ascii="宋体" w:hAnsi="宋体" w:eastAsia="宋体" w:cs="宋体"/>
      <w:color w:val="000000"/>
      <w:sz w:val="24"/>
      <w:szCs w:val="24"/>
      <w:u w:val="none"/>
    </w:rPr>
  </w:style>
  <w:style w:type="character" w:customStyle="1" w:styleId="16">
    <w:name w:val="font101"/>
    <w:basedOn w:val="5"/>
    <w:autoRedefine/>
    <w:qFormat/>
    <w:uiPriority w:val="0"/>
    <w:rPr>
      <w:rFonts w:hint="default" w:ascii="Times New Roman" w:hAnsi="Times New Roman" w:cs="Times New Roman"/>
      <w:b/>
      <w:color w:val="000000"/>
      <w:sz w:val="24"/>
      <w:szCs w:val="24"/>
      <w:u w:val="none"/>
    </w:rPr>
  </w:style>
  <w:style w:type="character" w:customStyle="1" w:styleId="17">
    <w:name w:val="font181"/>
    <w:basedOn w:val="5"/>
    <w:autoRedefine/>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autoRedefine/>
    <w:qFormat/>
    <w:uiPriority w:val="0"/>
    <w:rPr>
      <w:rFonts w:hint="default" w:ascii="Times New Roman" w:hAnsi="Times New Roman" w:cs="Times New Roman"/>
      <w:color w:val="000000"/>
      <w:sz w:val="24"/>
      <w:szCs w:val="24"/>
      <w:u w:val="none"/>
    </w:rPr>
  </w:style>
  <w:style w:type="character" w:customStyle="1" w:styleId="19">
    <w:name w:val="font14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autoRedefine/>
    <w:qFormat/>
    <w:uiPriority w:val="0"/>
    <w:rPr>
      <w:rFonts w:hint="eastAsia" w:ascii="宋体" w:hAnsi="宋体" w:eastAsia="宋体" w:cs="宋体"/>
      <w:color w:val="000000"/>
      <w:sz w:val="24"/>
      <w:szCs w:val="24"/>
      <w:u w:val="none"/>
    </w:rPr>
  </w:style>
  <w:style w:type="character" w:customStyle="1" w:styleId="21">
    <w:name w:val="font131"/>
    <w:basedOn w:val="5"/>
    <w:autoRedefine/>
    <w:qFormat/>
    <w:uiPriority w:val="0"/>
    <w:rPr>
      <w:rFonts w:hint="default" w:ascii="Times New Roman" w:hAnsi="Times New Roman" w:cs="Times New Roman"/>
      <w:color w:val="000000"/>
      <w:sz w:val="22"/>
      <w:szCs w:val="22"/>
      <w:u w:val="none"/>
    </w:rPr>
  </w:style>
  <w:style w:type="character" w:customStyle="1" w:styleId="22">
    <w:name w:val="font01"/>
    <w:basedOn w:val="5"/>
    <w:autoRedefine/>
    <w:qFormat/>
    <w:uiPriority w:val="0"/>
    <w:rPr>
      <w:rFonts w:hint="default" w:ascii="Times New Roman" w:hAnsi="Times New Roman" w:cs="Times New Roman"/>
      <w:color w:val="000000"/>
      <w:sz w:val="20"/>
      <w:szCs w:val="20"/>
      <w:u w:val="none"/>
    </w:rPr>
  </w:style>
  <w:style w:type="character" w:customStyle="1" w:styleId="23">
    <w:name w:val="font112"/>
    <w:basedOn w:val="5"/>
    <w:autoRedefine/>
    <w:qFormat/>
    <w:uiPriority w:val="0"/>
    <w:rPr>
      <w:rFonts w:hint="default" w:ascii="Times New Roman" w:hAnsi="Times New Roman" w:cs="Times New Roman"/>
      <w:color w:val="000000"/>
      <w:sz w:val="18"/>
      <w:szCs w:val="18"/>
      <w:u w:val="none"/>
    </w:rPr>
  </w:style>
  <w:style w:type="character" w:customStyle="1" w:styleId="24">
    <w:name w:val="font121"/>
    <w:basedOn w:val="5"/>
    <w:autoRedefine/>
    <w:qFormat/>
    <w:uiPriority w:val="0"/>
    <w:rPr>
      <w:rFonts w:ascii="方正仿宋_GBK" w:hAnsi="方正仿宋_GBK" w:eastAsia="方正仿宋_GBK" w:cs="方正仿宋_GBK"/>
      <w:color w:val="000000"/>
      <w:sz w:val="22"/>
      <w:szCs w:val="22"/>
      <w:u w:val="none"/>
    </w:rPr>
  </w:style>
  <w:style w:type="character" w:customStyle="1" w:styleId="25">
    <w:name w:val="font9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autoRedefine/>
    <w:qFormat/>
    <w:uiPriority w:val="0"/>
    <w:rPr>
      <w:rFonts w:hint="eastAsia" w:ascii="宋体" w:hAnsi="宋体" w:eastAsia="宋体" w:cs="宋体"/>
      <w:color w:val="000000"/>
      <w:sz w:val="24"/>
      <w:szCs w:val="24"/>
      <w:u w:val="none"/>
    </w:rPr>
  </w:style>
  <w:style w:type="character" w:customStyle="1" w:styleId="27">
    <w:name w:val="font12"/>
    <w:basedOn w:val="5"/>
    <w:autoRedefine/>
    <w:qFormat/>
    <w:uiPriority w:val="0"/>
    <w:rPr>
      <w:rFonts w:hint="eastAsia" w:ascii="宋体" w:hAnsi="宋体" w:eastAsia="宋体" w:cs="宋体"/>
      <w:b/>
      <w:color w:val="000000"/>
      <w:sz w:val="24"/>
      <w:szCs w:val="24"/>
      <w:u w:val="none"/>
    </w:rPr>
  </w:style>
  <w:style w:type="character" w:customStyle="1" w:styleId="28">
    <w:name w:val="font191"/>
    <w:basedOn w:val="5"/>
    <w:autoRedefine/>
    <w:qFormat/>
    <w:uiPriority w:val="0"/>
    <w:rPr>
      <w:rFonts w:hint="default" w:ascii="Times New Roman" w:hAnsi="Times New Roman" w:cs="Times New Roman"/>
      <w:color w:val="000000"/>
      <w:sz w:val="24"/>
      <w:szCs w:val="24"/>
      <w:u w:val="single"/>
    </w:rPr>
  </w:style>
  <w:style w:type="character" w:customStyle="1" w:styleId="29">
    <w:name w:val="font201"/>
    <w:basedOn w:val="5"/>
    <w:autoRedefine/>
    <w:qFormat/>
    <w:uiPriority w:val="0"/>
    <w:rPr>
      <w:rFonts w:hint="default" w:ascii="Times New Roman" w:hAnsi="Times New Roman" w:cs="Times New Roman"/>
      <w:color w:val="FF0000"/>
      <w:sz w:val="24"/>
      <w:szCs w:val="24"/>
      <w:u w:val="none"/>
    </w:rPr>
  </w:style>
  <w:style w:type="character" w:customStyle="1" w:styleId="30">
    <w:name w:val="font17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autoRedefine/>
    <w:qFormat/>
    <w:uiPriority w:val="0"/>
    <w:rPr>
      <w:rFonts w:hint="default" w:ascii="Times New Roman" w:hAnsi="Times New Roman" w:cs="Times New Roman"/>
      <w:color w:val="000000"/>
      <w:sz w:val="24"/>
      <w:szCs w:val="24"/>
      <w:u w:val="none"/>
    </w:rPr>
  </w:style>
  <w:style w:type="character" w:customStyle="1" w:styleId="32">
    <w:name w:val="font241"/>
    <w:basedOn w:val="5"/>
    <w:autoRedefine/>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22308</Words>
  <Characters>22768</Characters>
  <Lines>0</Lines>
  <Paragraphs>0</Paragraphs>
  <TotalTime>5</TotalTime>
  <ScaleCrop>false</ScaleCrop>
  <LinksUpToDate>false</LinksUpToDate>
  <CharactersWithSpaces>23646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Administrator</cp:lastModifiedBy>
  <dcterms:modified xsi:type="dcterms:W3CDTF">2025-08-08T02:52:39Z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B139CC1CAC854D359BD727675BA93F80_12</vt:lpwstr>
  </property>
</Properties>
</file>