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仿宋_GB2312"/>
          <w:sz w:val="32"/>
          <w:szCs w:val="32"/>
        </w:rPr>
        <w:t>附件1</w:t>
      </w:r>
    </w:p>
    <w:p>
      <w:pPr>
        <w:rPr>
          <w:rFonts w:eastAsia="仿宋_GB2312"/>
          <w:sz w:val="32"/>
          <w:szCs w:val="32"/>
        </w:rPr>
      </w:pPr>
    </w:p>
    <w:p>
      <w:pPr>
        <w:jc w:val="center"/>
        <w:rPr>
          <w:rFonts w:hint="eastAsia"/>
          <w:b/>
          <w:sz w:val="44"/>
          <w:szCs w:val="44"/>
          <w:lang w:val="en-US" w:eastAsia="zh-CN"/>
        </w:rPr>
      </w:pPr>
      <w:r>
        <w:rPr>
          <w:rFonts w:hint="eastAsia"/>
          <w:b/>
          <w:sz w:val="44"/>
          <w:szCs w:val="44"/>
          <w:lang w:val="en-US" w:eastAsia="zh-CN"/>
        </w:rPr>
        <w:t>万源市庙子乡人民政府</w:t>
      </w:r>
    </w:p>
    <w:p>
      <w:pPr>
        <w:jc w:val="center"/>
        <w:rPr>
          <w:b/>
          <w:sz w:val="44"/>
          <w:szCs w:val="44"/>
        </w:rPr>
      </w:pPr>
      <w:r>
        <w:rPr>
          <w:rFonts w:hAnsi="宋体"/>
          <w:b/>
          <w:sz w:val="44"/>
          <w:szCs w:val="44"/>
        </w:rPr>
        <w:t>关于</w:t>
      </w:r>
      <w:r>
        <w:rPr>
          <w:b/>
          <w:sz w:val="44"/>
          <w:szCs w:val="44"/>
        </w:rPr>
        <w:t>20</w:t>
      </w:r>
      <w:r>
        <w:rPr>
          <w:rFonts w:hint="eastAsia"/>
          <w:b/>
          <w:sz w:val="44"/>
          <w:szCs w:val="44"/>
        </w:rPr>
        <w:t>2</w:t>
      </w:r>
      <w:r>
        <w:rPr>
          <w:rFonts w:hint="eastAsia"/>
          <w:b/>
          <w:sz w:val="44"/>
          <w:szCs w:val="44"/>
          <w:lang w:val="en-US" w:eastAsia="zh-CN"/>
        </w:rPr>
        <w:t>1</w:t>
      </w:r>
      <w:r>
        <w:rPr>
          <w:rFonts w:hAnsi="宋体"/>
          <w:b/>
          <w:sz w:val="44"/>
          <w:szCs w:val="44"/>
        </w:rPr>
        <w:t>年部门预算编制的说明</w:t>
      </w:r>
    </w:p>
    <w:p>
      <w:pPr>
        <w:pStyle w:val="4"/>
        <w:adjustRightInd w:val="0"/>
        <w:snapToGrid w:val="0"/>
        <w:spacing w:before="0" w:beforeLines="0" w:line="600" w:lineRule="exact"/>
        <w:rPr>
          <w:rFonts w:ascii="Times New Roman" w:eastAsia="宋体"/>
          <w:b/>
          <w:sz w:val="44"/>
          <w:szCs w:val="44"/>
        </w:rPr>
      </w:pPr>
      <w:r>
        <w:rPr>
          <w:rFonts w:ascii="Times New Roman" w:eastAsia="宋体"/>
          <w:b/>
          <w:sz w:val="44"/>
          <w:szCs w:val="44"/>
        </w:rPr>
        <w:t xml:space="preserve">    </w:t>
      </w:r>
    </w:p>
    <w:p>
      <w:pPr>
        <w:pStyle w:val="4"/>
        <w:adjustRightInd w:val="0"/>
        <w:snapToGrid w:val="0"/>
        <w:spacing w:line="580" w:lineRule="exact"/>
        <w:ind w:firstLine="640" w:firstLineChars="200"/>
        <w:rPr>
          <w:rFonts w:ascii="Times New Roman" w:eastAsia="宋体"/>
          <w:b/>
          <w:sz w:val="44"/>
          <w:szCs w:val="44"/>
        </w:rPr>
      </w:pPr>
      <w:r>
        <w:rPr>
          <w:rFonts w:ascii="Times New Roman"/>
          <w:sz w:val="32"/>
          <w:szCs w:val="32"/>
        </w:rPr>
        <w:t>按照预算管理有关规定，目前部门预算的编制实行综合预算制度，即全部收入和支出都反映在预算中。</w:t>
      </w:r>
    </w:p>
    <w:p>
      <w:pPr>
        <w:spacing w:line="580" w:lineRule="exact"/>
        <w:ind w:firstLine="640" w:firstLineChars="200"/>
        <w:rPr>
          <w:rFonts w:eastAsia="黑体"/>
          <w:sz w:val="32"/>
          <w:szCs w:val="32"/>
        </w:rPr>
      </w:pPr>
      <w:r>
        <w:rPr>
          <w:rFonts w:eastAsia="黑体"/>
          <w:sz w:val="32"/>
          <w:szCs w:val="32"/>
        </w:rPr>
        <w:t>一、基本职能</w:t>
      </w:r>
    </w:p>
    <w:p>
      <w:pPr>
        <w:pStyle w:val="4"/>
        <w:spacing w:before="93" w:line="560" w:lineRule="exact"/>
        <w:ind w:firstLine="640" w:firstLineChars="200"/>
        <w:rPr>
          <w:rFonts w:ascii="Times New Roman" w:eastAsia="方正仿宋简体"/>
          <w:kern w:val="2"/>
          <w:sz w:val="32"/>
          <w:szCs w:val="40"/>
        </w:rPr>
      </w:pPr>
      <w:r>
        <w:rPr>
          <w:rFonts w:ascii="Times New Roman" w:eastAsia="方正仿宋简体"/>
          <w:kern w:val="2"/>
          <w:sz w:val="32"/>
          <w:szCs w:val="40"/>
        </w:rPr>
        <w:t>1</w:t>
      </w:r>
      <w:r>
        <w:rPr>
          <w:rFonts w:hint="eastAsia" w:ascii="Times New Roman" w:eastAsia="方正仿宋简体"/>
          <w:kern w:val="2"/>
          <w:sz w:val="32"/>
          <w:szCs w:val="40"/>
        </w:rPr>
        <w:t>、执行本级人民代表大会决议以及上级国家行政机关的决定和命令</w:t>
      </w:r>
      <w:r>
        <w:rPr>
          <w:rFonts w:ascii="Times New Roman" w:eastAsia="方正仿宋简体"/>
          <w:kern w:val="2"/>
          <w:sz w:val="32"/>
          <w:szCs w:val="40"/>
        </w:rPr>
        <w:t>;</w:t>
      </w:r>
    </w:p>
    <w:p>
      <w:pPr>
        <w:pStyle w:val="4"/>
        <w:spacing w:before="93" w:line="560" w:lineRule="exact"/>
        <w:ind w:firstLine="640" w:firstLineChars="200"/>
        <w:rPr>
          <w:rFonts w:ascii="Times New Roman" w:eastAsia="方正仿宋简体"/>
          <w:kern w:val="2"/>
          <w:sz w:val="32"/>
          <w:szCs w:val="40"/>
        </w:rPr>
      </w:pPr>
      <w:r>
        <w:rPr>
          <w:rFonts w:ascii="Times New Roman" w:eastAsia="方正仿宋简体"/>
          <w:kern w:val="2"/>
          <w:sz w:val="32"/>
          <w:szCs w:val="40"/>
        </w:rPr>
        <w:t>2</w:t>
      </w:r>
      <w:r>
        <w:rPr>
          <w:rFonts w:hint="eastAsia" w:ascii="Times New Roman" w:eastAsia="方正仿宋简体"/>
          <w:kern w:val="2"/>
          <w:sz w:val="32"/>
          <w:szCs w:val="40"/>
        </w:rPr>
        <w:t>、执行全乡的社会和经济发展计划、预算，管理本乡内的经济、教育、科技、文化、卫生、体育事业和财政、民政、治安、人民调解、安全生产监督管理、移民开发、计划生育等行政工作</w:t>
      </w:r>
      <w:r>
        <w:rPr>
          <w:rFonts w:ascii="Times New Roman" w:eastAsia="方正仿宋简体"/>
          <w:kern w:val="2"/>
          <w:sz w:val="32"/>
          <w:szCs w:val="40"/>
        </w:rPr>
        <w:t>;</w:t>
      </w:r>
    </w:p>
    <w:p>
      <w:pPr>
        <w:pStyle w:val="4"/>
        <w:spacing w:before="93" w:line="560" w:lineRule="exact"/>
        <w:ind w:firstLine="640" w:firstLineChars="200"/>
        <w:rPr>
          <w:rFonts w:ascii="Times New Roman" w:eastAsia="方正仿宋简体"/>
          <w:kern w:val="2"/>
          <w:sz w:val="32"/>
          <w:szCs w:val="40"/>
        </w:rPr>
      </w:pPr>
      <w:r>
        <w:rPr>
          <w:rFonts w:ascii="Times New Roman" w:eastAsia="方正仿宋简体"/>
          <w:kern w:val="2"/>
          <w:sz w:val="32"/>
          <w:szCs w:val="40"/>
        </w:rPr>
        <w:t>3</w:t>
      </w:r>
      <w:r>
        <w:rPr>
          <w:rFonts w:hint="eastAsia" w:ascii="Times New Roman" w:eastAsia="方正仿宋简体"/>
          <w:kern w:val="2"/>
          <w:sz w:val="32"/>
          <w:szCs w:val="40"/>
        </w:rPr>
        <w:t>、保护社会主义的全民所有财产和劳动群众集体所有财产，保护公民私人所有的合法财产，维护社会秩序，保障公民的人身权利、民主权利和其他权利</w:t>
      </w:r>
      <w:r>
        <w:rPr>
          <w:rFonts w:ascii="Times New Roman" w:eastAsia="方正仿宋简体"/>
          <w:kern w:val="2"/>
          <w:sz w:val="32"/>
          <w:szCs w:val="40"/>
        </w:rPr>
        <w:t>;</w:t>
      </w:r>
    </w:p>
    <w:p>
      <w:pPr>
        <w:pStyle w:val="4"/>
        <w:spacing w:before="93" w:line="560" w:lineRule="exact"/>
        <w:ind w:firstLine="640" w:firstLineChars="200"/>
        <w:rPr>
          <w:rFonts w:ascii="Times New Roman" w:eastAsia="方正仿宋简体"/>
          <w:kern w:val="2"/>
          <w:sz w:val="32"/>
          <w:szCs w:val="40"/>
        </w:rPr>
      </w:pPr>
      <w:r>
        <w:rPr>
          <w:rFonts w:hint="eastAsia" w:ascii="Times New Roman" w:eastAsia="方正仿宋简体"/>
          <w:kern w:val="2"/>
          <w:sz w:val="32"/>
          <w:szCs w:val="40"/>
          <w:lang w:val="en-US" w:eastAsia="zh-CN"/>
        </w:rPr>
        <w:t>4、</w:t>
      </w:r>
      <w:r>
        <w:rPr>
          <w:rFonts w:hint="eastAsia" w:ascii="Times New Roman" w:eastAsia="方正仿宋简体"/>
          <w:kern w:val="2"/>
          <w:sz w:val="32"/>
          <w:szCs w:val="40"/>
        </w:rPr>
        <w:t>保护各种经济组织的合法权益</w:t>
      </w:r>
      <w:r>
        <w:rPr>
          <w:rFonts w:ascii="Times New Roman" w:eastAsia="方正仿宋简体"/>
          <w:kern w:val="2"/>
          <w:sz w:val="32"/>
          <w:szCs w:val="40"/>
        </w:rPr>
        <w:t>;</w:t>
      </w:r>
    </w:p>
    <w:p>
      <w:pPr>
        <w:pStyle w:val="4"/>
        <w:spacing w:before="93" w:line="560" w:lineRule="exact"/>
        <w:ind w:firstLine="640" w:firstLineChars="200"/>
        <w:rPr>
          <w:rFonts w:ascii="Times New Roman" w:eastAsia="方正仿宋简体"/>
          <w:kern w:val="2"/>
          <w:sz w:val="32"/>
          <w:szCs w:val="40"/>
        </w:rPr>
      </w:pPr>
      <w:r>
        <w:rPr>
          <w:rFonts w:ascii="Times New Roman" w:eastAsia="方正仿宋简体"/>
          <w:kern w:val="2"/>
          <w:sz w:val="32"/>
          <w:szCs w:val="40"/>
        </w:rPr>
        <w:t>5</w:t>
      </w:r>
      <w:r>
        <w:rPr>
          <w:rFonts w:hint="eastAsia" w:ascii="Times New Roman" w:eastAsia="方正仿宋简体"/>
          <w:kern w:val="2"/>
          <w:sz w:val="32"/>
          <w:szCs w:val="40"/>
        </w:rPr>
        <w:t>、贯彻执行党和国家的民族宗教政策，保障少数民族的权利和尊重少数民族的风俗习惯，尊重民族宗教信仰</w:t>
      </w:r>
      <w:r>
        <w:rPr>
          <w:rFonts w:ascii="Times New Roman" w:eastAsia="方正仿宋简体"/>
          <w:kern w:val="2"/>
          <w:sz w:val="32"/>
          <w:szCs w:val="40"/>
        </w:rPr>
        <w:t>;</w:t>
      </w:r>
    </w:p>
    <w:p>
      <w:pPr>
        <w:pStyle w:val="4"/>
        <w:spacing w:before="93" w:line="560" w:lineRule="exact"/>
        <w:ind w:firstLine="640" w:firstLineChars="200"/>
        <w:rPr>
          <w:rFonts w:ascii="Times New Roman" w:eastAsia="方正仿宋简体"/>
          <w:kern w:val="2"/>
          <w:sz w:val="32"/>
          <w:szCs w:val="40"/>
        </w:rPr>
      </w:pPr>
      <w:r>
        <w:rPr>
          <w:rFonts w:ascii="Times New Roman" w:eastAsia="方正仿宋简体"/>
          <w:kern w:val="2"/>
          <w:sz w:val="32"/>
          <w:szCs w:val="40"/>
        </w:rPr>
        <w:t>6</w:t>
      </w:r>
      <w:r>
        <w:rPr>
          <w:rFonts w:hint="eastAsia" w:ascii="Times New Roman" w:eastAsia="方正仿宋简体"/>
          <w:kern w:val="2"/>
          <w:sz w:val="32"/>
          <w:szCs w:val="40"/>
        </w:rPr>
        <w:t>、保障宪法和法律赋予妇女的男女平等、婚姻自由等各项权利</w:t>
      </w:r>
      <w:r>
        <w:rPr>
          <w:rFonts w:ascii="Times New Roman" w:eastAsia="方正仿宋简体"/>
          <w:kern w:val="2"/>
          <w:sz w:val="32"/>
          <w:szCs w:val="40"/>
        </w:rPr>
        <w:t>;</w:t>
      </w:r>
    </w:p>
    <w:p>
      <w:pPr>
        <w:pStyle w:val="4"/>
        <w:spacing w:before="93" w:line="560" w:lineRule="exact"/>
        <w:ind w:firstLine="640" w:firstLineChars="200"/>
        <w:rPr>
          <w:rFonts w:hint="eastAsia" w:ascii="Times New Roman" w:eastAsia="方正仿宋简体"/>
          <w:kern w:val="2"/>
          <w:sz w:val="32"/>
          <w:szCs w:val="40"/>
        </w:rPr>
      </w:pPr>
      <w:r>
        <w:rPr>
          <w:rFonts w:ascii="Times New Roman" w:eastAsia="方正仿宋简体"/>
          <w:kern w:val="2"/>
          <w:sz w:val="32"/>
          <w:szCs w:val="40"/>
        </w:rPr>
        <w:t>7</w:t>
      </w:r>
      <w:r>
        <w:rPr>
          <w:rFonts w:hint="eastAsia" w:ascii="Times New Roman" w:eastAsia="方正仿宋简体"/>
          <w:kern w:val="2"/>
          <w:sz w:val="32"/>
          <w:szCs w:val="40"/>
        </w:rPr>
        <w:t>、办理上级人民政府交办的其他事项。</w:t>
      </w:r>
    </w:p>
    <w:p>
      <w:pPr>
        <w:spacing w:line="580" w:lineRule="exact"/>
        <w:ind w:firstLine="640" w:firstLineChars="200"/>
        <w:rPr>
          <w:rFonts w:eastAsia="黑体"/>
          <w:sz w:val="32"/>
          <w:szCs w:val="32"/>
        </w:rPr>
      </w:pPr>
      <w:r>
        <w:rPr>
          <w:rFonts w:eastAsia="黑体"/>
          <w:sz w:val="32"/>
          <w:szCs w:val="32"/>
        </w:rPr>
        <w:t>二、部门概况</w:t>
      </w:r>
    </w:p>
    <w:p>
      <w:pPr>
        <w:spacing w:line="580" w:lineRule="exact"/>
        <w:ind w:firstLine="640" w:firstLineChars="200"/>
        <w:rPr>
          <w:rFonts w:hint="eastAsia" w:eastAsia="仿宋_GB2312"/>
          <w:sz w:val="32"/>
          <w:szCs w:val="32"/>
        </w:rPr>
      </w:pPr>
      <w:r>
        <w:rPr>
          <w:rFonts w:hint="eastAsia" w:eastAsia="仿宋_GB2312"/>
          <w:sz w:val="32"/>
          <w:szCs w:val="32"/>
        </w:rPr>
        <w:t>万源市</w:t>
      </w:r>
      <w:r>
        <w:rPr>
          <w:rFonts w:hint="eastAsia" w:eastAsia="仿宋_GB2312"/>
          <w:sz w:val="32"/>
          <w:szCs w:val="32"/>
          <w:lang w:eastAsia="zh-CN"/>
        </w:rPr>
        <w:t>庙子</w:t>
      </w:r>
      <w:r>
        <w:rPr>
          <w:rFonts w:hint="eastAsia" w:eastAsia="仿宋_GB2312"/>
          <w:sz w:val="32"/>
          <w:szCs w:val="32"/>
        </w:rPr>
        <w:t>乡人民政府是一级预算单位。</w:t>
      </w:r>
    </w:p>
    <w:p>
      <w:pPr>
        <w:spacing w:line="580" w:lineRule="exact"/>
        <w:ind w:firstLine="640" w:firstLineChars="200"/>
        <w:rPr>
          <w:rFonts w:hint="eastAsia" w:eastAsia="仿宋_GB2312"/>
          <w:sz w:val="32"/>
          <w:szCs w:val="32"/>
          <w:lang w:eastAsia="zh-CN"/>
        </w:rPr>
      </w:pPr>
      <w:r>
        <w:rPr>
          <w:rFonts w:hint="eastAsia" w:eastAsia="仿宋_GB2312"/>
          <w:sz w:val="32"/>
          <w:szCs w:val="32"/>
        </w:rPr>
        <w:t>20</w:t>
      </w:r>
      <w:r>
        <w:rPr>
          <w:rFonts w:hint="eastAsia" w:eastAsia="仿宋_GB2312"/>
          <w:sz w:val="32"/>
          <w:szCs w:val="32"/>
          <w:lang w:val="en-US" w:eastAsia="zh-CN"/>
        </w:rPr>
        <w:t>21</w:t>
      </w:r>
      <w:r>
        <w:rPr>
          <w:rFonts w:hint="eastAsia" w:eastAsia="仿宋_GB2312"/>
          <w:sz w:val="32"/>
          <w:szCs w:val="32"/>
        </w:rPr>
        <w:t>年万源市</w:t>
      </w:r>
      <w:r>
        <w:rPr>
          <w:rFonts w:hint="eastAsia" w:eastAsia="仿宋_GB2312"/>
          <w:sz w:val="32"/>
          <w:szCs w:val="32"/>
          <w:lang w:eastAsia="zh-CN"/>
        </w:rPr>
        <w:t>庙子</w:t>
      </w:r>
      <w:r>
        <w:rPr>
          <w:rFonts w:hint="eastAsia" w:eastAsia="仿宋_GB2312"/>
          <w:sz w:val="32"/>
          <w:szCs w:val="32"/>
        </w:rPr>
        <w:t>乡人民政府按上级编制部门批准的行政编制人数</w:t>
      </w:r>
      <w:r>
        <w:rPr>
          <w:rFonts w:hint="eastAsia" w:eastAsia="仿宋_GB2312"/>
          <w:sz w:val="32"/>
          <w:szCs w:val="32"/>
          <w:lang w:val="en-US" w:eastAsia="zh-CN"/>
        </w:rPr>
        <w:t>18</w:t>
      </w:r>
      <w:r>
        <w:rPr>
          <w:rFonts w:hint="eastAsia" w:eastAsia="仿宋_GB2312"/>
          <w:sz w:val="32"/>
          <w:szCs w:val="32"/>
        </w:rPr>
        <w:t>人,事业编制人数</w:t>
      </w:r>
      <w:r>
        <w:rPr>
          <w:rFonts w:hint="eastAsia" w:eastAsia="仿宋_GB2312"/>
          <w:sz w:val="32"/>
          <w:szCs w:val="32"/>
          <w:lang w:val="en-US" w:eastAsia="zh-CN"/>
        </w:rPr>
        <w:t>13</w:t>
      </w:r>
      <w:r>
        <w:rPr>
          <w:rFonts w:hint="eastAsia" w:eastAsia="仿宋_GB2312"/>
          <w:sz w:val="32"/>
          <w:szCs w:val="32"/>
        </w:rPr>
        <w:t>人,</w:t>
      </w:r>
      <w:r>
        <w:rPr>
          <w:rFonts w:hint="eastAsia" w:eastAsia="仿宋_GB2312"/>
          <w:sz w:val="32"/>
          <w:szCs w:val="32"/>
          <w:lang w:eastAsia="zh-CN"/>
        </w:rPr>
        <w:t>事业工勤人数</w:t>
      </w:r>
      <w:r>
        <w:rPr>
          <w:rFonts w:hint="eastAsia" w:eastAsia="仿宋_GB2312"/>
          <w:sz w:val="32"/>
          <w:szCs w:val="32"/>
          <w:lang w:val="en-US" w:eastAsia="zh-CN"/>
        </w:rPr>
        <w:t>1人，</w:t>
      </w:r>
      <w:r>
        <w:rPr>
          <w:rFonts w:hint="eastAsia" w:eastAsia="仿宋_GB2312"/>
          <w:sz w:val="32"/>
          <w:szCs w:val="32"/>
        </w:rPr>
        <w:t>单位实有人数为</w:t>
      </w:r>
      <w:r>
        <w:rPr>
          <w:rFonts w:hint="eastAsia" w:eastAsia="仿宋_GB2312"/>
          <w:sz w:val="32"/>
          <w:szCs w:val="32"/>
          <w:lang w:val="en-US" w:eastAsia="zh-CN"/>
        </w:rPr>
        <w:t>32</w:t>
      </w:r>
      <w:r>
        <w:rPr>
          <w:rFonts w:hint="eastAsia" w:eastAsia="仿宋_GB2312"/>
          <w:sz w:val="32"/>
          <w:szCs w:val="32"/>
        </w:rPr>
        <w:t>人</w:t>
      </w:r>
      <w:r>
        <w:rPr>
          <w:rFonts w:hint="eastAsia" w:eastAsia="仿宋_GB2312"/>
          <w:sz w:val="32"/>
          <w:szCs w:val="32"/>
          <w:lang w:eastAsia="zh-CN"/>
        </w:rPr>
        <w:t>。</w:t>
      </w:r>
    </w:p>
    <w:p>
      <w:pPr>
        <w:spacing w:line="580" w:lineRule="exact"/>
        <w:ind w:firstLine="640" w:firstLineChars="200"/>
        <w:rPr>
          <w:rFonts w:eastAsia="仿宋_GB2312"/>
          <w:sz w:val="32"/>
          <w:szCs w:val="32"/>
        </w:rPr>
      </w:pPr>
      <w:r>
        <w:rPr>
          <w:rFonts w:eastAsia="黑体"/>
          <w:sz w:val="32"/>
          <w:szCs w:val="32"/>
        </w:rPr>
        <w:t>三、收支预算总体情况</w:t>
      </w:r>
    </w:p>
    <w:p>
      <w:pPr>
        <w:spacing w:line="58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lang w:val="en-US" w:eastAsia="zh-CN"/>
        </w:rPr>
        <w:t>21</w:t>
      </w:r>
      <w:r>
        <w:rPr>
          <w:rFonts w:eastAsia="仿宋_GB2312"/>
          <w:sz w:val="32"/>
          <w:szCs w:val="32"/>
        </w:rPr>
        <w:t>年</w:t>
      </w:r>
      <w:r>
        <w:rPr>
          <w:rFonts w:hint="eastAsia" w:eastAsia="仿宋_GB2312"/>
          <w:sz w:val="32"/>
          <w:szCs w:val="32"/>
        </w:rPr>
        <w:t>万源市</w:t>
      </w:r>
      <w:r>
        <w:rPr>
          <w:rFonts w:hint="eastAsia" w:eastAsia="仿宋_GB2312"/>
          <w:sz w:val="32"/>
          <w:szCs w:val="32"/>
          <w:lang w:eastAsia="zh-CN"/>
        </w:rPr>
        <w:t>庙子</w:t>
      </w:r>
      <w:r>
        <w:rPr>
          <w:rFonts w:hint="eastAsia" w:eastAsia="仿宋_GB2312"/>
          <w:sz w:val="32"/>
          <w:szCs w:val="32"/>
        </w:rPr>
        <w:t>乡人民政府</w:t>
      </w:r>
      <w:r>
        <w:rPr>
          <w:rFonts w:eastAsia="仿宋_GB2312"/>
          <w:sz w:val="32"/>
          <w:szCs w:val="32"/>
        </w:rPr>
        <w:t>收入预算总额为</w:t>
      </w:r>
      <w:r>
        <w:rPr>
          <w:rFonts w:hint="eastAsia" w:eastAsia="仿宋_GB2312"/>
          <w:sz w:val="32"/>
          <w:szCs w:val="32"/>
          <w:lang w:val="en-US" w:eastAsia="zh-CN"/>
        </w:rPr>
        <w:t>648.56</w:t>
      </w:r>
      <w:r>
        <w:rPr>
          <w:rFonts w:eastAsia="仿宋_GB2312"/>
          <w:sz w:val="32"/>
          <w:szCs w:val="32"/>
        </w:rPr>
        <w:t>万元，其中：当年财政拨款收入</w:t>
      </w:r>
      <w:r>
        <w:rPr>
          <w:rFonts w:hint="eastAsia" w:eastAsia="仿宋_GB2312"/>
          <w:sz w:val="32"/>
          <w:szCs w:val="32"/>
          <w:lang w:val="en-US" w:eastAsia="zh-CN"/>
        </w:rPr>
        <w:t>648.56</w:t>
      </w:r>
      <w:r>
        <w:rPr>
          <w:rFonts w:eastAsia="仿宋_GB2312"/>
          <w:sz w:val="32"/>
          <w:szCs w:val="32"/>
        </w:rPr>
        <w:t>万元。相应安排支出预算</w:t>
      </w:r>
      <w:r>
        <w:rPr>
          <w:rFonts w:hint="eastAsia" w:eastAsia="仿宋_GB2312"/>
          <w:sz w:val="32"/>
          <w:szCs w:val="32"/>
          <w:lang w:val="en-US" w:eastAsia="zh-CN"/>
        </w:rPr>
        <w:t>648.56</w:t>
      </w:r>
      <w:r>
        <w:rPr>
          <w:rFonts w:eastAsia="仿宋_GB2312"/>
          <w:sz w:val="32"/>
          <w:szCs w:val="32"/>
        </w:rPr>
        <w:t>万元，其中：一般公共服务</w:t>
      </w:r>
      <w:r>
        <w:rPr>
          <w:rFonts w:hint="eastAsia" w:eastAsia="仿宋_GB2312"/>
          <w:sz w:val="32"/>
          <w:szCs w:val="32"/>
          <w:lang w:val="en-US" w:eastAsia="zh-CN"/>
        </w:rPr>
        <w:t>214.53</w:t>
      </w:r>
      <w:r>
        <w:rPr>
          <w:rFonts w:eastAsia="仿宋_GB2312"/>
          <w:sz w:val="32"/>
          <w:szCs w:val="32"/>
        </w:rPr>
        <w:t>万元，</w:t>
      </w:r>
      <w:r>
        <w:rPr>
          <w:rFonts w:hint="eastAsia" w:eastAsia="仿宋_GB2312"/>
          <w:sz w:val="32"/>
          <w:szCs w:val="32"/>
          <w:lang w:eastAsia="zh-CN"/>
        </w:rPr>
        <w:t>公共安全支出</w:t>
      </w:r>
      <w:r>
        <w:rPr>
          <w:rFonts w:hint="eastAsia" w:eastAsia="仿宋_GB2312"/>
          <w:sz w:val="32"/>
          <w:szCs w:val="32"/>
          <w:lang w:val="en-US" w:eastAsia="zh-CN"/>
        </w:rPr>
        <w:t>5万元，</w:t>
      </w:r>
      <w:r>
        <w:rPr>
          <w:rFonts w:eastAsia="仿宋_GB2312"/>
          <w:sz w:val="32"/>
          <w:szCs w:val="32"/>
        </w:rPr>
        <w:t>社会保障和就业</w:t>
      </w:r>
      <w:r>
        <w:rPr>
          <w:rFonts w:hint="eastAsia" w:eastAsia="仿宋_GB2312"/>
          <w:sz w:val="32"/>
          <w:szCs w:val="32"/>
          <w:lang w:val="en-US" w:eastAsia="zh-CN"/>
        </w:rPr>
        <w:t>130.18</w:t>
      </w:r>
      <w:r>
        <w:rPr>
          <w:rFonts w:eastAsia="仿宋_GB2312"/>
          <w:sz w:val="32"/>
          <w:szCs w:val="32"/>
        </w:rPr>
        <w:t>万元，卫生</w:t>
      </w:r>
      <w:r>
        <w:rPr>
          <w:rFonts w:hint="eastAsia" w:eastAsia="仿宋_GB2312"/>
          <w:sz w:val="32"/>
          <w:szCs w:val="32"/>
          <w:lang w:val="en-US" w:eastAsia="zh-CN"/>
        </w:rPr>
        <w:t>健康支出11.5</w:t>
      </w:r>
      <w:r>
        <w:rPr>
          <w:rFonts w:eastAsia="仿宋_GB2312"/>
          <w:sz w:val="32"/>
          <w:szCs w:val="32"/>
        </w:rPr>
        <w:t>万元，</w:t>
      </w:r>
      <w:r>
        <w:rPr>
          <w:rFonts w:hint="eastAsia" w:eastAsia="仿宋_GB2312"/>
          <w:sz w:val="32"/>
          <w:szCs w:val="32"/>
          <w:lang w:val="en-US" w:eastAsia="zh-CN"/>
        </w:rPr>
        <w:t>节能环保支出5万元，农林水支出257.41万元，交通运输支出5万元，</w:t>
      </w:r>
      <w:r>
        <w:rPr>
          <w:rFonts w:eastAsia="仿宋_GB2312"/>
          <w:sz w:val="32"/>
          <w:szCs w:val="32"/>
        </w:rPr>
        <w:t>住房保障支出</w:t>
      </w:r>
      <w:r>
        <w:rPr>
          <w:rFonts w:hint="eastAsia" w:eastAsia="仿宋_GB2312"/>
          <w:sz w:val="32"/>
          <w:szCs w:val="32"/>
          <w:lang w:val="en-US" w:eastAsia="zh-CN"/>
        </w:rPr>
        <w:t>19.94</w:t>
      </w:r>
      <w:r>
        <w:rPr>
          <w:rFonts w:eastAsia="仿宋_GB2312"/>
          <w:sz w:val="32"/>
          <w:szCs w:val="32"/>
        </w:rPr>
        <w:t>万元。</w:t>
      </w:r>
    </w:p>
    <w:p>
      <w:pPr>
        <w:spacing w:line="580" w:lineRule="exact"/>
        <w:ind w:firstLine="640" w:firstLineChars="200"/>
        <w:rPr>
          <w:rFonts w:eastAsia="仿宋_GB2312"/>
          <w:sz w:val="32"/>
          <w:szCs w:val="32"/>
        </w:rPr>
      </w:pPr>
      <w:r>
        <w:rPr>
          <w:rFonts w:eastAsia="黑体"/>
          <w:sz w:val="32"/>
          <w:szCs w:val="32"/>
        </w:rPr>
        <w:t>四、支出预算安排情况</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lang w:val="en-US" w:eastAsia="zh-CN"/>
        </w:rPr>
        <w:t>万源市庙子乡人民政府</w:t>
      </w:r>
      <w:r>
        <w:rPr>
          <w:rFonts w:hint="eastAsia" w:ascii="方正仿宋简体" w:eastAsia="方正仿宋简体"/>
          <w:sz w:val="32"/>
          <w:szCs w:val="32"/>
        </w:rPr>
        <w:t>预算安排支出主要用于保障该部门机构正常运转、完成日常工作任务以及承担</w:t>
      </w:r>
      <w:r>
        <w:rPr>
          <w:rFonts w:hint="eastAsia" w:ascii="方正仿宋简体" w:eastAsia="方正仿宋简体"/>
          <w:sz w:val="32"/>
          <w:szCs w:val="32"/>
          <w:lang w:val="en-US" w:eastAsia="zh-CN"/>
        </w:rPr>
        <w:t>庙子乡</w:t>
      </w:r>
      <w:r>
        <w:rPr>
          <w:rFonts w:hint="eastAsia" w:ascii="方正仿宋简体" w:eastAsia="方正仿宋简体"/>
          <w:sz w:val="32"/>
          <w:szCs w:val="32"/>
        </w:rPr>
        <w:t xml:space="preserve">事业发展相关工作。  </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基本支出，是用于保障</w:t>
      </w:r>
      <w:r>
        <w:rPr>
          <w:rFonts w:hint="eastAsia" w:ascii="方正仿宋简体" w:eastAsia="方正仿宋简体"/>
          <w:sz w:val="32"/>
          <w:szCs w:val="32"/>
          <w:lang w:val="en-US" w:eastAsia="zh-CN"/>
        </w:rPr>
        <w:t>庙子乡</w:t>
      </w:r>
      <w:r>
        <w:rPr>
          <w:rFonts w:hint="eastAsia" w:ascii="方正仿宋简体" w:eastAsia="方正仿宋简体"/>
          <w:sz w:val="32"/>
          <w:szCs w:val="32"/>
        </w:rPr>
        <w:t>机关、下属事业单位等机构正常运转的日常支出，包括基本工资、津贴补贴等人员经费以及办公费、印刷费、水电费、办公设备购置等日常公用经费。</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项目支出，是用于保障</w:t>
      </w:r>
      <w:r>
        <w:rPr>
          <w:rFonts w:hint="eastAsia" w:ascii="方正仿宋简体" w:eastAsia="方正仿宋简体"/>
          <w:sz w:val="32"/>
          <w:szCs w:val="32"/>
          <w:lang w:val="en-US" w:eastAsia="zh-CN"/>
        </w:rPr>
        <w:t>庙子乡</w:t>
      </w:r>
      <w:r>
        <w:rPr>
          <w:rFonts w:hint="eastAsia" w:ascii="方正仿宋简体" w:eastAsia="方正仿宋简体"/>
          <w:sz w:val="32"/>
          <w:szCs w:val="32"/>
        </w:rPr>
        <w:t>机关、下属事业单位等机构为完成特定的行政工作任务或事业发展目标，用于专项业务工作的经费支出。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按支出功能分类主要用于以下方面:</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（一）一般公共服务，主要用于机关及下属事业单位人员工资、日常运转以及为完成特定行政工作任务和事业发展目标而安排的年度项目支出，主要包括：（专项项目主要用于那些方面）。</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（二）社会保障和就业，主要用于机关及下属事业单位离退休人员支出。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（三）医疗卫生，主要用于机关及下属事业单位按照规定标准为职工缴纳的基本医疗保险及公务员医疗补助等支出。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（四）住房保障支出，用于机关及下属事业单位按照规定标准为职工缴纳住房公积金等支出。</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（五）（其他科目支出主要用途）</w:t>
      </w:r>
    </w:p>
    <w:p>
      <w:pPr>
        <w:spacing w:line="580" w:lineRule="exact"/>
        <w:ind w:firstLine="640" w:firstLineChars="200"/>
        <w:rPr>
          <w:rFonts w:hint="eastAsia" w:ascii="方正仿宋简体" w:eastAsia="方正仿宋简体"/>
          <w:sz w:val="32"/>
          <w:szCs w:val="32"/>
        </w:rPr>
      </w:pPr>
      <w:r>
        <w:rPr>
          <w:rFonts w:hint="eastAsia" w:ascii="方正仿宋简体" w:eastAsia="方正仿宋简体"/>
          <w:sz w:val="32"/>
          <w:szCs w:val="32"/>
        </w:rPr>
        <w:t>按经济分类主要用于以下方面:</w:t>
      </w:r>
    </w:p>
    <w:p>
      <w:pPr>
        <w:ind w:left="630"/>
        <w:rPr>
          <w:rFonts w:hint="eastAsia" w:ascii="方正仿宋简体" w:eastAsia="方正仿宋简体"/>
          <w:sz w:val="32"/>
          <w:szCs w:val="32"/>
        </w:rPr>
      </w:pPr>
      <w:r>
        <w:rPr>
          <w:rFonts w:hint="eastAsia" w:ascii="方正仿宋简体" w:eastAsia="方正仿宋简体"/>
          <w:sz w:val="32"/>
          <w:szCs w:val="32"/>
        </w:rPr>
        <w:t>(一)工资福利支出。主要用于:职工基本工资、津贴补贴、养老保险和医疗保险缴费。</w:t>
      </w:r>
    </w:p>
    <w:p>
      <w:pPr>
        <w:ind w:left="630"/>
        <w:rPr>
          <w:rFonts w:hint="eastAsia" w:ascii="方正仿宋简体" w:eastAsia="方正仿宋简体"/>
          <w:sz w:val="32"/>
          <w:szCs w:val="32"/>
        </w:rPr>
      </w:pPr>
      <w:r>
        <w:rPr>
          <w:rFonts w:hint="eastAsia" w:ascii="方正仿宋简体" w:eastAsia="方正仿宋简体"/>
          <w:sz w:val="32"/>
          <w:szCs w:val="32"/>
        </w:rPr>
        <w:t>(二)商品和服务支出。主要用于:日常办公、差旅、会议、公务接待等支出。</w:t>
      </w:r>
    </w:p>
    <w:p>
      <w:pPr>
        <w:spacing w:line="580" w:lineRule="exact"/>
        <w:rPr>
          <w:rFonts w:hint="eastAsia" w:ascii="方正仿宋简体" w:eastAsia="方正仿宋简体"/>
          <w:sz w:val="32"/>
          <w:szCs w:val="32"/>
        </w:rPr>
      </w:pPr>
      <w:r>
        <w:rPr>
          <w:rFonts w:hint="eastAsia" w:ascii="方正仿宋简体" w:eastAsia="方正仿宋简体"/>
          <w:sz w:val="32"/>
          <w:szCs w:val="32"/>
        </w:rPr>
        <w:t>(三)对个人和家庭的补助。主要用于:抚恤金发放、特困人员救助和村社干部报酬等支出。</w:t>
      </w:r>
    </w:p>
    <w:p>
      <w:pPr>
        <w:spacing w:line="580" w:lineRule="exact"/>
        <w:rPr>
          <w:rFonts w:hint="eastAsia" w:eastAsia="黑体"/>
          <w:sz w:val="32"/>
          <w:szCs w:val="32"/>
          <w:lang w:val="en-US" w:eastAsia="zh-CN"/>
        </w:rPr>
      </w:pPr>
      <w:r>
        <w:rPr>
          <w:rFonts w:hint="eastAsia" w:eastAsia="黑体"/>
          <w:sz w:val="32"/>
          <w:szCs w:val="32"/>
          <w:lang w:val="en-US" w:eastAsia="zh-CN"/>
        </w:rPr>
        <w:t>五、预算收支增减变化情况说明</w:t>
      </w:r>
    </w:p>
    <w:p>
      <w:pPr>
        <w:numPr>
          <w:ilvl w:val="0"/>
          <w:numId w:val="0"/>
        </w:numPr>
        <w:spacing w:line="580" w:lineRule="exact"/>
        <w:rPr>
          <w:rFonts w:hint="eastAsia" w:eastAsia="仿宋_GB2312"/>
          <w:sz w:val="32"/>
          <w:szCs w:val="32"/>
          <w:lang w:eastAsia="zh-CN"/>
        </w:rPr>
      </w:pPr>
      <w:r>
        <w:rPr>
          <w:rFonts w:hint="eastAsia" w:ascii="方正仿宋简体" w:eastAsia="方正仿宋简体"/>
          <w:sz w:val="32"/>
          <w:szCs w:val="32"/>
          <w:lang w:val="en-US" w:eastAsia="zh-CN"/>
        </w:rPr>
        <w:t xml:space="preserve">    </w:t>
      </w:r>
      <w:r>
        <w:rPr>
          <w:rFonts w:hint="eastAsia" w:eastAsia="仿宋_GB2312"/>
          <w:sz w:val="32"/>
          <w:szCs w:val="32"/>
          <w:lang w:eastAsia="zh-CN"/>
        </w:rPr>
        <w:t>202</w:t>
      </w:r>
      <w:r>
        <w:rPr>
          <w:rFonts w:hint="eastAsia" w:eastAsia="仿宋_GB2312"/>
          <w:sz w:val="32"/>
          <w:szCs w:val="32"/>
          <w:lang w:val="en-US" w:eastAsia="zh-CN"/>
        </w:rPr>
        <w:t>1</w:t>
      </w:r>
      <w:r>
        <w:rPr>
          <w:rFonts w:eastAsia="仿宋_GB2312"/>
          <w:sz w:val="32"/>
          <w:szCs w:val="32"/>
        </w:rPr>
        <w:t>年</w:t>
      </w:r>
      <w:r>
        <w:rPr>
          <w:rFonts w:hint="eastAsia" w:eastAsia="仿宋_GB2312"/>
          <w:sz w:val="32"/>
          <w:szCs w:val="32"/>
          <w:lang w:val="en-US" w:eastAsia="zh-CN"/>
        </w:rPr>
        <w:t>庙子乡</w:t>
      </w:r>
      <w:r>
        <w:rPr>
          <w:rFonts w:eastAsia="仿宋_GB2312"/>
          <w:sz w:val="32"/>
          <w:szCs w:val="32"/>
        </w:rPr>
        <w:t>收入预算总额为</w:t>
      </w:r>
      <w:r>
        <w:rPr>
          <w:rFonts w:hint="eastAsia" w:eastAsia="仿宋_GB2312"/>
          <w:sz w:val="32"/>
          <w:szCs w:val="32"/>
          <w:lang w:val="en-US" w:eastAsia="zh-CN"/>
        </w:rPr>
        <w:t>648.56</w:t>
      </w:r>
      <w:r>
        <w:rPr>
          <w:rFonts w:eastAsia="仿宋_GB2312"/>
          <w:sz w:val="32"/>
          <w:szCs w:val="32"/>
        </w:rPr>
        <w:t>万元，</w:t>
      </w:r>
      <w:r>
        <w:rPr>
          <w:rFonts w:hint="eastAsia" w:eastAsia="仿宋_GB2312"/>
          <w:sz w:val="32"/>
          <w:szCs w:val="32"/>
          <w:lang w:eastAsia="zh-CN"/>
        </w:rPr>
        <w:t>同比</w:t>
      </w:r>
      <w:r>
        <w:rPr>
          <w:rFonts w:hint="eastAsia" w:eastAsia="仿宋_GB2312"/>
          <w:sz w:val="32"/>
          <w:szCs w:val="32"/>
          <w:lang w:val="en-US" w:eastAsia="zh-CN"/>
        </w:rPr>
        <w:t>2021年增加34</w:t>
      </w:r>
      <w:r>
        <w:rPr>
          <w:rFonts w:eastAsia="仿宋_GB2312"/>
          <w:sz w:val="32"/>
          <w:szCs w:val="32"/>
        </w:rPr>
        <w:t>万元</w:t>
      </w:r>
      <w:r>
        <w:rPr>
          <w:rFonts w:hint="eastAsia" w:eastAsia="仿宋_GB2312"/>
          <w:sz w:val="32"/>
          <w:szCs w:val="32"/>
          <w:lang w:eastAsia="zh-CN"/>
        </w:rPr>
        <w:t>，主要增</w:t>
      </w:r>
      <w:r>
        <w:rPr>
          <w:rFonts w:hint="eastAsia" w:eastAsia="仿宋_GB2312"/>
          <w:sz w:val="32"/>
          <w:szCs w:val="32"/>
          <w:lang w:val="en-US" w:eastAsia="zh-CN"/>
        </w:rPr>
        <w:t>加</w:t>
      </w:r>
      <w:r>
        <w:rPr>
          <w:rFonts w:hint="eastAsia" w:eastAsia="仿宋_GB2312"/>
          <w:sz w:val="32"/>
          <w:szCs w:val="32"/>
          <w:lang w:eastAsia="zh-CN"/>
        </w:rPr>
        <w:t>原因是</w:t>
      </w:r>
      <w:r>
        <w:rPr>
          <w:rFonts w:hint="eastAsia" w:eastAsia="仿宋_GB2312"/>
          <w:sz w:val="32"/>
          <w:szCs w:val="32"/>
          <w:lang w:val="en-US" w:eastAsia="zh-CN"/>
        </w:rPr>
        <w:t>人员增加</w:t>
      </w:r>
      <w:r>
        <w:rPr>
          <w:rFonts w:hint="eastAsia" w:eastAsia="仿宋_GB2312"/>
          <w:sz w:val="32"/>
          <w:szCs w:val="32"/>
          <w:lang w:eastAsia="zh-CN"/>
        </w:rPr>
        <w:t>；202</w:t>
      </w:r>
      <w:r>
        <w:rPr>
          <w:rFonts w:hint="eastAsia" w:eastAsia="仿宋_GB2312"/>
          <w:sz w:val="32"/>
          <w:szCs w:val="32"/>
          <w:lang w:val="en-US" w:eastAsia="zh-CN"/>
        </w:rPr>
        <w:t>1</w:t>
      </w:r>
      <w:r>
        <w:rPr>
          <w:rFonts w:eastAsia="仿宋_GB2312"/>
          <w:sz w:val="32"/>
          <w:szCs w:val="32"/>
        </w:rPr>
        <w:t>年</w:t>
      </w:r>
      <w:r>
        <w:rPr>
          <w:rFonts w:hint="eastAsia" w:eastAsia="仿宋_GB2312"/>
          <w:sz w:val="32"/>
          <w:szCs w:val="32"/>
          <w:lang w:val="en-US" w:eastAsia="zh-CN"/>
        </w:rPr>
        <w:t>庙子乡</w:t>
      </w:r>
      <w:r>
        <w:rPr>
          <w:rFonts w:hint="eastAsia" w:eastAsia="仿宋_GB2312"/>
          <w:sz w:val="32"/>
          <w:szCs w:val="32"/>
          <w:lang w:eastAsia="zh-CN"/>
        </w:rPr>
        <w:t>支出</w:t>
      </w:r>
      <w:r>
        <w:rPr>
          <w:rFonts w:eastAsia="仿宋_GB2312"/>
          <w:sz w:val="32"/>
          <w:szCs w:val="32"/>
        </w:rPr>
        <w:t>预算总额为</w:t>
      </w:r>
      <w:r>
        <w:rPr>
          <w:rFonts w:hint="eastAsia" w:eastAsia="仿宋_GB2312"/>
          <w:sz w:val="32"/>
          <w:szCs w:val="32"/>
          <w:lang w:val="en-US" w:eastAsia="zh-CN"/>
        </w:rPr>
        <w:t>648.56</w:t>
      </w:r>
      <w:r>
        <w:rPr>
          <w:rFonts w:eastAsia="仿宋_GB2312"/>
          <w:sz w:val="32"/>
          <w:szCs w:val="32"/>
        </w:rPr>
        <w:t>万元，</w:t>
      </w:r>
      <w:r>
        <w:rPr>
          <w:rFonts w:hint="eastAsia" w:eastAsia="仿宋_GB2312"/>
          <w:sz w:val="32"/>
          <w:szCs w:val="32"/>
          <w:lang w:eastAsia="zh-CN"/>
        </w:rPr>
        <w:t>同比</w:t>
      </w:r>
      <w:r>
        <w:rPr>
          <w:rFonts w:hint="eastAsia" w:eastAsia="仿宋_GB2312"/>
          <w:sz w:val="32"/>
          <w:szCs w:val="32"/>
          <w:lang w:val="en-US" w:eastAsia="zh-CN"/>
        </w:rPr>
        <w:t>2021年增加34</w:t>
      </w:r>
      <w:r>
        <w:rPr>
          <w:rFonts w:eastAsia="仿宋_GB2312"/>
          <w:sz w:val="32"/>
          <w:szCs w:val="32"/>
        </w:rPr>
        <w:t>万元</w:t>
      </w:r>
      <w:r>
        <w:rPr>
          <w:rFonts w:hint="eastAsia" w:eastAsia="仿宋_GB2312"/>
          <w:sz w:val="32"/>
          <w:szCs w:val="32"/>
          <w:lang w:eastAsia="zh-CN"/>
        </w:rPr>
        <w:t>，主要增</w:t>
      </w:r>
      <w:r>
        <w:rPr>
          <w:rFonts w:hint="eastAsia" w:eastAsia="仿宋_GB2312"/>
          <w:sz w:val="32"/>
          <w:szCs w:val="32"/>
          <w:lang w:val="en-US" w:eastAsia="zh-CN"/>
        </w:rPr>
        <w:t>加</w:t>
      </w:r>
      <w:r>
        <w:rPr>
          <w:rFonts w:hint="eastAsia" w:eastAsia="仿宋_GB2312"/>
          <w:sz w:val="32"/>
          <w:szCs w:val="32"/>
          <w:lang w:eastAsia="zh-CN"/>
        </w:rPr>
        <w:t>原因是</w:t>
      </w:r>
      <w:r>
        <w:rPr>
          <w:rFonts w:hint="eastAsia" w:eastAsia="仿宋_GB2312"/>
          <w:sz w:val="32"/>
          <w:szCs w:val="32"/>
          <w:lang w:val="en-US" w:eastAsia="zh-CN"/>
        </w:rPr>
        <w:t>人员增加</w:t>
      </w:r>
      <w:r>
        <w:rPr>
          <w:rFonts w:hint="eastAsia" w:eastAsia="仿宋_GB2312"/>
          <w:sz w:val="32"/>
          <w:szCs w:val="32"/>
          <w:lang w:eastAsia="zh-CN"/>
        </w:rPr>
        <w:t>。</w:t>
      </w:r>
    </w:p>
    <w:p>
      <w:pPr>
        <w:spacing w:line="580" w:lineRule="exact"/>
        <w:rPr>
          <w:rFonts w:hint="eastAsia" w:eastAsia="黑体"/>
          <w:sz w:val="32"/>
          <w:szCs w:val="32"/>
          <w:lang w:val="en-US" w:eastAsia="zh-CN"/>
        </w:rPr>
      </w:pPr>
      <w:r>
        <w:rPr>
          <w:rFonts w:hint="eastAsia" w:eastAsia="黑体"/>
          <w:sz w:val="32"/>
          <w:szCs w:val="32"/>
          <w:lang w:val="en-US" w:eastAsia="zh-CN"/>
        </w:rPr>
        <w:t>六、机关运行经费安排情况说明</w:t>
      </w:r>
    </w:p>
    <w:p>
      <w:pPr>
        <w:numPr>
          <w:ilvl w:val="0"/>
          <w:numId w:val="0"/>
        </w:num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2021年本部门履行一般行政事业管理职能、维持机关运行，用于一般公共预算安排的行政运行经费，合计230.94万元。包括办公费及印刷费、邮电费、差旅费、会议费、福利费、日常维修费及一般设备购置费、网络运行维护费、办公用房水电费以及其他费用。</w:t>
      </w:r>
    </w:p>
    <w:p>
      <w:pPr>
        <w:spacing w:line="580" w:lineRule="exact"/>
        <w:rPr>
          <w:rFonts w:hint="eastAsia" w:eastAsia="黑体"/>
          <w:sz w:val="32"/>
          <w:szCs w:val="32"/>
          <w:lang w:val="en-US" w:eastAsia="zh-CN"/>
        </w:rPr>
      </w:pPr>
      <w:r>
        <w:rPr>
          <w:rFonts w:hint="eastAsia" w:eastAsia="黑体"/>
          <w:sz w:val="32"/>
          <w:szCs w:val="32"/>
          <w:lang w:val="en-US" w:eastAsia="zh-CN"/>
        </w:rPr>
        <w:t>七、政府采购安排情况说明</w:t>
      </w:r>
    </w:p>
    <w:p>
      <w:pPr>
        <w:numPr>
          <w:ilvl w:val="0"/>
          <w:numId w:val="0"/>
        </w:numPr>
        <w:spacing w:line="580" w:lineRule="exact"/>
        <w:ind w:firstLine="640" w:firstLineChars="200"/>
        <w:rPr>
          <w:rFonts w:hint="default" w:eastAsia="仿宋_GB2312"/>
          <w:sz w:val="32"/>
          <w:szCs w:val="32"/>
          <w:lang w:val="en-US"/>
        </w:rPr>
      </w:pPr>
      <w:r>
        <w:rPr>
          <w:rFonts w:hint="eastAsia" w:eastAsia="仿宋_GB2312"/>
          <w:sz w:val="32"/>
          <w:szCs w:val="32"/>
          <w:lang w:val="en-US" w:eastAsia="zh-CN"/>
        </w:rPr>
        <w:t>2021年涉及政府采购项目2个，预算资金2万元。主要用于购置计算机及复印机等设备。</w:t>
      </w:r>
    </w:p>
    <w:p>
      <w:pPr>
        <w:spacing w:line="580" w:lineRule="exact"/>
        <w:rPr>
          <w:rFonts w:hint="eastAsia" w:eastAsia="黑体"/>
          <w:sz w:val="32"/>
          <w:szCs w:val="32"/>
          <w:lang w:val="en-US" w:eastAsia="zh-CN"/>
        </w:rPr>
      </w:pPr>
      <w:r>
        <w:rPr>
          <w:rFonts w:hint="eastAsia" w:eastAsia="黑体"/>
          <w:sz w:val="32"/>
          <w:szCs w:val="32"/>
          <w:lang w:val="en-US" w:eastAsia="zh-CN"/>
        </w:rPr>
        <w:t>八、国有资产占用情况说明</w:t>
      </w:r>
    </w:p>
    <w:p>
      <w:pPr>
        <w:numPr>
          <w:ilvl w:val="0"/>
          <w:numId w:val="0"/>
        </w:num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本单位共有国有资产40.7万元，主要是：土地、房屋及构筑物 24万元；通用设备16.7万元（其中，车辆 0 万元）；专用设备 0 万元；文物和陈列品 0 万元；图书档案 0 万元；家具、用具、装具及动植物0万元。</w:t>
      </w:r>
    </w:p>
    <w:p>
      <w:pPr>
        <w:numPr>
          <w:ilvl w:val="0"/>
          <w:numId w:val="0"/>
        </w:numPr>
        <w:spacing w:line="580" w:lineRule="exact"/>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九、重点项目预算的绩效目标等预算绩效情况说明</w:t>
      </w:r>
    </w:p>
    <w:p>
      <w:pPr>
        <w:numPr>
          <w:ilvl w:val="0"/>
          <w:numId w:val="0"/>
        </w:numPr>
        <w:spacing w:line="580" w:lineRule="exact"/>
        <w:ind w:firstLine="320" w:firstLineChars="100"/>
        <w:rPr>
          <w:rFonts w:hint="eastAsia" w:eastAsia="仿宋_GB2312"/>
          <w:sz w:val="32"/>
          <w:szCs w:val="32"/>
          <w:lang w:val="en-US" w:eastAsia="zh-CN"/>
        </w:rPr>
      </w:pPr>
      <w:r>
        <w:rPr>
          <w:rFonts w:hint="eastAsia" w:eastAsia="仿宋_GB2312"/>
          <w:sz w:val="32"/>
          <w:szCs w:val="32"/>
          <w:lang w:val="en-US" w:eastAsia="zh-CN"/>
        </w:rPr>
        <w:t>1.项目绩效目标管理情况。</w:t>
      </w:r>
    </w:p>
    <w:p>
      <w:pPr>
        <w:numPr>
          <w:ilvl w:val="0"/>
          <w:numId w:val="0"/>
        </w:num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按照预算绩效管理要求，本部门对2021年一般公共预算项目支出开展了绩效目标管理，共编制绩效目标2个，涉及财政资金648.56万元，覆盖率达到100%。</w:t>
      </w:r>
    </w:p>
    <w:p>
      <w:pPr>
        <w:numPr>
          <w:ilvl w:val="0"/>
          <w:numId w:val="0"/>
        </w:numPr>
        <w:spacing w:line="580" w:lineRule="exact"/>
        <w:ind w:firstLine="320" w:firstLineChars="100"/>
        <w:rPr>
          <w:rFonts w:hint="eastAsia" w:eastAsia="仿宋_GB2312"/>
          <w:sz w:val="32"/>
          <w:szCs w:val="32"/>
          <w:lang w:val="en-US" w:eastAsia="zh-CN"/>
        </w:rPr>
      </w:pPr>
      <w:r>
        <w:rPr>
          <w:rFonts w:hint="eastAsia" w:eastAsia="仿宋_GB2312"/>
          <w:sz w:val="32"/>
          <w:szCs w:val="32"/>
          <w:lang w:val="en-US" w:eastAsia="zh-CN"/>
        </w:rPr>
        <w:t>2.部门整体支出绩效管理情况。</w:t>
      </w:r>
    </w:p>
    <w:p>
      <w:pPr>
        <w:numPr>
          <w:ilvl w:val="0"/>
          <w:numId w:val="0"/>
        </w:num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按照预算绩效管理要求，本部门对2021年整体支出开展绩效自评，主要情况如下：</w:t>
      </w:r>
    </w:p>
    <w:p>
      <w:pPr>
        <w:numPr>
          <w:ilvl w:val="0"/>
          <w:numId w:val="0"/>
        </w:num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一是产出指标中，数量指标：人员经费按月保障，公用经费按进度申报、支付，执行情况为正在按照指标执行，执行情况良好。质量指标：保障我乡在职人员32人的正常办公、生活秩序，满足基层政权基本运转，执行执行情况良好。时效指标：2021年度完成各项资金支出按进度完成，保障我乡各项工作顺利开展，执行情况良好。成本指标：总成本控制在648.56万元内，其中人员经费417.61万元，公用经费230.94万元，民生项目28万元，设备购置2万元。</w:t>
      </w:r>
    </w:p>
    <w:p>
      <w:pPr>
        <w:numPr>
          <w:ilvl w:val="0"/>
          <w:numId w:val="0"/>
        </w:num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二是效益指标中，经济效益指标：加强预算执行，节约政府运营成本，执行情况良好。社会效益指标：加强资金管理，提高老百姓的满意度和认可度，执行情况良好。生态效益指标：加强环境整治，改善我乡生态环境，维护我乡环境优美，执行情况良好。可持续影响指标：体现政策导向，保障工作长期平稳进行，执行情况良好。</w:t>
      </w:r>
    </w:p>
    <w:p>
      <w:pPr>
        <w:numPr>
          <w:ilvl w:val="0"/>
          <w:numId w:val="0"/>
        </w:numPr>
        <w:spacing w:line="58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三是满意度指标中，群众满意度指标：保障干部职工和人民群众有一个良好的工作、生活环境，保障群众满意度＞90%，执行情况为正在按照指标执行，执行情况良好。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right="0"/>
        <w:rPr>
          <w:rFonts w:hint="eastAsia" w:eastAsia="黑体"/>
          <w:kern w:val="2"/>
          <w:sz w:val="32"/>
          <w:szCs w:val="32"/>
          <w:lang w:val="en-US" w:eastAsia="zh-CN" w:bidi="ar-SA"/>
        </w:rPr>
      </w:pPr>
      <w:r>
        <w:rPr>
          <w:rFonts w:hint="eastAsia" w:eastAsia="黑体"/>
          <w:kern w:val="2"/>
          <w:sz w:val="32"/>
          <w:szCs w:val="32"/>
          <w:lang w:val="en-US" w:eastAsia="zh-CN" w:bidi="ar-SA"/>
        </w:rPr>
        <w:t>十、名词解释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1、财政拨款收入：指单位本年度从本级财政部门取得的财政拨款，包括一般公共预算财政拨款和政府性基金预算财政拨款。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2、上级补助收入：指事业单位从主管部门和上级单位取得的非财政补助收入。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3、事业收入：指事业单位开展专业业务活动及其辅助活动取得的收入。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4、经营收入：指事业单位在专业业务活动及其辅助活动之外开展非独立核算经营活动取得的收入。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default" w:eastAsia="仿宋_GB2312"/>
          <w:kern w:val="2"/>
          <w:sz w:val="32"/>
          <w:szCs w:val="32"/>
          <w:lang w:val="en-US" w:eastAsia="zh-CN" w:bidi="ar-SA"/>
        </w:rPr>
      </w:pPr>
      <w:r>
        <w:rPr>
          <w:rFonts w:hint="eastAsia" w:eastAsia="仿宋_GB2312"/>
          <w:kern w:val="2"/>
          <w:sz w:val="32"/>
          <w:szCs w:val="32"/>
          <w:lang w:val="en-US" w:eastAsia="zh-CN" w:bidi="ar-SA"/>
        </w:rPr>
        <w:t>5、附属单位上缴收入：指事业单位附属独立核算单位按照有关规定上缴的收入。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6、其他收入：指单位取得的除上述收入以外的各项收入。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ascii="方正仿宋简体" w:eastAsia="方正仿宋简体"/>
          <w:sz w:val="32"/>
          <w:szCs w:val="32"/>
        </w:rPr>
      </w:pPr>
      <w:r>
        <w:rPr>
          <w:rFonts w:hint="eastAsia" w:eastAsia="仿宋_GB2312"/>
          <w:kern w:val="2"/>
          <w:sz w:val="32"/>
          <w:szCs w:val="32"/>
          <w:lang w:val="en-US" w:eastAsia="zh-CN" w:bidi="ar-SA"/>
        </w:rPr>
        <w:t>7、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rPr>
          <w:rFonts w:hint="eastAsia" w:eastAsia="仿宋_GB2312"/>
          <w:sz w:val="32"/>
          <w:szCs w:val="32"/>
        </w:rPr>
      </w:pPr>
      <w:r>
        <w:rPr>
          <w:rFonts w:hint="eastAsia" w:eastAsia="黑体"/>
          <w:sz w:val="32"/>
          <w:szCs w:val="32"/>
          <w:lang w:eastAsia="zh-CN"/>
        </w:rPr>
        <w:t>十一</w:t>
      </w:r>
      <w:r>
        <w:rPr>
          <w:rFonts w:eastAsia="黑体"/>
          <w:sz w:val="32"/>
          <w:szCs w:val="32"/>
        </w:rPr>
        <w:t>、</w:t>
      </w:r>
      <w:r>
        <w:rPr>
          <w:rFonts w:hint="eastAsia" w:eastAsia="黑体"/>
          <w:sz w:val="32"/>
          <w:szCs w:val="32"/>
          <w:lang w:eastAsia="zh-CN"/>
        </w:rPr>
        <w:t>最新</w:t>
      </w:r>
      <w:r>
        <w:rPr>
          <w:rFonts w:eastAsia="黑体"/>
          <w:sz w:val="32"/>
          <w:szCs w:val="32"/>
        </w:rPr>
        <w:t>部门预算</w:t>
      </w:r>
      <w:r>
        <w:rPr>
          <w:rFonts w:hint="eastAsia" w:eastAsia="黑体"/>
          <w:sz w:val="32"/>
          <w:szCs w:val="32"/>
          <w:lang w:eastAsia="zh-CN"/>
        </w:rPr>
        <w:t>公开</w:t>
      </w:r>
      <w:r>
        <w:rPr>
          <w:rFonts w:eastAsia="黑体"/>
          <w:sz w:val="32"/>
          <w:szCs w:val="32"/>
        </w:rPr>
        <w:t>表</w:t>
      </w: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r>
        <w:rPr>
          <w:rFonts w:eastAsia="仿宋_GB2312"/>
          <w:sz w:val="32"/>
          <w:szCs w:val="32"/>
        </w:rPr>
        <w:t>附件</w:t>
      </w:r>
      <w:r>
        <w:rPr>
          <w:rFonts w:hint="eastAsia" w:eastAsia="仿宋_GB2312"/>
          <w:sz w:val="32"/>
          <w:szCs w:val="32"/>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b/>
          <w:sz w:val="44"/>
          <w:szCs w:val="44"/>
        </w:rPr>
      </w:pPr>
      <w:r>
        <w:rPr>
          <w:rFonts w:hint="eastAsia" w:hAnsi="宋体"/>
          <w:b/>
          <w:sz w:val="44"/>
          <w:szCs w:val="44"/>
          <w:lang w:eastAsia="zh-CN"/>
        </w:rPr>
        <w:t>万源市庙子乡人民政府</w:t>
      </w:r>
      <w:r>
        <w:rPr>
          <w:rFonts w:hAnsi="宋体"/>
          <w:b/>
          <w:sz w:val="44"/>
          <w:szCs w:val="44"/>
        </w:rPr>
        <w:t>关于财政拨款</w:t>
      </w:r>
      <w:r>
        <w:rPr>
          <w:b/>
          <w:sz w:val="44"/>
          <w:szCs w:val="44"/>
        </w:rPr>
        <w:t>“</w:t>
      </w:r>
      <w:r>
        <w:rPr>
          <w:rFonts w:hAnsi="宋体"/>
          <w:b/>
          <w:sz w:val="44"/>
          <w:szCs w:val="44"/>
        </w:rPr>
        <w:t>三公</w:t>
      </w:r>
      <w:r>
        <w:rPr>
          <w:b/>
          <w:sz w:val="44"/>
          <w:szCs w:val="44"/>
        </w:rPr>
        <w:t>”</w:t>
      </w:r>
      <w:r>
        <w:rPr>
          <w:rFonts w:hAnsi="宋体"/>
          <w:b/>
          <w:sz w:val="44"/>
          <w:szCs w:val="44"/>
        </w:rPr>
        <w:t>经费</w:t>
      </w:r>
      <w:r>
        <w:rPr>
          <w:rFonts w:hint="eastAsia"/>
          <w:b/>
          <w:sz w:val="44"/>
          <w:szCs w:val="44"/>
          <w:lang w:eastAsia="zh-CN"/>
        </w:rPr>
        <w:t>2021</w:t>
      </w:r>
      <w:r>
        <w:rPr>
          <w:rFonts w:hAnsi="宋体"/>
          <w:b/>
          <w:sz w:val="44"/>
          <w:szCs w:val="44"/>
        </w:rPr>
        <w:t>年预算情况的说明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Ansi="宋体"/>
          <w:b/>
          <w:sz w:val="44"/>
          <w:szCs w:val="4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庙子乡人民政府2021年度财政拨款“三公”经费预算情况如下：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一、因公出</w:t>
      </w:r>
      <w:bookmarkStart w:id="0" w:name="_GoBack"/>
      <w:bookmarkEnd w:id="0"/>
      <w:r>
        <w:rPr>
          <w:rFonts w:hint="eastAsia" w:eastAsia="仿宋_GB2312"/>
          <w:kern w:val="2"/>
          <w:sz w:val="32"/>
          <w:szCs w:val="32"/>
          <w:lang w:val="en-US" w:eastAsia="zh-CN" w:bidi="ar-SA"/>
        </w:rPr>
        <w:t>国（境）经费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2021年庙子乡人民政府无因公出国出境预算，预算数为0。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二、公务用车购置及运行维护费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2021年庙子乡人民政府无公务用车，预算数为0。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三、公务接待费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2021年本乡公务接待费预算1.8万元，主要用于开展上级部门来我想检查工作生活接待，村社干部召开工作会接待等方面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5" w:lineRule="atLeast"/>
        <w:ind w:left="0" w:right="0" w:firstLine="360"/>
        <w:rPr>
          <w:rFonts w:hint="eastAsia" w:eastAsia="仿宋_GB2312"/>
          <w:kern w:val="2"/>
          <w:sz w:val="32"/>
          <w:szCs w:val="32"/>
          <w:lang w:val="en-US" w:eastAsia="zh-CN" w:bidi="ar-SA"/>
        </w:rPr>
      </w:pPr>
      <w:r>
        <w:rPr>
          <w:rFonts w:hint="eastAsia" w:eastAsia="仿宋_GB2312"/>
          <w:kern w:val="2"/>
          <w:sz w:val="32"/>
          <w:szCs w:val="32"/>
          <w:lang w:val="en-US" w:eastAsia="zh-CN" w:bidi="ar-SA"/>
        </w:rPr>
        <w:t>附件：2021年庙子乡“三公”经费财政拨款预算表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宋体" w:hAnsi="宋体"/>
          <w:sz w:val="32"/>
          <w:szCs w:val="32"/>
        </w:rPr>
      </w:pPr>
    </w:p>
    <w:p>
      <w:pPr>
        <w:rPr>
          <w:rFonts w:hint="eastAsia" w:eastAsia="仿宋_GB2312"/>
          <w:sz w:val="32"/>
          <w:szCs w:val="32"/>
        </w:rPr>
      </w:pPr>
    </w:p>
    <w:p>
      <w:pPr>
        <w:rPr>
          <w:rFonts w:hint="eastAsia" w:eastAsia="仿宋_GB2312"/>
          <w:sz w:val="32"/>
          <w:szCs w:val="32"/>
        </w:rPr>
      </w:pPr>
    </w:p>
    <w:p>
      <w:pPr>
        <w:rPr>
          <w:rFonts w:hint="eastAsia"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MTM0YmVjN2JiYTBlNzc4OWY0YWUyMzU4OTE3NDUifQ=="/>
  </w:docVars>
  <w:rsids>
    <w:rsidRoot w:val="7FEA31C7"/>
    <w:rsid w:val="06FD2DC8"/>
    <w:rsid w:val="0DB717F6"/>
    <w:rsid w:val="1F2878A2"/>
    <w:rsid w:val="20A31393"/>
    <w:rsid w:val="20EE5639"/>
    <w:rsid w:val="218035AF"/>
    <w:rsid w:val="25587F76"/>
    <w:rsid w:val="28772F09"/>
    <w:rsid w:val="32993D72"/>
    <w:rsid w:val="333C424B"/>
    <w:rsid w:val="33BB4072"/>
    <w:rsid w:val="36796EAD"/>
    <w:rsid w:val="38541CC7"/>
    <w:rsid w:val="3A3E677A"/>
    <w:rsid w:val="426D3347"/>
    <w:rsid w:val="45F91E21"/>
    <w:rsid w:val="49E36A72"/>
    <w:rsid w:val="4C8F2CF2"/>
    <w:rsid w:val="52D860CF"/>
    <w:rsid w:val="5686132F"/>
    <w:rsid w:val="61110983"/>
    <w:rsid w:val="69E61F5A"/>
    <w:rsid w:val="6F1A47E6"/>
    <w:rsid w:val="76C358FC"/>
    <w:rsid w:val="78E51DAF"/>
    <w:rsid w:val="7FEA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widowControl w:val="0"/>
      <w:adjustRightInd/>
      <w:snapToGrid/>
      <w:spacing w:after="0"/>
      <w:ind w:left="420" w:leftChars="200"/>
      <w:jc w:val="both"/>
    </w:pPr>
    <w:rPr>
      <w:rFonts w:ascii="Times New Roman" w:hAnsi="Times New Roman" w:eastAsia="宋体" w:cs="Times New Roman"/>
      <w:kern w:val="2"/>
      <w:sz w:val="21"/>
      <w:szCs w:val="20"/>
    </w:r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2656</Words>
  <Characters>2805</Characters>
  <Lines>0</Lines>
  <Paragraphs>0</Paragraphs>
  <TotalTime>1</TotalTime>
  <ScaleCrop>false</ScaleCrop>
  <LinksUpToDate>false</LinksUpToDate>
  <CharactersWithSpaces>2824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2020-06-18T02:51:00Z</dcterms:created>
  <dc:creator>lenovo</dc:creator>
  <cp:lastModifiedBy>WPS_855001085</cp:lastModifiedBy>
  <dcterms:modified xsi:type="dcterms:W3CDTF">2022-06-21T00:43:10Z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F221A78E5B864C2999D2789B843B3621</vt:lpwstr>
  </property>
</Properties>
</file>