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line="800" w:lineRule="exact"/>
        <w:jc w:val="center"/>
        <w:rPr>
          <w:rFonts w:ascii="黑体" w:hAnsi="黑体" w:eastAsia="黑体" w:cs="黑体"/>
          <w:sz w:val="48"/>
          <w:szCs w:val="48"/>
        </w:rPr>
      </w:pPr>
    </w:p>
    <w:p>
      <w:pPr>
        <w:spacing w:afterLines="50" w:line="800" w:lineRule="exact"/>
        <w:jc w:val="center"/>
        <w:rPr>
          <w:rFonts w:ascii="黑体" w:hAnsi="黑体" w:eastAsia="黑体" w:cs="黑体"/>
          <w:sz w:val="48"/>
          <w:szCs w:val="48"/>
        </w:rPr>
      </w:pPr>
    </w:p>
    <w:p>
      <w:pPr>
        <w:spacing w:afterLines="50" w:line="800" w:lineRule="exact"/>
        <w:jc w:val="center"/>
        <w:rPr>
          <w:rFonts w:ascii="黑体" w:hAnsi="黑体" w:eastAsia="黑体" w:cs="黑体"/>
          <w:sz w:val="48"/>
          <w:szCs w:val="48"/>
        </w:rPr>
      </w:pPr>
    </w:p>
    <w:p>
      <w:pPr>
        <w:spacing w:afterLines="50" w:line="800" w:lineRule="exact"/>
        <w:jc w:val="center"/>
        <w:rPr>
          <w:rFonts w:ascii="黑体" w:hAnsi="黑体" w:eastAsia="黑体" w:cs="黑体"/>
          <w:sz w:val="48"/>
          <w:szCs w:val="48"/>
        </w:rPr>
      </w:pPr>
    </w:p>
    <w:p>
      <w:pPr>
        <w:spacing w:afterLines="50" w:line="800" w:lineRule="exact"/>
        <w:jc w:val="center"/>
      </w:pPr>
      <w:r>
        <w:rPr>
          <w:rFonts w:hint="eastAsia" w:ascii="黑体" w:hAnsi="黑体" w:eastAsia="黑体" w:cs="黑体"/>
          <w:sz w:val="48"/>
          <w:szCs w:val="48"/>
        </w:rPr>
        <w:t>万源市</w:t>
      </w:r>
      <w:r>
        <w:rPr>
          <w:rFonts w:hint="eastAsia" w:ascii="Times New Roman" w:hAnsi="Times New Roman" w:eastAsia="黑体"/>
          <w:sz w:val="48"/>
          <w:szCs w:val="48"/>
        </w:rPr>
        <w:t>基础测绘</w:t>
      </w:r>
      <w:r>
        <w:rPr>
          <w:rFonts w:hint="eastAsia" w:ascii="仿宋"/>
          <w:sz w:val="48"/>
          <w:szCs w:val="48"/>
        </w:rPr>
        <w:t>“</w:t>
      </w:r>
      <w:r>
        <w:rPr>
          <w:rFonts w:hint="eastAsia" w:ascii="黑体" w:hAnsi="黑体" w:eastAsia="黑体"/>
          <w:sz w:val="48"/>
          <w:szCs w:val="48"/>
        </w:rPr>
        <w:t>十四五</w:t>
      </w:r>
      <w:r>
        <w:rPr>
          <w:rFonts w:hint="eastAsia" w:ascii="仿宋"/>
          <w:sz w:val="48"/>
          <w:szCs w:val="48"/>
        </w:rPr>
        <w:t>”</w:t>
      </w:r>
      <w:r>
        <w:rPr>
          <w:rFonts w:hint="eastAsia" w:ascii="Times New Roman" w:hAnsi="Times New Roman" w:eastAsia="黑体"/>
          <w:sz w:val="48"/>
          <w:szCs w:val="48"/>
        </w:rPr>
        <w:t>规划</w:t>
      </w:r>
      <w:r>
        <w:rPr>
          <w:rFonts w:hint="eastAsia" w:ascii="Times New Roman" w:hAnsi="Times New Roman" w:eastAsia="黑体" w:cs="Times New Roman"/>
          <w:sz w:val="48"/>
          <w:szCs w:val="48"/>
        </w:rPr>
        <w:t>（2</w:t>
      </w:r>
      <w:r>
        <w:rPr>
          <w:rFonts w:ascii="Times New Roman" w:hAnsi="Times New Roman" w:eastAsia="黑体" w:cs="Times New Roman"/>
          <w:sz w:val="48"/>
          <w:szCs w:val="48"/>
        </w:rPr>
        <w:t>021-2025</w:t>
      </w:r>
      <w:r>
        <w:rPr>
          <w:rFonts w:hint="eastAsia" w:ascii="Times New Roman" w:hAnsi="Times New Roman" w:eastAsia="黑体" w:cs="Times New Roman"/>
          <w:sz w:val="48"/>
          <w:szCs w:val="48"/>
        </w:rPr>
        <w:t>）</w:t>
      </w:r>
    </w:p>
    <w:p>
      <w:pPr>
        <w:jc w:val="center"/>
        <w:rPr>
          <w:rFonts w:ascii="Times New Roman" w:hAnsi="Times New Roman" w:eastAsia="楷体"/>
          <w:sz w:val="48"/>
          <w:szCs w:val="48"/>
        </w:rPr>
      </w:pPr>
      <w:r>
        <w:rPr>
          <w:rFonts w:hint="eastAsia" w:ascii="Times New Roman" w:hAnsi="Times New Roman" w:eastAsia="楷体"/>
          <w:sz w:val="48"/>
          <w:szCs w:val="48"/>
        </w:rPr>
        <w:t>（征询意见稿）</w:t>
      </w:r>
    </w:p>
    <w:p>
      <w:pPr>
        <w:spacing w:afterLines="50" w:line="800" w:lineRule="exact"/>
        <w:jc w:val="center"/>
        <w:rPr>
          <w:rFonts w:ascii="黑体" w:hAnsi="黑体" w:eastAsia="黑体"/>
          <w:b/>
          <w:sz w:val="36"/>
          <w:szCs w:val="44"/>
        </w:rPr>
      </w:pPr>
    </w:p>
    <w:p>
      <w:pPr>
        <w:spacing w:afterLines="50" w:line="800" w:lineRule="exact"/>
        <w:jc w:val="center"/>
        <w:rPr>
          <w:rFonts w:ascii="黑体" w:hAnsi="黑体" w:eastAsia="黑体"/>
          <w:b/>
          <w:sz w:val="36"/>
          <w:szCs w:val="44"/>
        </w:rPr>
      </w:pPr>
    </w:p>
    <w:p>
      <w:pPr>
        <w:spacing w:afterLines="50" w:line="800" w:lineRule="exact"/>
        <w:jc w:val="center"/>
        <w:rPr>
          <w:rFonts w:ascii="黑体" w:hAnsi="黑体" w:eastAsia="黑体"/>
          <w:b/>
          <w:sz w:val="36"/>
          <w:szCs w:val="44"/>
        </w:rPr>
      </w:pPr>
    </w:p>
    <w:p>
      <w:pPr>
        <w:spacing w:afterLines="50" w:line="800" w:lineRule="exact"/>
        <w:jc w:val="center"/>
        <w:rPr>
          <w:rFonts w:ascii="黑体" w:hAnsi="黑体" w:eastAsia="黑体"/>
          <w:b/>
          <w:sz w:val="36"/>
          <w:szCs w:val="44"/>
        </w:rPr>
      </w:pPr>
    </w:p>
    <w:p>
      <w:pPr>
        <w:spacing w:afterLines="50" w:line="800" w:lineRule="exact"/>
        <w:jc w:val="center"/>
        <w:rPr>
          <w:rFonts w:ascii="黑体" w:hAnsi="黑体" w:eastAsia="黑体"/>
          <w:b/>
          <w:sz w:val="36"/>
          <w:szCs w:val="44"/>
        </w:rPr>
      </w:pPr>
    </w:p>
    <w:p>
      <w:pPr>
        <w:spacing w:afterLines="50" w:line="600" w:lineRule="auto"/>
        <w:jc w:val="center"/>
        <w:rPr>
          <w:rFonts w:ascii="黑体" w:hAnsi="黑体" w:eastAsia="黑体"/>
          <w:b/>
          <w:sz w:val="36"/>
          <w:szCs w:val="44"/>
        </w:rPr>
      </w:pPr>
      <w:r>
        <w:rPr>
          <w:rFonts w:hint="eastAsia" w:ascii="黑体" w:hAnsi="黑体" w:eastAsia="黑体"/>
          <w:b/>
          <w:sz w:val="36"/>
          <w:szCs w:val="44"/>
        </w:rPr>
        <w:t>万源市自然资源局</w:t>
      </w:r>
    </w:p>
    <w:p>
      <w:pPr>
        <w:pStyle w:val="2"/>
        <w:spacing w:line="600" w:lineRule="auto"/>
        <w:ind w:left="0" w:leftChars="0"/>
        <w:jc w:val="center"/>
        <w:rPr>
          <w:rFonts w:ascii="黑体" w:hAnsi="黑体" w:eastAsia="黑体"/>
          <w:b/>
          <w:sz w:val="36"/>
          <w:szCs w:val="44"/>
        </w:rPr>
      </w:pPr>
      <w:r>
        <w:rPr>
          <w:rFonts w:hint="eastAsia" w:ascii="黑体" w:hAnsi="黑体" w:eastAsia="黑体"/>
          <w:b/>
          <w:sz w:val="36"/>
          <w:szCs w:val="44"/>
        </w:rPr>
        <w:t>四川地元地质勘查有限公司</w:t>
      </w:r>
    </w:p>
    <w:p>
      <w:pPr>
        <w:pStyle w:val="2"/>
        <w:spacing w:line="600" w:lineRule="auto"/>
        <w:ind w:left="0" w:leftChars="0"/>
        <w:jc w:val="center"/>
        <w:rPr>
          <w:rFonts w:ascii="黑体" w:hAnsi="黑体" w:eastAsia="黑体" w:cs="黑体"/>
          <w:sz w:val="48"/>
          <w:szCs w:val="48"/>
        </w:rPr>
      </w:pPr>
      <w:r>
        <w:rPr>
          <w:rFonts w:ascii="Times New Roman" w:hAnsi="Times New Roman" w:eastAsia="黑体"/>
          <w:b/>
          <w:sz w:val="36"/>
          <w:szCs w:val="44"/>
        </w:rPr>
        <w:t>2021</w:t>
      </w:r>
      <w:r>
        <w:rPr>
          <w:rFonts w:hint="eastAsia" w:ascii="Times New Roman" w:hAnsi="Times New Roman" w:eastAsia="黑体"/>
          <w:b/>
          <w:sz w:val="36"/>
          <w:szCs w:val="44"/>
        </w:rPr>
        <w:t>年12月</w:t>
      </w:r>
    </w:p>
    <w:p>
      <w:pPr>
        <w:pStyle w:val="2"/>
        <w:sectPr>
          <w:headerReference r:id="rId4" w:type="default"/>
          <w:pgSz w:w="11906" w:h="16838"/>
          <w:pgMar w:top="1440" w:right="1800" w:bottom="1440" w:left="1800" w:header="851" w:footer="992" w:gutter="0"/>
          <w:pgNumType w:fmt="upperRoman"/>
          <w:cols w:space="425" w:num="1"/>
          <w:docGrid w:type="lines" w:linePitch="312" w:charSpace="0"/>
        </w:sectPr>
      </w:pPr>
    </w:p>
    <w:sdt>
      <w:sdtPr>
        <w:rPr>
          <w:rFonts w:ascii="宋体" w:hAnsi="宋体" w:eastAsia="宋体"/>
        </w:rPr>
        <w:id w:val="147453406"/>
        <w:docPartObj>
          <w:docPartGallery w:val="Table of Contents"/>
          <w:docPartUnique/>
        </w:docPartObj>
      </w:sdtPr>
      <w:sdtEndPr>
        <w:rPr>
          <w:rFonts w:ascii="宋体" w:hAnsi="宋体" w:eastAsia="宋体"/>
        </w:rPr>
      </w:sdtEndPr>
      <w:sdtContent>
        <w:p>
          <w:pPr>
            <w:jc w:val="center"/>
          </w:pPr>
          <w:r>
            <w:rPr>
              <w:rFonts w:ascii="宋体" w:hAnsi="宋体" w:eastAsia="宋体"/>
            </w:rPr>
            <w:t>目录</w:t>
          </w:r>
        </w:p>
        <w:p>
          <w:pPr>
            <w:pStyle w:val="11"/>
            <w:tabs>
              <w:tab w:val="right" w:leader="dot" w:pos="8306"/>
            </w:tabs>
          </w:pPr>
          <w:r>
            <w:fldChar w:fldCharType="begin"/>
          </w:r>
          <w:r>
            <w:instrText xml:space="preserve">TOC \o "1-3" \h \u </w:instrText>
          </w:r>
          <w:r>
            <w:fldChar w:fldCharType="separate"/>
          </w:r>
          <w:r>
            <w:fldChar w:fldCharType="begin"/>
          </w:r>
          <w:r>
            <w:instrText xml:space="preserve"> HYPERLINK \l "_Toc31331" </w:instrText>
          </w:r>
          <w:r>
            <w:fldChar w:fldCharType="separate"/>
          </w:r>
          <w:r>
            <w:rPr>
              <w:rFonts w:hint="eastAsia" w:ascii="楷体" w:hAnsi="楷体" w:eastAsia="楷体" w:cs="楷体"/>
              <w:szCs w:val="48"/>
            </w:rPr>
            <w:t>前言</w:t>
          </w:r>
          <w:r>
            <w:tab/>
          </w:r>
          <w:r>
            <w:fldChar w:fldCharType="begin"/>
          </w:r>
          <w:r>
            <w:instrText xml:space="preserve"> PAGEREF _Toc31331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"_Toc11330" </w:instrText>
          </w:r>
          <w:r>
            <w:fldChar w:fldCharType="separate"/>
          </w:r>
          <w:r>
            <w:rPr>
              <w:rFonts w:hint="eastAsia" w:ascii="Times New Roman" w:hAnsi="Times New Roman" w:eastAsia="楷体" w:cs="Times New Roman"/>
              <w:szCs w:val="44"/>
            </w:rPr>
            <w:t>第</w:t>
          </w:r>
          <w:r>
            <w:rPr>
              <w:rFonts w:hint="eastAsia" w:ascii="楷体" w:hAnsi="楷体" w:eastAsia="楷体" w:cs="楷体"/>
              <w:szCs w:val="44"/>
            </w:rPr>
            <w:t>一</w:t>
          </w:r>
          <w:r>
            <w:rPr>
              <w:rFonts w:hint="eastAsia" w:ascii="Times New Roman" w:hAnsi="Times New Roman" w:eastAsia="楷体" w:cs="Times New Roman"/>
              <w:szCs w:val="44"/>
            </w:rPr>
            <w:t>章 规划背景</w:t>
          </w:r>
          <w:r>
            <w:tab/>
          </w:r>
          <w:r>
            <w:fldChar w:fldCharType="begin"/>
          </w:r>
          <w:r>
            <w:instrText xml:space="preserve"> PAGEREF _Toc11330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"_Toc16559" </w:instrText>
          </w:r>
          <w:r>
            <w:fldChar w:fldCharType="separate"/>
          </w:r>
          <w:r>
            <w:rPr>
              <w:rFonts w:hint="eastAsia" w:ascii="楷体" w:hAnsi="楷体" w:eastAsia="楷体" w:cs="楷体"/>
              <w:bCs/>
              <w:szCs w:val="32"/>
            </w:rPr>
            <w:t>一、发展基础</w:t>
          </w:r>
          <w:r>
            <w:tab/>
          </w:r>
          <w:r>
            <w:fldChar w:fldCharType="begin"/>
          </w:r>
          <w:r>
            <w:instrText xml:space="preserve"> PAGEREF _Toc16559 \h </w:instrText>
          </w:r>
          <w:r>
            <w:fldChar w:fldCharType="separate"/>
          </w:r>
          <w:r>
            <w:t>2</w:t>
          </w:r>
          <w:r>
            <w:fldChar w:fldCharType="end"/>
          </w:r>
          <w:r>
            <w:fldChar w:fldCharType="end"/>
          </w:r>
        </w:p>
        <w:p>
          <w:pPr>
            <w:pStyle w:val="7"/>
            <w:tabs>
              <w:tab w:val="right" w:leader="dot" w:pos="8306"/>
            </w:tabs>
          </w:pPr>
          <w:r>
            <w:fldChar w:fldCharType="begin"/>
          </w:r>
          <w:r>
            <w:instrText xml:space="preserve"> HYPERLINK \l "_Toc19639" </w:instrText>
          </w:r>
          <w:r>
            <w:fldChar w:fldCharType="separate"/>
          </w:r>
          <w:r>
            <w:rPr>
              <w:rFonts w:hint="eastAsia" w:ascii="楷体" w:hAnsi="楷体" w:eastAsia="楷体" w:cs="楷体"/>
              <w:bCs/>
              <w:szCs w:val="30"/>
            </w:rPr>
            <w:t>1、发展现状</w:t>
          </w:r>
          <w:r>
            <w:tab/>
          </w:r>
          <w:r>
            <w:fldChar w:fldCharType="begin"/>
          </w:r>
          <w:r>
            <w:instrText xml:space="preserve"> PAGEREF _Toc19639 \h </w:instrText>
          </w:r>
          <w:r>
            <w:fldChar w:fldCharType="separate"/>
          </w:r>
          <w:r>
            <w:t>2</w:t>
          </w:r>
          <w:r>
            <w:fldChar w:fldCharType="end"/>
          </w:r>
          <w:r>
            <w:fldChar w:fldCharType="end"/>
          </w:r>
        </w:p>
        <w:p>
          <w:pPr>
            <w:pStyle w:val="7"/>
            <w:tabs>
              <w:tab w:val="right" w:leader="dot" w:pos="8306"/>
            </w:tabs>
          </w:pPr>
          <w:r>
            <w:fldChar w:fldCharType="begin"/>
          </w:r>
          <w:r>
            <w:instrText xml:space="preserve"> HYPERLINK \l "_Toc13923" </w:instrText>
          </w:r>
          <w:r>
            <w:fldChar w:fldCharType="separate"/>
          </w:r>
          <w:r>
            <w:rPr>
              <w:rFonts w:hint="eastAsia" w:ascii="楷体" w:hAnsi="楷体" w:eastAsia="楷体" w:cs="楷体"/>
              <w:bCs/>
              <w:szCs w:val="30"/>
            </w:rPr>
            <w:t>2、存在不足</w:t>
          </w:r>
          <w:r>
            <w:tab/>
          </w:r>
          <w:r>
            <w:fldChar w:fldCharType="begin"/>
          </w:r>
          <w:r>
            <w:instrText xml:space="preserve"> PAGEREF _Toc13923 \h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"_Toc21253" </w:instrText>
          </w:r>
          <w:r>
            <w:fldChar w:fldCharType="separate"/>
          </w:r>
          <w:r>
            <w:rPr>
              <w:rFonts w:hint="eastAsia" w:ascii="楷体" w:hAnsi="楷体" w:eastAsia="楷体" w:cs="楷体"/>
              <w:bCs/>
              <w:szCs w:val="32"/>
            </w:rPr>
            <w:t>二、形势分析</w:t>
          </w:r>
          <w:r>
            <w:tab/>
          </w:r>
          <w:r>
            <w:fldChar w:fldCharType="begin"/>
          </w:r>
          <w:r>
            <w:instrText xml:space="preserve"> PAGEREF _Toc21253 \h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"_Toc10081" </w:instrText>
          </w:r>
          <w:r>
            <w:fldChar w:fldCharType="separate"/>
          </w:r>
          <w:r>
            <w:rPr>
              <w:rFonts w:hint="eastAsia" w:ascii="楷体" w:hAnsi="楷体" w:eastAsia="楷体" w:cs="楷体"/>
              <w:bCs/>
              <w:szCs w:val="30"/>
            </w:rPr>
            <w:t>1、万源市重大战略发展提出的新需求</w:t>
          </w:r>
          <w:r>
            <w:tab/>
          </w:r>
          <w:r>
            <w:fldChar w:fldCharType="begin"/>
          </w:r>
          <w:r>
            <w:instrText xml:space="preserve"> PAGEREF _Toc10081 \h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"_Toc17906" </w:instrText>
          </w:r>
          <w:r>
            <w:fldChar w:fldCharType="separate"/>
          </w:r>
          <w:r>
            <w:rPr>
              <w:rFonts w:hint="eastAsia" w:ascii="楷体" w:hAnsi="楷体" w:eastAsia="楷体" w:cs="楷体"/>
              <w:bCs/>
              <w:szCs w:val="30"/>
            </w:rPr>
            <w:t>2、自然资源“两统一”职责履行提出新需求</w:t>
          </w:r>
          <w:r>
            <w:tab/>
          </w:r>
          <w:r>
            <w:fldChar w:fldCharType="begin"/>
          </w:r>
          <w:r>
            <w:instrText xml:space="preserve"> PAGEREF _Toc17906 \h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"_Toc2050" </w:instrText>
          </w:r>
          <w:r>
            <w:fldChar w:fldCharType="separate"/>
          </w:r>
          <w:r>
            <w:rPr>
              <w:rFonts w:hint="eastAsia" w:ascii="楷体" w:hAnsi="楷体" w:eastAsia="楷体" w:cs="楷体"/>
              <w:bCs/>
              <w:szCs w:val="30"/>
            </w:rPr>
            <w:t>3、社会民生服务提出新需求</w:t>
          </w:r>
          <w:r>
            <w:tab/>
          </w:r>
          <w:r>
            <w:fldChar w:fldCharType="begin"/>
          </w:r>
          <w:r>
            <w:instrText xml:space="preserve"> PAGEREF _Toc2050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"_Toc22137" </w:instrText>
          </w:r>
          <w:r>
            <w:fldChar w:fldCharType="separate"/>
          </w:r>
          <w:r>
            <w:rPr>
              <w:rFonts w:hint="eastAsia" w:ascii="楷体" w:hAnsi="楷体" w:eastAsia="楷体" w:cs="楷体"/>
              <w:bCs/>
              <w:szCs w:val="30"/>
            </w:rPr>
            <w:t>4、万源市旅游发展提出新需求</w:t>
          </w:r>
          <w:r>
            <w:tab/>
          </w:r>
          <w:r>
            <w:fldChar w:fldCharType="begin"/>
          </w:r>
          <w:r>
            <w:instrText xml:space="preserve"> PAGEREF _Toc22137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"_Toc9039" </w:instrText>
          </w:r>
          <w:r>
            <w:fldChar w:fldCharType="separate"/>
          </w:r>
          <w:r>
            <w:rPr>
              <w:rFonts w:hint="eastAsia" w:ascii="楷体" w:hAnsi="楷体" w:eastAsia="楷体" w:cs="楷体"/>
              <w:bCs/>
              <w:szCs w:val="30"/>
            </w:rPr>
            <w:t>5、综合交通运输提出新需求</w:t>
          </w:r>
          <w:r>
            <w:tab/>
          </w:r>
          <w:r>
            <w:fldChar w:fldCharType="begin"/>
          </w:r>
          <w:r>
            <w:instrText xml:space="preserve"> PAGEREF _Toc9039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"_Toc29074" </w:instrText>
          </w:r>
          <w:r>
            <w:fldChar w:fldCharType="separate"/>
          </w:r>
          <w:r>
            <w:rPr>
              <w:rFonts w:hint="eastAsia" w:ascii="楷体" w:hAnsi="楷体" w:eastAsia="楷体" w:cs="楷体"/>
              <w:bCs/>
              <w:szCs w:val="30"/>
            </w:rPr>
            <w:t>6、城镇功能质量提升提出新需求</w:t>
          </w:r>
          <w:r>
            <w:tab/>
          </w:r>
          <w:r>
            <w:fldChar w:fldCharType="begin"/>
          </w:r>
          <w:r>
            <w:instrText xml:space="preserve"> PAGEREF _Toc29074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"_Toc4133" </w:instrText>
          </w:r>
          <w:r>
            <w:fldChar w:fldCharType="separate"/>
          </w:r>
          <w:r>
            <w:rPr>
              <w:rFonts w:hint="eastAsia" w:ascii="楷体" w:hAnsi="楷体" w:eastAsia="楷体" w:cs="楷体"/>
              <w:bCs/>
              <w:szCs w:val="30"/>
            </w:rPr>
            <w:t>7、现代化水利建设提出新需求</w:t>
          </w:r>
          <w:r>
            <w:tab/>
          </w:r>
          <w:r>
            <w:fldChar w:fldCharType="begin"/>
          </w:r>
          <w:r>
            <w:instrText xml:space="preserve"> PAGEREF _Toc4133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"_Toc24899" </w:instrText>
          </w:r>
          <w:r>
            <w:fldChar w:fldCharType="separate"/>
          </w:r>
          <w:r>
            <w:rPr>
              <w:rFonts w:hint="eastAsia" w:ascii="楷体" w:hAnsi="楷体" w:eastAsia="楷体" w:cs="楷体"/>
              <w:bCs/>
              <w:szCs w:val="30"/>
            </w:rPr>
            <w:t>8、灾害预警及应急能力提出新需求</w:t>
          </w:r>
          <w:r>
            <w:tab/>
          </w:r>
          <w:r>
            <w:fldChar w:fldCharType="begin"/>
          </w:r>
          <w:r>
            <w:instrText xml:space="preserve"> PAGEREF _Toc24899 \h </w:instrText>
          </w:r>
          <w:r>
            <w:fldChar w:fldCharType="separate"/>
          </w:r>
          <w:r>
            <w:t>10</w:t>
          </w:r>
          <w:r>
            <w:fldChar w:fldCharType="end"/>
          </w:r>
          <w:r>
            <w:fldChar w:fldCharType="end"/>
          </w:r>
        </w:p>
        <w:p>
          <w:pPr>
            <w:pStyle w:val="11"/>
            <w:tabs>
              <w:tab w:val="right" w:leader="dot" w:pos="8306"/>
            </w:tabs>
          </w:pPr>
          <w:r>
            <w:fldChar w:fldCharType="begin"/>
          </w:r>
          <w:r>
            <w:instrText xml:space="preserve"> HYPERLINK \l "_Toc19604" </w:instrText>
          </w:r>
          <w:r>
            <w:fldChar w:fldCharType="separate"/>
          </w:r>
          <w:r>
            <w:rPr>
              <w:rFonts w:hint="eastAsia" w:ascii="Times New Roman" w:hAnsi="Times New Roman" w:eastAsia="楷体" w:cs="Times New Roman"/>
              <w:szCs w:val="44"/>
            </w:rPr>
            <w:t>第二章 总体要求</w:t>
          </w:r>
          <w:r>
            <w:tab/>
          </w:r>
          <w:r>
            <w:fldChar w:fldCharType="begin"/>
          </w:r>
          <w:r>
            <w:instrText xml:space="preserve"> PAGEREF _Toc19604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"_Toc32533" </w:instrText>
          </w:r>
          <w:r>
            <w:fldChar w:fldCharType="separate"/>
          </w:r>
          <w:r>
            <w:rPr>
              <w:rFonts w:hint="eastAsia" w:ascii="楷体" w:hAnsi="楷体" w:eastAsia="楷体" w:cs="楷体"/>
              <w:bCs/>
              <w:szCs w:val="32"/>
            </w:rPr>
            <w:t>一、指导思想</w:t>
          </w:r>
          <w:r>
            <w:tab/>
          </w:r>
          <w:r>
            <w:fldChar w:fldCharType="begin"/>
          </w:r>
          <w:r>
            <w:instrText xml:space="preserve"> PAGEREF _Toc32533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"_Toc6373" </w:instrText>
          </w:r>
          <w:r>
            <w:fldChar w:fldCharType="separate"/>
          </w:r>
          <w:r>
            <w:rPr>
              <w:rFonts w:hint="eastAsia" w:ascii="楷体" w:hAnsi="楷体" w:eastAsia="楷体" w:cs="楷体"/>
              <w:bCs/>
              <w:szCs w:val="32"/>
            </w:rPr>
            <w:t>二、基本原则</w:t>
          </w:r>
          <w:r>
            <w:tab/>
          </w:r>
          <w:r>
            <w:fldChar w:fldCharType="begin"/>
          </w:r>
          <w:r>
            <w:instrText xml:space="preserve"> PAGEREF _Toc6373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"_Toc19305" </w:instrText>
          </w:r>
          <w:r>
            <w:fldChar w:fldCharType="separate"/>
          </w:r>
          <w:r>
            <w:rPr>
              <w:rFonts w:hint="eastAsia" w:ascii="楷体" w:hAnsi="楷体" w:eastAsia="楷体" w:cs="楷体"/>
              <w:bCs/>
              <w:szCs w:val="32"/>
            </w:rPr>
            <w:t>三、发展目标</w:t>
          </w:r>
          <w:r>
            <w:tab/>
          </w:r>
          <w:r>
            <w:fldChar w:fldCharType="begin"/>
          </w:r>
          <w:r>
            <w:instrText xml:space="preserve"> PAGEREF _Toc19305 \h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"_Toc14388" </w:instrText>
          </w:r>
          <w:r>
            <w:fldChar w:fldCharType="separate"/>
          </w:r>
          <w:r>
            <w:rPr>
              <w:rFonts w:hint="eastAsia" w:ascii="Times New Roman" w:hAnsi="Times New Roman" w:eastAsia="楷体" w:cs="Times New Roman"/>
              <w:szCs w:val="44"/>
            </w:rPr>
            <w:t>第三章 主要任务</w:t>
          </w:r>
          <w:r>
            <w:tab/>
          </w:r>
          <w:r>
            <w:fldChar w:fldCharType="begin"/>
          </w:r>
          <w:r>
            <w:instrText xml:space="preserve"> PAGEREF _Toc14388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"_Toc6207" </w:instrText>
          </w:r>
          <w:r>
            <w:fldChar w:fldCharType="separate"/>
          </w:r>
          <w:r>
            <w:rPr>
              <w:rFonts w:hint="eastAsia" w:ascii="楷体" w:hAnsi="楷体" w:eastAsia="楷体" w:cs="楷体"/>
              <w:bCs/>
              <w:szCs w:val="32"/>
            </w:rPr>
            <w:t>一、增加地理信息数据来源渠道，保证数据实时性</w:t>
          </w:r>
          <w:r>
            <w:tab/>
          </w:r>
          <w:r>
            <w:fldChar w:fldCharType="begin"/>
          </w:r>
          <w:r>
            <w:instrText xml:space="preserve"> PAGEREF _Toc6207 \h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"_Toc10885" </w:instrText>
          </w:r>
          <w:r>
            <w:fldChar w:fldCharType="separate"/>
          </w:r>
          <w:r>
            <w:rPr>
              <w:rFonts w:hint="eastAsia" w:ascii="楷体" w:hAnsi="楷体" w:eastAsia="楷体" w:cs="楷体"/>
              <w:bCs/>
              <w:szCs w:val="30"/>
            </w:rPr>
            <w:t>1、持续提升基础测绘系统</w:t>
          </w:r>
          <w:r>
            <w:tab/>
          </w:r>
          <w:r>
            <w:fldChar w:fldCharType="begin"/>
          </w:r>
          <w:r>
            <w:instrText xml:space="preserve"> PAGEREF _Toc10885 \h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"_Toc11119" </w:instrText>
          </w:r>
          <w:r>
            <w:fldChar w:fldCharType="separate"/>
          </w:r>
          <w:r>
            <w:rPr>
              <w:rFonts w:hint="eastAsia" w:ascii="楷体" w:hAnsi="楷体" w:eastAsia="楷体" w:cs="楷体"/>
              <w:bCs/>
              <w:szCs w:val="30"/>
            </w:rPr>
            <w:t>2、地理信息数据采集与更新</w:t>
          </w:r>
          <w:r>
            <w:tab/>
          </w:r>
          <w:r>
            <w:fldChar w:fldCharType="begin"/>
          </w:r>
          <w:r>
            <w:instrText xml:space="preserve"> PAGEREF _Toc11119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"_Toc21680" </w:instrText>
          </w:r>
          <w:r>
            <w:fldChar w:fldCharType="separate"/>
          </w:r>
          <w:r>
            <w:rPr>
              <w:rFonts w:hint="eastAsia" w:ascii="楷体" w:hAnsi="楷体" w:eastAsia="楷体" w:cs="楷体"/>
              <w:bCs/>
              <w:szCs w:val="32"/>
            </w:rPr>
            <w:t>二、建设地理空间大数据中心，实现信息共享</w:t>
          </w:r>
          <w:r>
            <w:tab/>
          </w:r>
          <w:r>
            <w:fldChar w:fldCharType="begin"/>
          </w:r>
          <w:r>
            <w:instrText xml:space="preserve"> PAGEREF _Toc21680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"_Toc7008" </w:instrText>
          </w:r>
          <w:r>
            <w:fldChar w:fldCharType="separate"/>
          </w:r>
          <w:r>
            <w:rPr>
              <w:rFonts w:hint="eastAsia" w:ascii="楷体" w:hAnsi="楷体" w:eastAsia="楷体" w:cs="楷体"/>
              <w:bCs/>
              <w:szCs w:val="32"/>
            </w:rPr>
            <w:t>三、以生态文明建设引领高质量发展，实施新型城镇化和乡村振兴战略</w:t>
          </w:r>
          <w:r>
            <w:tab/>
          </w:r>
          <w:r>
            <w:fldChar w:fldCharType="begin"/>
          </w:r>
          <w:r>
            <w:instrText xml:space="preserve"> PAGEREF _Toc7008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"_Toc27815" </w:instrText>
          </w:r>
          <w:r>
            <w:fldChar w:fldCharType="separate"/>
          </w:r>
          <w:r>
            <w:rPr>
              <w:rFonts w:hint="eastAsia" w:ascii="楷体" w:hAnsi="楷体" w:eastAsia="楷体" w:cs="楷体"/>
              <w:bCs/>
              <w:szCs w:val="30"/>
            </w:rPr>
            <w:t>1、生态文明建设</w:t>
          </w:r>
          <w:r>
            <w:tab/>
          </w:r>
          <w:r>
            <w:fldChar w:fldCharType="begin"/>
          </w:r>
          <w:r>
            <w:instrText xml:space="preserve"> PAGEREF _Toc27815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"_Toc704" </w:instrText>
          </w:r>
          <w:r>
            <w:fldChar w:fldCharType="separate"/>
          </w:r>
          <w:r>
            <w:rPr>
              <w:rFonts w:hint="eastAsia" w:ascii="楷体" w:hAnsi="楷体" w:eastAsia="楷体" w:cs="楷体"/>
              <w:bCs/>
              <w:szCs w:val="30"/>
            </w:rPr>
            <w:t>2、建设新型城镇</w:t>
          </w:r>
          <w:r>
            <w:tab/>
          </w:r>
          <w:r>
            <w:fldChar w:fldCharType="begin"/>
          </w:r>
          <w:r>
            <w:instrText xml:space="preserve"> PAGEREF _Toc704 \h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"_Toc29912" </w:instrText>
          </w:r>
          <w:r>
            <w:fldChar w:fldCharType="separate"/>
          </w:r>
          <w:r>
            <w:rPr>
              <w:rFonts w:hint="eastAsia" w:ascii="楷体" w:hAnsi="楷体" w:eastAsia="楷体" w:cs="楷体"/>
              <w:bCs/>
              <w:szCs w:val="30"/>
            </w:rPr>
            <w:t>3、建设美丽乡村</w:t>
          </w:r>
          <w:r>
            <w:tab/>
          </w:r>
          <w:r>
            <w:fldChar w:fldCharType="begin"/>
          </w:r>
          <w:r>
            <w:instrText xml:space="preserve"> PAGEREF _Toc29912 \h </w:instrText>
          </w:r>
          <w:r>
            <w:fldChar w:fldCharType="separate"/>
          </w:r>
          <w:r>
            <w:t>18</w:t>
          </w:r>
          <w:r>
            <w:fldChar w:fldCharType="end"/>
          </w:r>
          <w:r>
            <w:fldChar w:fldCharType="end"/>
          </w:r>
        </w:p>
        <w:p>
          <w:pPr>
            <w:pStyle w:val="13"/>
            <w:tabs>
              <w:tab w:val="right" w:leader="dot" w:pos="8306"/>
            </w:tabs>
          </w:pPr>
          <w:r>
            <w:fldChar w:fldCharType="begin"/>
          </w:r>
          <w:r>
            <w:instrText xml:space="preserve"> HYPERLINK \l "_Toc19157" </w:instrText>
          </w:r>
          <w:r>
            <w:fldChar w:fldCharType="separate"/>
          </w:r>
          <w:r>
            <w:rPr>
              <w:rFonts w:hint="eastAsia" w:ascii="楷体" w:hAnsi="楷体" w:eastAsia="楷体" w:cs="楷体"/>
              <w:bCs/>
              <w:szCs w:val="32"/>
            </w:rPr>
            <w:t>四、继续推进水利重点工作</w:t>
          </w:r>
          <w:r>
            <w:tab/>
          </w:r>
          <w:r>
            <w:fldChar w:fldCharType="begin"/>
          </w:r>
          <w:r>
            <w:instrText xml:space="preserve"> PAGEREF _Toc19157 \h </w:instrText>
          </w:r>
          <w:r>
            <w:fldChar w:fldCharType="separate"/>
          </w:r>
          <w:r>
            <w:t>19</w:t>
          </w:r>
          <w:r>
            <w:fldChar w:fldCharType="end"/>
          </w:r>
          <w:r>
            <w:fldChar w:fldCharType="end"/>
          </w:r>
        </w:p>
        <w:p>
          <w:pPr>
            <w:pStyle w:val="13"/>
            <w:tabs>
              <w:tab w:val="right" w:leader="dot" w:pos="8306"/>
            </w:tabs>
          </w:pPr>
          <w:r>
            <w:fldChar w:fldCharType="begin"/>
          </w:r>
          <w:r>
            <w:instrText xml:space="preserve"> HYPERLINK \l "_Toc10175" </w:instrText>
          </w:r>
          <w:r>
            <w:fldChar w:fldCharType="separate"/>
          </w:r>
          <w:r>
            <w:rPr>
              <w:rFonts w:hint="eastAsia" w:ascii="楷体" w:hAnsi="楷体" w:eastAsia="楷体" w:cs="楷体"/>
              <w:bCs/>
              <w:szCs w:val="32"/>
            </w:rPr>
            <w:t>五、强化应急测绘保障服务水平</w:t>
          </w:r>
          <w:r>
            <w:tab/>
          </w:r>
          <w:r>
            <w:fldChar w:fldCharType="begin"/>
          </w:r>
          <w:r>
            <w:instrText xml:space="preserve"> PAGEREF _Toc10175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"_Toc2384" </w:instrText>
          </w:r>
          <w:r>
            <w:fldChar w:fldCharType="separate"/>
          </w:r>
          <w:r>
            <w:rPr>
              <w:rFonts w:hint="eastAsia" w:ascii="Times New Roman" w:hAnsi="Times New Roman" w:eastAsia="楷体" w:cs="Times New Roman"/>
              <w:szCs w:val="44"/>
            </w:rPr>
            <w:t>第</w:t>
          </w:r>
          <w:r>
            <w:rPr>
              <w:rFonts w:hint="eastAsia" w:ascii="楷体" w:hAnsi="楷体" w:eastAsia="楷体" w:cs="楷体"/>
              <w:szCs w:val="44"/>
            </w:rPr>
            <w:t>四</w:t>
          </w:r>
          <w:r>
            <w:rPr>
              <w:rFonts w:hint="eastAsia" w:ascii="Times New Roman" w:hAnsi="Times New Roman" w:eastAsia="楷体" w:cs="Times New Roman"/>
              <w:szCs w:val="44"/>
            </w:rPr>
            <w:t>章 重点工程</w:t>
          </w:r>
          <w:r>
            <w:tab/>
          </w:r>
          <w:r>
            <w:fldChar w:fldCharType="begin"/>
          </w:r>
          <w:r>
            <w:instrText xml:space="preserve"> PAGEREF _Toc2384 \h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"_Toc31969" </w:instrText>
          </w:r>
          <w:r>
            <w:fldChar w:fldCharType="separate"/>
          </w:r>
          <w:r>
            <w:rPr>
              <w:rFonts w:hint="eastAsia" w:ascii="楷体" w:hAnsi="楷体" w:eastAsia="楷体" w:cs="楷体"/>
              <w:bCs/>
              <w:szCs w:val="32"/>
            </w:rPr>
            <w:t>一、测绘基准建设与维护</w:t>
          </w:r>
          <w:r>
            <w:tab/>
          </w:r>
          <w:r>
            <w:fldChar w:fldCharType="begin"/>
          </w:r>
          <w:r>
            <w:instrText xml:space="preserve"> PAGEREF _Toc31969 \h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"_Toc5585" </w:instrText>
          </w:r>
          <w:r>
            <w:fldChar w:fldCharType="separate"/>
          </w:r>
          <w:r>
            <w:rPr>
              <w:rFonts w:hint="eastAsia" w:ascii="楷体" w:hAnsi="楷体" w:eastAsia="楷体" w:cs="楷体"/>
              <w:bCs/>
              <w:szCs w:val="32"/>
            </w:rPr>
            <w:t>二、遥感数据获取与处理</w:t>
          </w:r>
          <w:r>
            <w:tab/>
          </w:r>
          <w:r>
            <w:fldChar w:fldCharType="begin"/>
          </w:r>
          <w:r>
            <w:instrText xml:space="preserve"> PAGEREF _Toc5585 \h </w:instrText>
          </w:r>
          <w:r>
            <w:fldChar w:fldCharType="separate"/>
          </w:r>
          <w:r>
            <w:t>20</w:t>
          </w:r>
          <w:r>
            <w:fldChar w:fldCharType="end"/>
          </w:r>
          <w:r>
            <w:fldChar w:fldCharType="end"/>
          </w:r>
        </w:p>
        <w:p>
          <w:pPr>
            <w:pStyle w:val="7"/>
            <w:tabs>
              <w:tab w:val="right" w:leader="dot" w:pos="8306"/>
            </w:tabs>
          </w:pPr>
          <w:r>
            <w:fldChar w:fldCharType="begin"/>
          </w:r>
          <w:r>
            <w:instrText xml:space="preserve"> HYPERLINK \l "_Toc31431" </w:instrText>
          </w:r>
          <w:r>
            <w:fldChar w:fldCharType="separate"/>
          </w:r>
          <w:r>
            <w:rPr>
              <w:rFonts w:hint="eastAsia" w:ascii="楷体" w:hAnsi="楷体" w:eastAsia="楷体" w:cs="楷体"/>
              <w:bCs/>
              <w:szCs w:val="30"/>
            </w:rPr>
            <w:t>1、遥感数据获取</w:t>
          </w:r>
          <w:r>
            <w:tab/>
          </w:r>
          <w:r>
            <w:fldChar w:fldCharType="begin"/>
          </w:r>
          <w:r>
            <w:instrText xml:space="preserve"> PAGEREF _Toc31431 \h </w:instrText>
          </w:r>
          <w:r>
            <w:fldChar w:fldCharType="separate"/>
          </w:r>
          <w:r>
            <w:t>20</w:t>
          </w:r>
          <w:r>
            <w:fldChar w:fldCharType="end"/>
          </w:r>
          <w:r>
            <w:fldChar w:fldCharType="end"/>
          </w:r>
        </w:p>
        <w:p>
          <w:pPr>
            <w:pStyle w:val="7"/>
            <w:tabs>
              <w:tab w:val="right" w:leader="dot" w:pos="8306"/>
            </w:tabs>
          </w:pPr>
          <w:r>
            <w:fldChar w:fldCharType="begin"/>
          </w:r>
          <w:r>
            <w:instrText xml:space="preserve"> HYPERLINK \l "_Toc23680" </w:instrText>
          </w:r>
          <w:r>
            <w:fldChar w:fldCharType="separate"/>
          </w:r>
          <w:r>
            <w:rPr>
              <w:rFonts w:hint="eastAsia" w:ascii="楷体" w:hAnsi="楷体" w:eastAsia="楷体" w:cs="楷体"/>
              <w:bCs/>
              <w:szCs w:val="30"/>
            </w:rPr>
            <w:t>2、遥感数据处理</w:t>
          </w:r>
          <w:r>
            <w:tab/>
          </w:r>
          <w:r>
            <w:fldChar w:fldCharType="begin"/>
          </w:r>
          <w:r>
            <w:instrText xml:space="preserve"> PAGEREF _Toc23680 \h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"_Toc26039" </w:instrText>
          </w:r>
          <w:r>
            <w:fldChar w:fldCharType="separate"/>
          </w:r>
          <w:r>
            <w:rPr>
              <w:rFonts w:hint="eastAsia" w:ascii="楷体" w:hAnsi="楷体" w:eastAsia="楷体" w:cs="楷体"/>
              <w:bCs/>
              <w:szCs w:val="32"/>
            </w:rPr>
            <w:t>三、基础地理信息资源建设与更新</w:t>
          </w:r>
          <w:r>
            <w:tab/>
          </w:r>
          <w:r>
            <w:fldChar w:fldCharType="begin"/>
          </w:r>
          <w:r>
            <w:instrText xml:space="preserve"> PAGEREF _Toc26039 \h </w:instrText>
          </w:r>
          <w:r>
            <w:fldChar w:fldCharType="separate"/>
          </w:r>
          <w:r>
            <w:t>21</w:t>
          </w:r>
          <w:r>
            <w:fldChar w:fldCharType="end"/>
          </w:r>
          <w:r>
            <w:fldChar w:fldCharType="end"/>
          </w:r>
        </w:p>
        <w:p>
          <w:pPr>
            <w:pStyle w:val="13"/>
            <w:tabs>
              <w:tab w:val="right" w:leader="dot" w:pos="8306"/>
            </w:tabs>
          </w:pPr>
          <w:r>
            <w:fldChar w:fldCharType="begin"/>
          </w:r>
          <w:r>
            <w:instrText xml:space="preserve"> HYPERLINK \l "_Toc24158" </w:instrText>
          </w:r>
          <w:r>
            <w:fldChar w:fldCharType="separate"/>
          </w:r>
          <w:r>
            <w:rPr>
              <w:rFonts w:hint="eastAsia" w:ascii="楷体" w:hAnsi="楷体" w:eastAsia="楷体" w:cs="楷体"/>
              <w:bCs/>
              <w:szCs w:val="32"/>
            </w:rPr>
            <w:t>四、智慧万源</w:t>
          </w:r>
          <w:r>
            <w:tab/>
          </w:r>
          <w:r>
            <w:fldChar w:fldCharType="begin"/>
          </w:r>
          <w:r>
            <w:instrText xml:space="preserve"> PAGEREF _Toc24158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"_Toc6453" </w:instrText>
          </w:r>
          <w:r>
            <w:fldChar w:fldCharType="separate"/>
          </w:r>
          <w:r>
            <w:rPr>
              <w:rFonts w:hint="eastAsia" w:ascii="楷体" w:hAnsi="楷体" w:eastAsia="楷体" w:cs="楷体"/>
              <w:bCs/>
              <w:szCs w:val="30"/>
            </w:rPr>
            <w:t>1、智慧城市</w:t>
          </w:r>
          <w:r>
            <w:tab/>
          </w:r>
          <w:r>
            <w:fldChar w:fldCharType="begin"/>
          </w:r>
          <w:r>
            <w:instrText xml:space="preserve"> PAGEREF _Toc6453 \h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"_Toc5442" </w:instrText>
          </w:r>
          <w:r>
            <w:fldChar w:fldCharType="separate"/>
          </w:r>
          <w:r>
            <w:rPr>
              <w:rFonts w:hint="eastAsia" w:ascii="楷体" w:hAnsi="楷体" w:eastAsia="楷体" w:cs="楷体"/>
              <w:bCs/>
              <w:szCs w:val="30"/>
            </w:rPr>
            <w:t>2、智慧交通</w:t>
          </w:r>
          <w:r>
            <w:tab/>
          </w:r>
          <w:r>
            <w:fldChar w:fldCharType="begin"/>
          </w:r>
          <w:r>
            <w:instrText xml:space="preserve"> PAGEREF _Toc5442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"_Toc2708" </w:instrText>
          </w:r>
          <w:r>
            <w:fldChar w:fldCharType="separate"/>
          </w:r>
          <w:r>
            <w:rPr>
              <w:rFonts w:hint="eastAsia" w:ascii="楷体" w:hAnsi="楷体" w:eastAsia="楷体" w:cs="楷体"/>
              <w:bCs/>
              <w:szCs w:val="30"/>
            </w:rPr>
            <w:t>3、智慧文旅</w:t>
          </w:r>
          <w:r>
            <w:tab/>
          </w:r>
          <w:r>
            <w:fldChar w:fldCharType="begin"/>
          </w:r>
          <w:r>
            <w:instrText xml:space="preserve"> PAGEREF _Toc2708 \h </w:instrText>
          </w:r>
          <w:r>
            <w:fldChar w:fldCharType="separate"/>
          </w:r>
          <w:r>
            <w:t>23</w:t>
          </w:r>
          <w:r>
            <w:fldChar w:fldCharType="end"/>
          </w:r>
          <w:r>
            <w:fldChar w:fldCharType="end"/>
          </w:r>
        </w:p>
        <w:p>
          <w:pPr>
            <w:pStyle w:val="7"/>
            <w:tabs>
              <w:tab w:val="right" w:leader="dot" w:pos="8306"/>
            </w:tabs>
          </w:pPr>
          <w:r>
            <w:fldChar w:fldCharType="begin"/>
          </w:r>
          <w:r>
            <w:instrText xml:space="preserve"> HYPERLINK \l "_Toc24734" </w:instrText>
          </w:r>
          <w:r>
            <w:fldChar w:fldCharType="separate"/>
          </w:r>
          <w:r>
            <w:rPr>
              <w:rFonts w:hint="eastAsia" w:ascii="楷体" w:hAnsi="楷体" w:eastAsia="楷体" w:cs="楷体"/>
              <w:bCs/>
              <w:szCs w:val="30"/>
            </w:rPr>
            <w:t>4、数字化智能化水利系统建设</w:t>
          </w:r>
          <w:r>
            <w:tab/>
          </w:r>
          <w:r>
            <w:fldChar w:fldCharType="begin"/>
          </w:r>
          <w:r>
            <w:instrText xml:space="preserve"> PAGEREF _Toc24734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"_Toc9514" </w:instrText>
          </w:r>
          <w:r>
            <w:fldChar w:fldCharType="separate"/>
          </w:r>
          <w:r>
            <w:rPr>
              <w:rFonts w:hint="eastAsia" w:ascii="楷体" w:hAnsi="楷体" w:eastAsia="楷体" w:cs="楷体"/>
              <w:bCs/>
              <w:szCs w:val="32"/>
            </w:rPr>
            <w:t>五、建立地理信息服务公共平台</w:t>
          </w:r>
          <w:r>
            <w:tab/>
          </w:r>
          <w:r>
            <w:fldChar w:fldCharType="begin"/>
          </w:r>
          <w:r>
            <w:instrText xml:space="preserve"> PAGEREF _Toc9514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"_Toc2429" </w:instrText>
          </w:r>
          <w:r>
            <w:fldChar w:fldCharType="separate"/>
          </w:r>
          <w:r>
            <w:rPr>
              <w:rFonts w:hint="eastAsia" w:ascii="楷体" w:hAnsi="楷体" w:eastAsia="楷体" w:cs="楷体"/>
              <w:bCs/>
              <w:szCs w:val="32"/>
            </w:rPr>
            <w:t>六、应急测绘保障</w:t>
          </w:r>
          <w:r>
            <w:tab/>
          </w:r>
          <w:r>
            <w:fldChar w:fldCharType="begin"/>
          </w:r>
          <w:r>
            <w:instrText xml:space="preserve"> PAGEREF _Toc2429 \h </w:instrText>
          </w:r>
          <w:r>
            <w:fldChar w:fldCharType="separate"/>
          </w:r>
          <w:r>
            <w:t>25</w:t>
          </w:r>
          <w:r>
            <w:fldChar w:fldCharType="end"/>
          </w:r>
          <w:r>
            <w:fldChar w:fldCharType="end"/>
          </w:r>
        </w:p>
        <w:p>
          <w:pPr>
            <w:pStyle w:val="11"/>
            <w:tabs>
              <w:tab w:val="right" w:leader="dot" w:pos="8306"/>
            </w:tabs>
          </w:pPr>
          <w:r>
            <w:fldChar w:fldCharType="begin"/>
          </w:r>
          <w:r>
            <w:instrText xml:space="preserve"> HYPERLINK \l "_Toc29906" </w:instrText>
          </w:r>
          <w:r>
            <w:fldChar w:fldCharType="separate"/>
          </w:r>
          <w:r>
            <w:rPr>
              <w:rFonts w:hint="eastAsia" w:ascii="Times New Roman" w:hAnsi="Times New Roman" w:eastAsia="楷体" w:cs="Times New Roman"/>
              <w:szCs w:val="44"/>
            </w:rPr>
            <w:t>第</w:t>
          </w:r>
          <w:r>
            <w:rPr>
              <w:rFonts w:hint="eastAsia" w:ascii="楷体" w:hAnsi="楷体" w:eastAsia="楷体" w:cs="楷体"/>
              <w:szCs w:val="44"/>
            </w:rPr>
            <w:t>五</w:t>
          </w:r>
          <w:r>
            <w:rPr>
              <w:rFonts w:hint="eastAsia" w:ascii="Times New Roman" w:hAnsi="Times New Roman" w:eastAsia="楷体" w:cs="Times New Roman"/>
              <w:szCs w:val="44"/>
            </w:rPr>
            <w:t>章 保障措施</w:t>
          </w:r>
          <w:r>
            <w:tab/>
          </w:r>
          <w:r>
            <w:fldChar w:fldCharType="begin"/>
          </w:r>
          <w:r>
            <w:instrText xml:space="preserve"> PAGEREF _Toc29906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"_Toc8023" </w:instrText>
          </w:r>
          <w:r>
            <w:fldChar w:fldCharType="separate"/>
          </w:r>
          <w:r>
            <w:rPr>
              <w:rFonts w:hint="eastAsia" w:ascii="楷体" w:hAnsi="楷体" w:eastAsia="楷体" w:cs="楷体"/>
              <w:bCs/>
              <w:szCs w:val="32"/>
            </w:rPr>
            <w:t>一、人才保障</w:t>
          </w:r>
          <w:r>
            <w:tab/>
          </w:r>
          <w:r>
            <w:fldChar w:fldCharType="begin"/>
          </w:r>
          <w:r>
            <w:instrText xml:space="preserve"> PAGEREF _Toc8023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"_Toc31212" </w:instrText>
          </w:r>
          <w:r>
            <w:fldChar w:fldCharType="separate"/>
          </w:r>
          <w:r>
            <w:rPr>
              <w:rFonts w:hint="eastAsia" w:ascii="楷体" w:hAnsi="楷体" w:eastAsia="楷体" w:cs="楷体"/>
              <w:bCs/>
              <w:szCs w:val="32"/>
            </w:rPr>
            <w:t>二、经费保障</w:t>
          </w:r>
          <w:r>
            <w:tab/>
          </w:r>
          <w:r>
            <w:fldChar w:fldCharType="begin"/>
          </w:r>
          <w:r>
            <w:instrText xml:space="preserve"> PAGEREF _Toc31212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"_Toc15539" </w:instrText>
          </w:r>
          <w:r>
            <w:fldChar w:fldCharType="separate"/>
          </w:r>
          <w:r>
            <w:rPr>
              <w:rFonts w:hint="eastAsia" w:ascii="楷体" w:hAnsi="楷体" w:eastAsia="楷体" w:cs="楷体"/>
              <w:bCs/>
              <w:szCs w:val="32"/>
            </w:rPr>
            <w:t>三、技术保障</w:t>
          </w:r>
          <w:r>
            <w:tab/>
          </w:r>
          <w:r>
            <w:fldChar w:fldCharType="begin"/>
          </w:r>
          <w:r>
            <w:instrText xml:space="preserve"> PAGEREF _Toc15539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"_Toc6654" </w:instrText>
          </w:r>
          <w:r>
            <w:fldChar w:fldCharType="separate"/>
          </w:r>
          <w:r>
            <w:rPr>
              <w:rFonts w:hint="eastAsia" w:ascii="楷体" w:hAnsi="楷体" w:eastAsia="楷体" w:cs="楷体"/>
              <w:bCs/>
              <w:szCs w:val="32"/>
            </w:rPr>
            <w:t>四、组织保障</w:t>
          </w:r>
          <w:r>
            <w:tab/>
          </w:r>
          <w:r>
            <w:fldChar w:fldCharType="begin"/>
          </w:r>
          <w:r>
            <w:instrText xml:space="preserve"> PAGEREF _Toc6654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"_Toc31150" </w:instrText>
          </w:r>
          <w:r>
            <w:fldChar w:fldCharType="separate"/>
          </w:r>
          <w:r>
            <w:rPr>
              <w:rFonts w:hint="eastAsia" w:ascii="楷体" w:hAnsi="楷体" w:eastAsia="楷体" w:cs="楷体"/>
              <w:bCs/>
              <w:szCs w:val="32"/>
            </w:rPr>
            <w:t>五、政策保障</w:t>
          </w:r>
          <w:r>
            <w:tab/>
          </w:r>
          <w:r>
            <w:fldChar w:fldCharType="begin"/>
          </w:r>
          <w:r>
            <w:instrText xml:space="preserve"> PAGEREF _Toc31150 \h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"_Toc31382" </w:instrText>
          </w:r>
          <w:r>
            <w:fldChar w:fldCharType="separate"/>
          </w:r>
          <w:r>
            <w:rPr>
              <w:rFonts w:hint="eastAsia" w:ascii="Times New Roman" w:hAnsi="Times New Roman" w:eastAsia="楷体" w:cs="Times New Roman"/>
              <w:szCs w:val="32"/>
            </w:rPr>
            <w:t>附图</w:t>
          </w:r>
          <w:r>
            <w:tab/>
          </w:r>
          <w:r>
            <w:fldChar w:fldCharType="begin"/>
          </w:r>
          <w:r>
            <w:instrText xml:space="preserve"> PAGEREF _Toc31382 \h </w:instrText>
          </w:r>
          <w:r>
            <w:fldChar w:fldCharType="separate"/>
          </w:r>
          <w:r>
            <w:t>28</w:t>
          </w:r>
          <w:r>
            <w:fldChar w:fldCharType="end"/>
          </w:r>
          <w:r>
            <w:fldChar w:fldCharType="end"/>
          </w:r>
        </w:p>
        <w:p>
          <w:pPr>
            <w:pStyle w:val="13"/>
            <w:tabs>
              <w:tab w:val="right" w:leader="dot" w:pos="8306"/>
            </w:tabs>
          </w:pPr>
          <w:r>
            <w:fldChar w:fldCharType="begin"/>
          </w:r>
          <w:r>
            <w:instrText xml:space="preserve"> HYPERLINK \l "_Toc17377" </w:instrText>
          </w:r>
          <w:r>
            <w:fldChar w:fldCharType="separate"/>
          </w:r>
          <w:r>
            <w:rPr>
              <w:rFonts w:hint="eastAsia" w:ascii="Times New Roman" w:hAnsi="Times New Roman" w:eastAsia="仿宋" w:cs="Times New Roman"/>
            </w:rPr>
            <w:t>附图1  万源市行政区划图</w:t>
          </w:r>
          <w:r>
            <w:tab/>
          </w:r>
          <w:r>
            <w:fldChar w:fldCharType="begin"/>
          </w:r>
          <w:r>
            <w:instrText xml:space="preserve"> PAGEREF _Toc17377 \h </w:instrText>
          </w:r>
          <w:r>
            <w:fldChar w:fldCharType="separate"/>
          </w:r>
          <w:r>
            <w:t>28</w:t>
          </w:r>
          <w:r>
            <w:fldChar w:fldCharType="end"/>
          </w:r>
          <w:r>
            <w:fldChar w:fldCharType="end"/>
          </w:r>
        </w:p>
        <w:p>
          <w:pPr>
            <w:pStyle w:val="13"/>
            <w:tabs>
              <w:tab w:val="right" w:leader="dot" w:pos="8306"/>
            </w:tabs>
          </w:pPr>
          <w:r>
            <w:fldChar w:fldCharType="begin"/>
          </w:r>
          <w:r>
            <w:instrText xml:space="preserve"> HYPERLINK \l "_Toc16429" </w:instrText>
          </w:r>
          <w:r>
            <w:fldChar w:fldCharType="separate"/>
          </w:r>
          <w:r>
            <w:rPr>
              <w:rFonts w:hint="eastAsia" w:ascii="Times New Roman" w:hAnsi="Times New Roman" w:eastAsia="仿宋" w:cs="Times New Roman"/>
            </w:rPr>
            <w:t>附图2  万源市遥感影像获取范围</w:t>
          </w:r>
          <w:r>
            <w:tab/>
          </w:r>
          <w:r>
            <w:fldChar w:fldCharType="begin"/>
          </w:r>
          <w:r>
            <w:instrText xml:space="preserve"> PAGEREF _Toc16429 \h </w:instrText>
          </w:r>
          <w:r>
            <w:fldChar w:fldCharType="separate"/>
          </w:r>
          <w:r>
            <w:t>29</w:t>
          </w:r>
          <w:r>
            <w:fldChar w:fldCharType="end"/>
          </w:r>
          <w:r>
            <w:fldChar w:fldCharType="end"/>
          </w:r>
        </w:p>
        <w:p>
          <w:pPr>
            <w:pStyle w:val="13"/>
            <w:tabs>
              <w:tab w:val="right" w:leader="dot" w:pos="8306"/>
            </w:tabs>
          </w:pPr>
          <w:r>
            <w:fldChar w:fldCharType="begin"/>
          </w:r>
          <w:r>
            <w:instrText xml:space="preserve"> HYPERLINK \l "_Toc20019" </w:instrText>
          </w:r>
          <w:r>
            <w:fldChar w:fldCharType="separate"/>
          </w:r>
          <w:r>
            <w:rPr>
              <w:rFonts w:hint="eastAsia" w:ascii="Times New Roman" w:hAnsi="Times New Roman" w:eastAsia="仿宋" w:cs="Times New Roman"/>
            </w:rPr>
            <w:t>附图3  万源市DEM数据和三维实景建设范围</w:t>
          </w:r>
          <w:r>
            <w:tab/>
          </w:r>
          <w:r>
            <w:fldChar w:fldCharType="begin"/>
          </w:r>
          <w:r>
            <w:instrText xml:space="preserve"> PAGEREF _Toc20019 \h </w:instrText>
          </w:r>
          <w:r>
            <w:fldChar w:fldCharType="separate"/>
          </w:r>
          <w:r>
            <w:t>30</w:t>
          </w:r>
          <w:r>
            <w:fldChar w:fldCharType="end"/>
          </w:r>
          <w:r>
            <w:fldChar w:fldCharType="end"/>
          </w:r>
        </w:p>
        <w:p>
          <w:pPr>
            <w:pStyle w:val="13"/>
            <w:tabs>
              <w:tab w:val="right" w:leader="dot" w:pos="8306"/>
            </w:tabs>
          </w:pPr>
          <w:r>
            <w:fldChar w:fldCharType="begin"/>
          </w:r>
          <w:r>
            <w:instrText xml:space="preserve"> HYPERLINK \l "_Toc14606" </w:instrText>
          </w:r>
          <w:r>
            <w:fldChar w:fldCharType="separate"/>
          </w:r>
          <w:r>
            <w:rPr>
              <w:rFonts w:hint="eastAsia" w:ascii="Times New Roman" w:hAnsi="Times New Roman" w:eastAsia="仿宋" w:cs="Times New Roman"/>
            </w:rPr>
            <w:t>附图4  万源市重要地理信息更新范围</w:t>
          </w:r>
          <w:r>
            <w:tab/>
          </w:r>
          <w:r>
            <w:fldChar w:fldCharType="begin"/>
          </w:r>
          <w:r>
            <w:instrText xml:space="preserve"> PAGEREF _Toc14606 \h </w:instrText>
          </w:r>
          <w:r>
            <w:fldChar w:fldCharType="separate"/>
          </w:r>
          <w:r>
            <w:t>31</w:t>
          </w:r>
          <w:r>
            <w:fldChar w:fldCharType="end"/>
          </w:r>
          <w:r>
            <w:fldChar w:fldCharType="end"/>
          </w:r>
        </w:p>
        <w:p>
          <w:pPr>
            <w:pStyle w:val="13"/>
            <w:tabs>
              <w:tab w:val="right" w:leader="dot" w:pos="8306"/>
            </w:tabs>
          </w:pPr>
          <w:r>
            <w:fldChar w:fldCharType="begin"/>
          </w:r>
          <w:r>
            <w:instrText xml:space="preserve"> HYPERLINK \l "_Toc8358" </w:instrText>
          </w:r>
          <w:r>
            <w:fldChar w:fldCharType="separate"/>
          </w:r>
          <w:r>
            <w:rPr>
              <w:rFonts w:hint="eastAsia" w:ascii="Times New Roman" w:hAnsi="Times New Roman" w:eastAsia="仿宋" w:cs="Times New Roman"/>
            </w:rPr>
            <w:t>附图5  万源市1:2000比例尺地形图测制范围</w:t>
          </w:r>
          <w:r>
            <w:tab/>
          </w:r>
          <w:r>
            <w:fldChar w:fldCharType="begin"/>
          </w:r>
          <w:r>
            <w:instrText xml:space="preserve"> PAGEREF _Toc8358 \h </w:instrText>
          </w:r>
          <w:r>
            <w:fldChar w:fldCharType="separate"/>
          </w:r>
          <w:r>
            <w:t>32</w:t>
          </w:r>
          <w:r>
            <w:fldChar w:fldCharType="end"/>
          </w:r>
          <w:r>
            <w:fldChar w:fldCharType="end"/>
          </w:r>
        </w:p>
        <w:p>
          <w:pPr>
            <w:pStyle w:val="13"/>
            <w:tabs>
              <w:tab w:val="right" w:leader="dot" w:pos="8306"/>
            </w:tabs>
          </w:pPr>
          <w:r>
            <w:fldChar w:fldCharType="begin"/>
          </w:r>
          <w:r>
            <w:instrText xml:space="preserve"> HYPERLINK \l "_Toc31891" </w:instrText>
          </w:r>
          <w:r>
            <w:fldChar w:fldCharType="separate"/>
          </w:r>
          <w:r>
            <w:rPr>
              <w:rFonts w:hint="eastAsia" w:ascii="Times New Roman" w:hAnsi="Times New Roman" w:eastAsia="仿宋" w:cs="Times New Roman"/>
            </w:rPr>
            <w:t>附图6  万源市1:500比例尺地籍图测制范围</w:t>
          </w:r>
          <w:r>
            <w:tab/>
          </w:r>
          <w:r>
            <w:fldChar w:fldCharType="begin"/>
          </w:r>
          <w:r>
            <w:instrText xml:space="preserve"> PAGEREF _Toc31891 \h </w:instrText>
          </w:r>
          <w:r>
            <w:fldChar w:fldCharType="separate"/>
          </w:r>
          <w:r>
            <w:t>33</w:t>
          </w:r>
          <w:r>
            <w:fldChar w:fldCharType="end"/>
          </w:r>
          <w:r>
            <w:fldChar w:fldCharType="end"/>
          </w:r>
        </w:p>
        <w:p>
          <w:r>
            <w:fldChar w:fldCharType="end"/>
          </w:r>
        </w:p>
      </w:sdtContent>
    </w:sdt>
    <w:p>
      <w:pPr>
        <w:spacing w:beforeLines="50" w:afterLines="50" w:line="360" w:lineRule="auto"/>
        <w:jc w:val="center"/>
        <w:outlineLvl w:val="0"/>
        <w:rPr>
          <w:rFonts w:ascii="楷体" w:hAnsi="楷体" w:eastAsia="楷体" w:cs="楷体"/>
          <w:sz w:val="48"/>
          <w:szCs w:val="48"/>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spacing w:beforeLines="50" w:afterLines="50" w:line="360" w:lineRule="auto"/>
        <w:jc w:val="center"/>
        <w:outlineLvl w:val="0"/>
        <w:rPr>
          <w:rFonts w:ascii="楷体" w:hAnsi="楷体" w:eastAsia="楷体" w:cs="楷体"/>
          <w:sz w:val="48"/>
          <w:szCs w:val="48"/>
        </w:rPr>
      </w:pPr>
      <w:bookmarkStart w:id="0" w:name="_Toc31331"/>
      <w:r>
        <w:rPr>
          <w:rFonts w:hint="eastAsia" w:ascii="楷体" w:hAnsi="楷体" w:eastAsia="楷体" w:cs="楷体"/>
          <w:sz w:val="48"/>
          <w:szCs w:val="48"/>
        </w:rPr>
        <w:t>前言</w:t>
      </w:r>
      <w:bookmarkEnd w:id="0"/>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基础测绘是为经济建设、国防建设和社会发展提供测绘地理信息的基础性、公益性事业，是经济社会可持续发展的重要支撑。加快发展基础测绘，形成新型基础测绘体系，全面提升社会测绘地理信息应用与服务水平，对于社会经济发展、智慧城市建设、生态文明建设和国家安全等具有重要意义。根据《中华人民共和国测绘法》、《中华人民共和国国民经济和社会发展第十四个五年规划和二〇三五年远景目标纲要》、《四川省测绘管理条例》、《四川省基础测绘中长期规划纲要（2016-2030年）》、《四川省测绘地理信息局关于全面开展市县基础测绘“十四五”规划编制工作的通知》（川测发〔2020〕8号）、《四川省国民经济和社会发展第十四个五年规划和二〇三五年远景目标纲要》、《万源市国民经济和社会发展第十四个五年规划和二〇三五年远景目标纲要》等法律、文件要求，结合万源市基础测绘发展实际，制定本规划。规划期限自2021年至2025年。</w:t>
      </w:r>
      <w:r>
        <w:rPr>
          <w:rFonts w:hint="eastAsia" w:ascii="宋体" w:hAnsi="宋体" w:eastAsia="宋体" w:cs="宋体"/>
          <w:sz w:val="28"/>
          <w:szCs w:val="28"/>
        </w:rPr>
        <w:br w:type="page"/>
      </w:r>
    </w:p>
    <w:p>
      <w:pPr>
        <w:pStyle w:val="25"/>
        <w:tabs>
          <w:tab w:val="left" w:pos="1418"/>
        </w:tabs>
        <w:adjustRightInd w:val="0"/>
        <w:snapToGrid w:val="0"/>
        <w:spacing w:beforeLines="50" w:afterLines="50" w:line="360" w:lineRule="auto"/>
        <w:ind w:firstLine="0"/>
        <w:jc w:val="center"/>
        <w:outlineLvl w:val="0"/>
        <w:rPr>
          <w:rFonts w:ascii="Times New Roman" w:hAnsi="Times New Roman" w:eastAsia="楷体" w:cs="Times New Roman"/>
          <w:b/>
          <w:sz w:val="44"/>
          <w:szCs w:val="44"/>
        </w:rPr>
      </w:pPr>
      <w:bookmarkStart w:id="1" w:name="_Toc11330"/>
      <w:bookmarkStart w:id="2" w:name="_Toc22044"/>
      <w:r>
        <w:rPr>
          <w:rFonts w:hint="eastAsia" w:ascii="Times New Roman" w:hAnsi="Times New Roman" w:eastAsia="楷体" w:cs="Times New Roman"/>
          <w:b/>
          <w:sz w:val="44"/>
          <w:szCs w:val="44"/>
        </w:rPr>
        <w:t>第</w:t>
      </w:r>
      <w:r>
        <w:rPr>
          <w:rFonts w:hint="eastAsia" w:ascii="楷体" w:hAnsi="楷体" w:eastAsia="楷体" w:cs="楷体"/>
          <w:b/>
          <w:sz w:val="44"/>
          <w:szCs w:val="44"/>
        </w:rPr>
        <w:t>一</w:t>
      </w:r>
      <w:r>
        <w:rPr>
          <w:rFonts w:hint="eastAsia" w:ascii="Times New Roman" w:hAnsi="Times New Roman" w:eastAsia="楷体" w:cs="Times New Roman"/>
          <w:b/>
          <w:sz w:val="44"/>
          <w:szCs w:val="44"/>
        </w:rPr>
        <w:t>章 规划背景</w:t>
      </w:r>
      <w:bookmarkEnd w:id="1"/>
      <w:bookmarkEnd w:id="2"/>
      <w:bookmarkStart w:id="3" w:name="_Toc71704105"/>
      <w:bookmarkStart w:id="4" w:name="_Toc35439112"/>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5" w:name="_Toc16559"/>
      <w:bookmarkStart w:id="6" w:name="_Toc25275"/>
      <w:r>
        <w:rPr>
          <w:rFonts w:hint="eastAsia" w:ascii="楷体" w:hAnsi="楷体" w:eastAsia="楷体" w:cs="楷体"/>
          <w:b/>
          <w:bCs/>
          <w:sz w:val="32"/>
          <w:szCs w:val="32"/>
        </w:rPr>
        <w:t>一、发展基础</w:t>
      </w:r>
      <w:bookmarkEnd w:id="3"/>
      <w:bookmarkEnd w:id="4"/>
      <w:bookmarkEnd w:id="5"/>
      <w:bookmarkEnd w:id="6"/>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万源市位居</w:t>
      </w:r>
      <w:r>
        <w:fldChar w:fldCharType="begin"/>
      </w:r>
      <w:r>
        <w:instrText xml:space="preserve"> HYPERLINK "https://baike.baidu.com/item/%E5%9B%9B%E5%B7%9D/212569" \t "https://baike.baidu.com/item/%E4%B8%87%E6%BA%90/_blank" </w:instrText>
      </w:r>
      <w:r>
        <w:fldChar w:fldCharType="separate"/>
      </w:r>
      <w:r>
        <w:rPr>
          <w:rFonts w:hint="eastAsia" w:ascii="宋体" w:hAnsi="宋体" w:eastAsia="宋体" w:cs="宋体"/>
          <w:sz w:val="28"/>
          <w:szCs w:val="28"/>
        </w:rPr>
        <w:t>四川</w:t>
      </w:r>
      <w:r>
        <w:rPr>
          <w:rFonts w:hint="eastAsia" w:ascii="宋体" w:hAnsi="宋体" w:eastAsia="宋体" w:cs="宋体"/>
          <w:sz w:val="28"/>
          <w:szCs w:val="28"/>
        </w:rPr>
        <w:fldChar w:fldCharType="end"/>
      </w:r>
      <w:r>
        <w:rPr>
          <w:rFonts w:hint="eastAsia" w:ascii="宋体" w:hAnsi="宋体" w:eastAsia="宋体" w:cs="宋体"/>
          <w:sz w:val="28"/>
          <w:szCs w:val="28"/>
        </w:rPr>
        <w:t>省东北部、大巴山腹心地带、川渝陕结合部、7个县市交汇处，是中国南北气候的分界线，</w:t>
      </w:r>
      <w:r>
        <w:fldChar w:fldCharType="begin"/>
      </w:r>
      <w:r>
        <w:instrText xml:space="preserve"> HYPERLINK "https://baike.baidu.com/item/%E5%98%89%E9%99%B5%E6%B1%9F/627569" \t "https://baike.baidu.com/item/%E4%B8%87%E6%BA%90/_blank" </w:instrText>
      </w:r>
      <w:r>
        <w:fldChar w:fldCharType="separate"/>
      </w:r>
      <w:r>
        <w:rPr>
          <w:rFonts w:hint="eastAsia" w:ascii="宋体" w:hAnsi="宋体" w:eastAsia="宋体" w:cs="宋体"/>
          <w:sz w:val="28"/>
          <w:szCs w:val="28"/>
        </w:rPr>
        <w:t>嘉陵江</w:t>
      </w:r>
      <w:r>
        <w:rPr>
          <w:rFonts w:hint="eastAsia" w:ascii="宋体" w:hAnsi="宋体" w:eastAsia="宋体" w:cs="宋体"/>
          <w:sz w:val="28"/>
          <w:szCs w:val="28"/>
        </w:rPr>
        <w:fldChar w:fldCharType="end"/>
      </w:r>
      <w:r>
        <w:rPr>
          <w:rFonts w:hint="eastAsia" w:ascii="宋体" w:hAnsi="宋体" w:eastAsia="宋体" w:cs="宋体"/>
          <w:sz w:val="28"/>
          <w:szCs w:val="28"/>
        </w:rPr>
        <w:t>、</w:t>
      </w:r>
      <w:r>
        <w:fldChar w:fldCharType="begin"/>
      </w:r>
      <w:r>
        <w:instrText xml:space="preserve"> HYPERLINK "https://baike.baidu.com/item/%E6%B1%89%E6%B1%9F/14144" \t "https://baike.baidu.com/item/%E4%B8%87%E6%BA%90/_blank" </w:instrText>
      </w:r>
      <w:r>
        <w:fldChar w:fldCharType="separate"/>
      </w:r>
      <w:r>
        <w:rPr>
          <w:rFonts w:hint="eastAsia" w:ascii="宋体" w:hAnsi="宋体" w:eastAsia="宋体" w:cs="宋体"/>
          <w:sz w:val="28"/>
          <w:szCs w:val="28"/>
        </w:rPr>
        <w:t>汉江</w:t>
      </w:r>
      <w:r>
        <w:rPr>
          <w:rFonts w:hint="eastAsia" w:ascii="宋体" w:hAnsi="宋体" w:eastAsia="宋体" w:cs="宋体"/>
          <w:sz w:val="28"/>
          <w:szCs w:val="28"/>
        </w:rPr>
        <w:fldChar w:fldCharType="end"/>
      </w:r>
      <w:r>
        <w:rPr>
          <w:rFonts w:hint="eastAsia" w:ascii="宋体" w:hAnsi="宋体" w:eastAsia="宋体" w:cs="宋体"/>
          <w:sz w:val="28"/>
          <w:szCs w:val="28"/>
        </w:rPr>
        <w:t>的</w:t>
      </w:r>
      <w:r>
        <w:fldChar w:fldCharType="begin"/>
      </w:r>
      <w:r>
        <w:instrText xml:space="preserve"> HYPERLINK "https://baike.baidu.com/item/%E5%88%86%E6%B0%B4%E5%B2%AD/2651375" \t "https://baike.baidu.com/item/%E4%B8%87%E6%BA%90/_blank" </w:instrText>
      </w:r>
      <w:r>
        <w:fldChar w:fldCharType="separate"/>
      </w:r>
      <w:r>
        <w:rPr>
          <w:rFonts w:hint="eastAsia" w:ascii="宋体" w:hAnsi="宋体" w:eastAsia="宋体" w:cs="宋体"/>
          <w:sz w:val="28"/>
          <w:szCs w:val="28"/>
        </w:rPr>
        <w:t>分水岭</w:t>
      </w:r>
      <w:r>
        <w:rPr>
          <w:rFonts w:hint="eastAsia" w:ascii="宋体" w:hAnsi="宋体" w:eastAsia="宋体" w:cs="宋体"/>
          <w:sz w:val="28"/>
          <w:szCs w:val="28"/>
        </w:rPr>
        <w:fldChar w:fldCharType="end"/>
      </w:r>
      <w:r>
        <w:rPr>
          <w:rFonts w:hint="eastAsia" w:ascii="宋体" w:hAnsi="宋体" w:eastAsia="宋体" w:cs="宋体"/>
          <w:sz w:val="28"/>
          <w:szCs w:val="28"/>
        </w:rPr>
        <w:t>，因地处万顷池和诸水源头而得名。区位优势明显，是四川省陆路交通出川的主要通道，素有“秦川锁钥”之称，</w:t>
      </w:r>
      <w:r>
        <w:fldChar w:fldCharType="begin"/>
      </w:r>
      <w:r>
        <w:instrText xml:space="preserve"> HYPERLINK "https://baike.baidu.com/item/%E8%A5%84%E6%B8%9D%E9%93%81%E8%B7%AF/4394398" \t "https://baike.baidu.com/item/%E4%B8%87%E6%BA%90/_blank" </w:instrText>
      </w:r>
      <w:r>
        <w:fldChar w:fldCharType="separate"/>
      </w:r>
      <w:r>
        <w:rPr>
          <w:rFonts w:hint="eastAsia" w:ascii="宋体" w:hAnsi="宋体" w:eastAsia="宋体" w:cs="宋体"/>
          <w:sz w:val="28"/>
          <w:szCs w:val="28"/>
        </w:rPr>
        <w:t>襄渝铁路</w:t>
      </w:r>
      <w:r>
        <w:rPr>
          <w:rFonts w:hint="eastAsia" w:ascii="宋体" w:hAnsi="宋体" w:eastAsia="宋体" w:cs="宋体"/>
          <w:sz w:val="28"/>
          <w:szCs w:val="28"/>
        </w:rPr>
        <w:fldChar w:fldCharType="end"/>
      </w:r>
      <w:r>
        <w:rPr>
          <w:rFonts w:hint="eastAsia" w:ascii="宋体" w:hAnsi="宋体" w:eastAsia="宋体" w:cs="宋体"/>
          <w:sz w:val="28"/>
          <w:szCs w:val="28"/>
        </w:rPr>
        <w:t>、</w:t>
      </w:r>
      <w:r>
        <w:fldChar w:fldCharType="begin"/>
      </w:r>
      <w:r>
        <w:instrText xml:space="preserve"> HYPERLINK "https://baike.baidu.com/item/%E5%8C%85%E8%8C%82%E9%AB%98%E9%80%9F/7678889" \t "https://baike.baidu.com/item/%E4%B8%87%E6%BA%90/_blank" </w:instrText>
      </w:r>
      <w:r>
        <w:fldChar w:fldCharType="separate"/>
      </w:r>
      <w:r>
        <w:rPr>
          <w:rFonts w:hint="eastAsia" w:ascii="宋体" w:hAnsi="宋体" w:eastAsia="宋体" w:cs="宋体"/>
          <w:sz w:val="28"/>
          <w:szCs w:val="28"/>
        </w:rPr>
        <w:t>包茂高速</w:t>
      </w:r>
      <w:r>
        <w:rPr>
          <w:rFonts w:hint="eastAsia" w:ascii="宋体" w:hAnsi="宋体" w:eastAsia="宋体" w:cs="宋体"/>
          <w:sz w:val="28"/>
          <w:szCs w:val="28"/>
        </w:rPr>
        <w:fldChar w:fldCharType="end"/>
      </w:r>
      <w:r>
        <w:rPr>
          <w:rFonts w:hint="eastAsia" w:ascii="宋体" w:hAnsi="宋体" w:eastAsia="宋体" w:cs="宋体"/>
          <w:sz w:val="28"/>
          <w:szCs w:val="28"/>
        </w:rPr>
        <w:t>、国道210线和347线等交通干线过境。万源市素有“万宝之源”的美誉，是中国三大富硒带之一、四川省唯一天然富硒区。“十四五”时期，万源市将站在全面建成小康社会的新起点上，</w:t>
      </w:r>
      <w:bookmarkStart w:id="129" w:name="_GoBack"/>
      <w:bookmarkEnd w:id="129"/>
      <w:r>
        <w:rPr>
          <w:rFonts w:hint="eastAsia" w:ascii="宋体" w:hAnsi="宋体" w:eastAsia="宋体" w:cs="宋体"/>
          <w:sz w:val="28"/>
          <w:szCs w:val="28"/>
        </w:rPr>
        <w:t>要主动适应国内外发展环境和条件的变化，认真践行新发展理念，推动高质量发展，为实现第二个百年奋斗目标奠定坚实基础。</w:t>
      </w:r>
    </w:p>
    <w:p>
      <w:pPr>
        <w:spacing w:line="300" w:lineRule="auto"/>
        <w:outlineLvl w:val="2"/>
        <w:rPr>
          <w:rFonts w:ascii="楷体" w:hAnsi="楷体" w:eastAsia="楷体" w:cs="楷体"/>
          <w:b/>
          <w:bCs/>
          <w:sz w:val="30"/>
          <w:szCs w:val="30"/>
        </w:rPr>
      </w:pPr>
      <w:bookmarkStart w:id="7" w:name="_Toc19639"/>
      <w:bookmarkStart w:id="8" w:name="_Toc9852"/>
      <w:bookmarkStart w:id="9" w:name="_Toc71704106"/>
      <w:r>
        <w:rPr>
          <w:rFonts w:hint="eastAsia" w:ascii="楷体" w:hAnsi="楷体" w:eastAsia="楷体" w:cs="楷体"/>
          <w:b/>
          <w:bCs/>
          <w:sz w:val="30"/>
          <w:szCs w:val="30"/>
        </w:rPr>
        <w:t>1、发展现状</w:t>
      </w:r>
      <w:bookmarkEnd w:id="7"/>
      <w:bookmarkEnd w:id="8"/>
      <w:bookmarkEnd w:id="9"/>
    </w:p>
    <w:p>
      <w:pPr>
        <w:pStyle w:val="14"/>
        <w:widowControl/>
        <w:shd w:val="clear" w:color="auto" w:fill="FFFFFF"/>
        <w:spacing w:beforeAutospacing="0" w:afterAutospacing="0" w:line="36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十三五”时期，万源全面贯彻新发展理念和高质量发展要求，坚定落实四川省委、省政府重大战略和达州市委、市政府决策部署，统筹推进稳增长、促改革、调结构、惠民生、防风险各方面工作，经济发展提质增效，社会民生事业全面进步。按照全省基础测绘工作统一安排和万源市基础测绘“十三五”规划，全面落实党的路线、方针、政策和市委、市政府重大决策部署，团结奋斗，奋力拼搏，开拓创新，为全市经济跨越式发展做出了积极的贡献。通过基础测绘服务的应用，使“十三五”社会经济、交通、旅游、水利等产业发展取得了更为理想的效果。</w:t>
      </w:r>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十三五”期间，按照全省基础测绘工作统一安排和万源市基础测绘“十三五”规划，实施了测绘基准完善与维护、市级基础地理信息更新、数字万源地理空间框架建设、城市地图集编制等重点工程，完成了规划确定的主要目标和任务,测绘地理信息服务与保障能力有所提升。</w:t>
      </w:r>
    </w:p>
    <w:p>
      <w:pPr>
        <w:spacing w:line="300" w:lineRule="auto"/>
        <w:ind w:firstLine="562" w:firstLineChars="200"/>
        <w:rPr>
          <w:rFonts w:ascii="宋体" w:hAnsi="宋体" w:eastAsia="宋体" w:cs="宋体"/>
          <w:kern w:val="0"/>
          <w:sz w:val="28"/>
          <w:szCs w:val="28"/>
        </w:rPr>
      </w:pPr>
      <w:r>
        <w:rPr>
          <w:rFonts w:hint="eastAsia" w:ascii="宋体" w:hAnsi="宋体" w:eastAsia="宋体" w:cs="宋体"/>
          <w:b/>
          <w:bCs/>
          <w:color w:val="000000"/>
          <w:kern w:val="0"/>
          <w:sz w:val="28"/>
          <w:szCs w:val="28"/>
        </w:rPr>
        <w:t>现代测绘基准体系初步建成。</w:t>
      </w:r>
      <w:r>
        <w:rPr>
          <w:rFonts w:hint="eastAsia" w:ascii="宋体" w:hAnsi="宋体" w:eastAsia="宋体" w:cs="宋体"/>
          <w:kern w:val="0"/>
          <w:sz w:val="28"/>
          <w:szCs w:val="28"/>
        </w:rPr>
        <w:t>“万源市2000国家大地坐标系控制网建设项目”于2019年8月生产完成。万源市在参考全市1:10000比例尺地形图及全市遥感影像的基础上，布设了覆盖全市的控制网，实现省级卫星定位连续运行基准站系统覆盖全市域，形成了较为完备的现代平面控制网和高程控制网。完成实测总面积</w:t>
      </w:r>
      <w:r>
        <w:rPr>
          <w:rFonts w:ascii="宋体" w:hAnsi="宋体" w:eastAsia="宋体" w:cs="宋体"/>
          <w:kern w:val="0"/>
          <w:sz w:val="28"/>
          <w:szCs w:val="28"/>
        </w:rPr>
        <w:t>4065</w:t>
      </w:r>
      <w:r>
        <w:rPr>
          <w:rFonts w:hint="eastAsia" w:ascii="宋体" w:hAnsi="宋体" w:eastAsia="宋体" w:cs="宋体"/>
          <w:kern w:val="0"/>
          <w:sz w:val="28"/>
          <w:szCs w:val="28"/>
        </w:rPr>
        <w:t>平方公里，并建立了基础测绘控制网数据库。现有万源独立坐标系和与省级、市级联动的1954年北京坐标系、1980西安坐标系及2000国家大地坐标系成果数据。其中2000国家大地坐标系GPS</w:t>
      </w:r>
      <w:r>
        <w:rPr>
          <w:rStyle w:val="19"/>
          <w:rFonts w:hint="eastAsia" w:ascii="宋体" w:hAnsi="宋体" w:eastAsia="宋体" w:cs="宋体"/>
          <w:kern w:val="0"/>
          <w:sz w:val="28"/>
          <w:szCs w:val="28"/>
        </w:rPr>
        <w:footnoteReference w:id="0"/>
      </w:r>
      <w:r>
        <w:rPr>
          <w:rFonts w:hint="eastAsia" w:ascii="宋体" w:hAnsi="宋体" w:eastAsia="宋体" w:cs="宋体"/>
          <w:kern w:val="0"/>
          <w:sz w:val="28"/>
          <w:szCs w:val="28"/>
        </w:rPr>
        <w:t>控制点261个，其中C级控制点21个，D级控制点211个，E级控制点29个以及</w:t>
      </w:r>
      <w:r>
        <w:rPr>
          <w:rFonts w:ascii="宋体" w:hAnsi="宋体" w:eastAsia="宋体" w:cs="宋体"/>
          <w:kern w:val="0"/>
          <w:sz w:val="28"/>
          <w:szCs w:val="28"/>
        </w:rPr>
        <w:t>CORS</w:t>
      </w:r>
      <w:r>
        <w:rPr>
          <w:rStyle w:val="19"/>
          <w:rFonts w:ascii="宋体" w:hAnsi="宋体" w:eastAsia="宋体" w:cs="宋体"/>
          <w:kern w:val="0"/>
          <w:sz w:val="28"/>
          <w:szCs w:val="28"/>
        </w:rPr>
        <w:footnoteReference w:id="1"/>
      </w:r>
      <w:r>
        <w:rPr>
          <w:rFonts w:hint="eastAsia" w:ascii="宋体" w:hAnsi="宋体" w:eastAsia="宋体" w:cs="宋体"/>
          <w:kern w:val="0"/>
          <w:sz w:val="28"/>
          <w:szCs w:val="28"/>
        </w:rPr>
        <w:t>站1座。现代测绘基准体系初步建成得益于万源市基础测绘“十三五”规划工作的开展，有效服务万源市“十三五”期间城市规划建设。</w:t>
      </w:r>
    </w:p>
    <w:p>
      <w:pPr>
        <w:pStyle w:val="14"/>
        <w:widowControl/>
        <w:shd w:val="clear" w:color="auto" w:fill="FFFFFF"/>
        <w:spacing w:beforeAutospacing="0" w:afterAutospacing="0" w:line="300" w:lineRule="auto"/>
        <w:ind w:firstLine="562" w:firstLineChars="200"/>
        <w:jc w:val="both"/>
        <w:rPr>
          <w:rFonts w:ascii="宋体" w:hAnsi="宋体" w:eastAsia="宋体" w:cs="宋体"/>
          <w:sz w:val="28"/>
          <w:szCs w:val="28"/>
        </w:rPr>
      </w:pPr>
      <w:r>
        <w:rPr>
          <w:rFonts w:hint="eastAsia" w:ascii="宋体" w:hAnsi="宋体" w:eastAsia="宋体" w:cs="宋体"/>
          <w:b/>
          <w:bCs/>
          <w:sz w:val="28"/>
          <w:szCs w:val="28"/>
        </w:rPr>
        <w:t>基础地理信息数据资源不断丰富。</w:t>
      </w:r>
      <w:r>
        <w:rPr>
          <w:rFonts w:hint="eastAsia" w:ascii="宋体" w:hAnsi="宋体" w:eastAsia="宋体" w:cs="宋体"/>
          <w:sz w:val="28"/>
          <w:szCs w:val="28"/>
        </w:rPr>
        <w:t>近年来，万源市城镇化进程加快，基础设施建设不断完善，城镇基础地理信息数据不断丰富，其中包括全市域的基本比例尺地图、遥感影像、1:10000比例尺地形图、农村地籍更新调查数据、土地所有权数据、永久基本农田、城镇开发边界、中心城区和重点区域边界等基本数据。现有生态保护红线、河湖岸线数据、旅游景区数据、生态保护林数据、重要水源地数据为万源市生态环境安全提供保障。</w:t>
      </w:r>
    </w:p>
    <w:p>
      <w:pPr>
        <w:spacing w:line="578" w:lineRule="exact"/>
        <w:ind w:firstLine="562" w:firstLineChars="200"/>
        <w:jc w:val="left"/>
        <w:rPr>
          <w:rFonts w:ascii="宋体" w:hAnsi="宋体" w:eastAsia="宋体" w:cs="宋体"/>
          <w:kern w:val="0"/>
          <w:sz w:val="28"/>
          <w:szCs w:val="28"/>
        </w:rPr>
      </w:pPr>
      <w:r>
        <w:rPr>
          <w:rFonts w:hint="eastAsia" w:ascii="宋体" w:hAnsi="宋体" w:eastAsia="宋体" w:cs="宋体"/>
          <w:b/>
          <w:bCs/>
          <w:kern w:val="0"/>
          <w:sz w:val="28"/>
          <w:szCs w:val="28"/>
        </w:rPr>
        <w:t>地理信息应用服务广泛深入</w:t>
      </w:r>
      <w:r>
        <w:rPr>
          <w:rFonts w:hint="eastAsia" w:ascii="宋体" w:hAnsi="宋体" w:eastAsia="宋体" w:cs="宋体"/>
          <w:b/>
          <w:bCs/>
          <w:color w:val="000000"/>
          <w:kern w:val="0"/>
          <w:sz w:val="28"/>
          <w:szCs w:val="28"/>
        </w:rPr>
        <w:t>。</w:t>
      </w:r>
      <w:r>
        <w:rPr>
          <w:rFonts w:hint="eastAsia" w:ascii="宋体" w:hAnsi="宋体" w:eastAsia="宋体" w:cs="宋体"/>
          <w:kern w:val="0"/>
          <w:sz w:val="28"/>
          <w:szCs w:val="28"/>
        </w:rPr>
        <w:t>“十三五”期间，万源市在已有的基础测绘相关成果的基础上，结合各部门单位的业务需求，广泛地进行了地理信息的深入应用，为自然资源、国土空间规划、城市发展、旅游资源管理和规划、生态环境保护、农业发展、交通运输等提供了地理信息数据支撑和保障服务。在矿山资源开发、环境保护与整治、灾害监测及防灾减灾等地理信息应用方面，优越性明显。为万源市数据的快速获取、运算及处理、高精度目标定位、空间瞬时模拟、区域发展规划决策等领域提供关键作用。</w:t>
      </w:r>
    </w:p>
    <w:p>
      <w:pPr>
        <w:spacing w:line="578" w:lineRule="exact"/>
        <w:ind w:firstLine="562" w:firstLineChars="200"/>
        <w:jc w:val="left"/>
        <w:rPr>
          <w:rFonts w:ascii="宋体" w:hAnsi="宋体" w:eastAsia="宋体" w:cs="宋体"/>
          <w:kern w:val="0"/>
          <w:sz w:val="28"/>
          <w:szCs w:val="28"/>
        </w:rPr>
      </w:pPr>
      <w:r>
        <w:rPr>
          <w:rFonts w:hint="eastAsia" w:ascii="宋体" w:hAnsi="宋体" w:eastAsia="宋体" w:cs="宋体"/>
          <w:b/>
          <w:bCs/>
          <w:color w:val="000000"/>
          <w:kern w:val="0"/>
          <w:sz w:val="28"/>
          <w:szCs w:val="28"/>
        </w:rPr>
        <w:t>全面推动水利事业。</w:t>
      </w:r>
      <w:r>
        <w:rPr>
          <w:rFonts w:hint="eastAsia" w:ascii="宋体" w:hAnsi="宋体" w:eastAsia="宋体" w:cs="宋体"/>
          <w:kern w:val="0"/>
          <w:sz w:val="28"/>
          <w:szCs w:val="28"/>
        </w:rPr>
        <w:t>“十三五”期间，通过对基础测绘成果的有效利用，全市水利工作取得显著成绩。水利体系完成现代化治理，水利信息化水平显著提升，精确的测量工作，如沉降观测、变形观测等，为水利工程建设并提供了准确的资料。水资源、水库、河道、水务办公等管理信息系统建设速度加快。深入实施水利基础建设提升工程，新建集中供水269处，分散供水10448处；有效应对了“6.20”“7.16”等洪水灾害，全力维护了人民群众的生命财产安全。实现了“十三五”圆满收官，为“十四五”水利发展打下了坚实基础。</w:t>
      </w:r>
    </w:p>
    <w:p>
      <w:pPr>
        <w:spacing w:line="300" w:lineRule="auto"/>
        <w:outlineLvl w:val="2"/>
        <w:rPr>
          <w:rFonts w:ascii="楷体" w:hAnsi="楷体" w:eastAsia="楷体" w:cs="楷体"/>
          <w:b/>
          <w:bCs/>
          <w:sz w:val="30"/>
          <w:szCs w:val="30"/>
        </w:rPr>
      </w:pPr>
      <w:bookmarkStart w:id="10" w:name="_Toc71704107"/>
      <w:bookmarkStart w:id="11" w:name="_Toc19789"/>
      <w:bookmarkStart w:id="12" w:name="_Toc13923"/>
      <w:r>
        <w:rPr>
          <w:rFonts w:hint="eastAsia" w:ascii="楷体" w:hAnsi="楷体" w:eastAsia="楷体" w:cs="楷体"/>
          <w:b/>
          <w:bCs/>
          <w:sz w:val="30"/>
          <w:szCs w:val="30"/>
        </w:rPr>
        <w:t>2、存在不足</w:t>
      </w:r>
      <w:bookmarkEnd w:id="10"/>
      <w:bookmarkEnd w:id="11"/>
      <w:bookmarkEnd w:id="12"/>
    </w:p>
    <w:p>
      <w:pPr>
        <w:spacing w:line="300" w:lineRule="auto"/>
        <w:ind w:firstLine="560" w:firstLineChars="200"/>
        <w:rPr>
          <w:rFonts w:ascii="仿宋" w:hAnsi="仿宋" w:eastAsia="仿宋" w:cs="仿宋"/>
          <w:kern w:val="0"/>
          <w:sz w:val="28"/>
          <w:szCs w:val="28"/>
        </w:rPr>
      </w:pPr>
      <w:r>
        <w:rPr>
          <w:rFonts w:hint="eastAsia" w:ascii="宋体" w:hAnsi="宋体" w:eastAsia="宋体" w:cs="宋体"/>
          <w:kern w:val="0"/>
          <w:sz w:val="28"/>
          <w:szCs w:val="28"/>
        </w:rPr>
        <w:t>面临“十四五”时期新发展新需求，万源市基础测绘建设还处于需要不断完善阶段。</w:t>
      </w:r>
      <w:r>
        <w:rPr>
          <w:rFonts w:hint="eastAsia" w:ascii="宋体" w:hAnsi="宋体" w:eastAsia="宋体" w:cs="宋体"/>
          <w:b/>
          <w:bCs/>
          <w:color w:val="000000"/>
          <w:kern w:val="0"/>
          <w:sz w:val="28"/>
          <w:szCs w:val="28"/>
        </w:rPr>
        <w:t>一是地理信息数据较少。</w:t>
      </w:r>
      <w:r>
        <w:rPr>
          <w:rFonts w:hint="eastAsia" w:ascii="宋体" w:hAnsi="宋体" w:eastAsia="宋体" w:cs="宋体"/>
          <w:kern w:val="0"/>
          <w:sz w:val="28"/>
          <w:szCs w:val="28"/>
        </w:rPr>
        <w:t>万源市目前的基础地理信息数据资源较少，现势性较差，无法满足“十四五”期间万源市基础测绘设施、生态文明、新型城镇化等建设工作的开展。</w:t>
      </w:r>
      <w:r>
        <w:rPr>
          <w:rFonts w:hint="eastAsia" w:ascii="宋体" w:hAnsi="宋体" w:eastAsia="宋体" w:cs="宋体"/>
          <w:b/>
          <w:bCs/>
          <w:color w:val="000000"/>
          <w:kern w:val="0"/>
          <w:sz w:val="28"/>
          <w:szCs w:val="28"/>
        </w:rPr>
        <w:t>二是基础测绘综合服务能力偏弱。</w:t>
      </w:r>
      <w:r>
        <w:rPr>
          <w:rFonts w:hint="eastAsia" w:ascii="宋体" w:hAnsi="宋体" w:eastAsia="宋体" w:cs="宋体"/>
          <w:kern w:val="0"/>
          <w:sz w:val="28"/>
          <w:szCs w:val="28"/>
        </w:rPr>
        <w:t>虽然通过现代测绘基准体系的初步建立，万源市已统一使用2000国家大地坐标系，但是对基础</w:t>
      </w:r>
      <w:r>
        <w:rPr>
          <w:rFonts w:hint="eastAsia" w:ascii="宋体" w:hAnsi="宋体" w:eastAsia="宋体" w:cs="宋体"/>
          <w:color w:val="000000"/>
          <w:kern w:val="0"/>
          <w:sz w:val="28"/>
          <w:szCs w:val="28"/>
        </w:rPr>
        <w:t>测绘综合服务能力方面还是不够重视，导致</w:t>
      </w:r>
      <w:r>
        <w:rPr>
          <w:rFonts w:hint="eastAsia" w:ascii="宋体" w:hAnsi="宋体" w:eastAsia="宋体" w:cs="宋体"/>
          <w:kern w:val="0"/>
          <w:sz w:val="28"/>
          <w:szCs w:val="28"/>
        </w:rPr>
        <w:t>现有的测绘成果难以满足万源市发展所需。</w:t>
      </w:r>
      <w:r>
        <w:rPr>
          <w:rFonts w:hint="eastAsia" w:ascii="宋体" w:hAnsi="宋体" w:eastAsia="宋体" w:cs="宋体"/>
          <w:b/>
          <w:bCs/>
          <w:color w:val="000000"/>
          <w:kern w:val="0"/>
          <w:sz w:val="28"/>
          <w:szCs w:val="28"/>
        </w:rPr>
        <w:t>三是测绘地理信息支撑服务能力还需进一步提升。</w:t>
      </w:r>
      <w:r>
        <w:rPr>
          <w:rFonts w:hint="eastAsia" w:ascii="宋体" w:hAnsi="宋体" w:eastAsia="宋体" w:cs="宋体"/>
          <w:color w:val="000000"/>
          <w:kern w:val="0"/>
          <w:sz w:val="28"/>
          <w:szCs w:val="28"/>
        </w:rPr>
        <w:t>万源市</w:t>
      </w:r>
      <w:r>
        <w:rPr>
          <w:rFonts w:hint="eastAsia" w:ascii="宋体" w:hAnsi="宋体" w:eastAsia="宋体" w:cs="宋体"/>
          <w:kern w:val="0"/>
          <w:sz w:val="28"/>
          <w:szCs w:val="28"/>
        </w:rPr>
        <w:t>现有的测绘地理信息支撑服务能力不能完全满足新时期的发展需求，服务范围不全面、服务内容不够丰富和精细、支撑服务的现代化水平还有待进一步提高，与其他行业的跨界融合还不够深入。</w:t>
      </w:r>
      <w:r>
        <w:rPr>
          <w:rFonts w:hint="eastAsia" w:ascii="宋体" w:hAnsi="宋体" w:eastAsia="宋体" w:cs="宋体"/>
          <w:b/>
          <w:bCs/>
          <w:color w:val="000000"/>
          <w:kern w:val="0"/>
          <w:sz w:val="28"/>
          <w:szCs w:val="28"/>
        </w:rPr>
        <w:t>四是缺乏测绘专业人才。</w:t>
      </w:r>
      <w:r>
        <w:rPr>
          <w:rFonts w:hint="eastAsia" w:ascii="宋体" w:hAnsi="宋体" w:eastAsia="宋体" w:cs="宋体"/>
          <w:kern w:val="0"/>
          <w:sz w:val="28"/>
          <w:szCs w:val="28"/>
        </w:rPr>
        <w:t>目前万源市基础测绘力量较为薄弱，测绘技术水平方面还有限，人才层次和结构有待进一步优化，包括测绘机制不够健全，相应的测绘机构较少，测绘专业和地理信息专业人才严重缺乏。</w:t>
      </w:r>
      <w:r>
        <w:rPr>
          <w:rFonts w:hint="eastAsia" w:ascii="宋体" w:hAnsi="宋体" w:eastAsia="宋体" w:cs="宋体"/>
          <w:b/>
          <w:bCs/>
          <w:kern w:val="0"/>
          <w:sz w:val="28"/>
          <w:szCs w:val="28"/>
        </w:rPr>
        <w:t>五是测绘财政投入不足。</w:t>
      </w:r>
      <w:r>
        <w:rPr>
          <w:rFonts w:hint="eastAsia" w:ascii="宋体" w:hAnsi="宋体" w:eastAsia="宋体" w:cs="宋体"/>
          <w:kern w:val="0"/>
          <w:sz w:val="28"/>
          <w:szCs w:val="28"/>
        </w:rPr>
        <w:t>测绘相关设备少，无法满足各行业的需求，使得测绘相关工程进度慢，限制了基础测绘的发展和应用。</w:t>
      </w:r>
      <w:r>
        <w:rPr>
          <w:rFonts w:hint="eastAsia" w:ascii="宋体" w:hAnsi="宋体" w:eastAsia="宋体" w:cs="宋体"/>
          <w:b/>
          <w:bCs/>
          <w:kern w:val="0"/>
          <w:sz w:val="28"/>
          <w:szCs w:val="28"/>
        </w:rPr>
        <w:t>六</w:t>
      </w:r>
      <w:r>
        <w:rPr>
          <w:rFonts w:hint="eastAsia" w:ascii="宋体" w:hAnsi="宋体" w:eastAsia="宋体" w:cs="宋体"/>
          <w:b/>
          <w:bCs/>
          <w:color w:val="000000"/>
          <w:kern w:val="0"/>
          <w:sz w:val="28"/>
          <w:szCs w:val="28"/>
        </w:rPr>
        <w:t>是基础测绘</w:t>
      </w:r>
      <w:r>
        <w:rPr>
          <w:rFonts w:hint="eastAsia" w:ascii="宋体" w:hAnsi="宋体" w:eastAsia="宋体" w:cs="宋体"/>
          <w:b/>
          <w:bCs/>
          <w:kern w:val="0"/>
          <w:sz w:val="28"/>
          <w:szCs w:val="28"/>
        </w:rPr>
        <w:t>共享机制不完善。</w:t>
      </w:r>
      <w:r>
        <w:rPr>
          <w:rFonts w:hint="eastAsia" w:ascii="宋体" w:hAnsi="宋体" w:eastAsia="宋体" w:cs="宋体"/>
          <w:kern w:val="0"/>
          <w:sz w:val="28"/>
          <w:szCs w:val="28"/>
        </w:rPr>
        <w:t>每个部门之间在基础测绘上没有形成统一衔接的数据共享机制，使基础测绘信息不能互通互用，数据资源难以实现共享互换，且往往分散管理，利用率低。</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13" w:name="_Toc21253"/>
      <w:bookmarkStart w:id="14" w:name="_Toc13775"/>
      <w:bookmarkStart w:id="15" w:name="_Toc71704108"/>
      <w:r>
        <w:rPr>
          <w:rFonts w:hint="eastAsia" w:ascii="楷体" w:hAnsi="楷体" w:eastAsia="楷体" w:cs="楷体"/>
          <w:b/>
          <w:bCs/>
          <w:sz w:val="32"/>
          <w:szCs w:val="32"/>
        </w:rPr>
        <w:t>二、形势分析</w:t>
      </w:r>
      <w:bookmarkEnd w:id="13"/>
      <w:bookmarkEnd w:id="14"/>
      <w:bookmarkEnd w:id="15"/>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ascii="宋体" w:hAnsi="宋体" w:eastAsia="宋体" w:cs="宋体"/>
          <w:sz w:val="28"/>
          <w:szCs w:val="28"/>
        </w:rPr>
        <w:t>2021</w:t>
      </w:r>
      <w:r>
        <w:rPr>
          <w:rFonts w:hint="eastAsia" w:ascii="宋体" w:hAnsi="宋体" w:eastAsia="宋体" w:cs="宋体"/>
          <w:sz w:val="28"/>
          <w:szCs w:val="28"/>
        </w:rPr>
        <w:t>年是中国共产党成立100周年，是“十四五”规划开局之年，也是万源市现代化建设进程中具有里程碑意义的一年。“十四五”时期是“两个百年”历史交汇点，是建设“幸福美丽”万源的机遇期、关键期。国家“一带一路”、长江经济带、万达开川渝统筹发展示范区等国家战略深入实施，必将为万源提供千载难逢的重大发展机遇；省委“一主三副”发展布局，万源市委“一核三轴两翼多支点”区域经济布局和“两区一地”发展目标，为万源发展指明了前进方向，增添了不竭动力。基础测绘是指为国民经济和社会发展以及为国家各个部门和各项专业测绘提供</w:t>
      </w:r>
      <w:r>
        <w:fldChar w:fldCharType="begin"/>
      </w:r>
      <w:r>
        <w:instrText xml:space="preserve"> HYPERLINK "https://baike.baidu.com/item/%E5%9F%BA%E7%A1%80%E5%9C%B0%E7%90%86%E4%BF%A1%E6%81%AF/2273035" \t "https://baike.baidu.com/item/%E5%9F%BA%E7%A1%80%E6%B5%8B%E7%BB%98/_blank" </w:instrText>
      </w:r>
      <w:r>
        <w:fldChar w:fldCharType="separate"/>
      </w:r>
      <w:r>
        <w:rPr>
          <w:rFonts w:ascii="宋体" w:hAnsi="宋体" w:eastAsia="宋体" w:cs="宋体"/>
          <w:sz w:val="28"/>
          <w:szCs w:val="28"/>
        </w:rPr>
        <w:t>基础地理信息</w:t>
      </w:r>
      <w:r>
        <w:rPr>
          <w:rFonts w:ascii="宋体" w:hAnsi="宋体" w:eastAsia="宋体" w:cs="宋体"/>
          <w:sz w:val="28"/>
          <w:szCs w:val="28"/>
        </w:rPr>
        <w:fldChar w:fldCharType="end"/>
      </w:r>
      <w:r>
        <w:rPr>
          <w:rFonts w:hint="eastAsia" w:ascii="宋体" w:hAnsi="宋体" w:eastAsia="宋体" w:cs="宋体"/>
          <w:sz w:val="28"/>
          <w:szCs w:val="28"/>
        </w:rPr>
        <w:t>。基础测绘是建设万源的框架和核心，大数据时代的到来为基础测绘提供了更先进、更广泛的技术手段。在新时期，基础测绘产业就是地理信息产业，基础测绘成果就是城市基础地理信息。</w:t>
      </w:r>
    </w:p>
    <w:p>
      <w:pPr>
        <w:spacing w:line="300" w:lineRule="auto"/>
        <w:outlineLvl w:val="2"/>
        <w:rPr>
          <w:rFonts w:ascii="楷体" w:hAnsi="楷体" w:eastAsia="楷体" w:cs="楷体"/>
          <w:b/>
          <w:bCs/>
          <w:sz w:val="30"/>
          <w:szCs w:val="30"/>
        </w:rPr>
      </w:pPr>
      <w:bookmarkStart w:id="16" w:name="_Toc10081"/>
      <w:bookmarkStart w:id="17" w:name="_Toc3029"/>
      <w:r>
        <w:rPr>
          <w:rFonts w:hint="eastAsia" w:ascii="楷体" w:hAnsi="楷体" w:eastAsia="楷体" w:cs="楷体"/>
          <w:b/>
          <w:bCs/>
          <w:sz w:val="30"/>
          <w:szCs w:val="30"/>
        </w:rPr>
        <w:t>1、万源市重大战略发展提出的新需求</w:t>
      </w:r>
      <w:bookmarkEnd w:id="16"/>
      <w:bookmarkEnd w:id="17"/>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达州部分区县已和重庆部分区县签署了区域协同发展合作协议，万源将积极抢抓“十四五”规划编制出台的重大契机，协同争取国家支持优化渝东北区域主体功能划分、飞地经济与生态补偿动态挂钩等改革试点，积极探索双方合作、多方参与模式。基础测绘作为基础支撑可以加快重大基础设施、重大产业、重大开放合作和重大公共服务项目的实施，推进基础设施互联互通，产业发展互补互促，文旅融合互联互惠。重大战略实施需要不断发展建设测绘地理信息服务作为基础保障，以提升地理信息资源核心供给能力为主体，提高基础地理信息数据的精度、丰富数据内容，提升数据的现势性，以推进基础设施建设，加快数字发展，为万源市发展战略实施提供保驾护航的基础测绘先行作用。</w:t>
      </w:r>
    </w:p>
    <w:p>
      <w:pPr>
        <w:spacing w:line="300" w:lineRule="auto"/>
        <w:outlineLvl w:val="2"/>
        <w:rPr>
          <w:rFonts w:ascii="楷体" w:hAnsi="楷体" w:eastAsia="楷体" w:cs="楷体"/>
          <w:b/>
          <w:bCs/>
          <w:sz w:val="30"/>
          <w:szCs w:val="30"/>
        </w:rPr>
      </w:pPr>
      <w:bookmarkStart w:id="18" w:name="_Toc17906"/>
      <w:bookmarkStart w:id="19" w:name="_Toc10192"/>
      <w:r>
        <w:rPr>
          <w:rFonts w:hint="eastAsia" w:ascii="楷体" w:hAnsi="楷体" w:eastAsia="楷体" w:cs="楷体"/>
          <w:b/>
          <w:bCs/>
          <w:sz w:val="30"/>
          <w:szCs w:val="30"/>
        </w:rPr>
        <w:t>2、自然资源“两统一”职责履行提出新需求</w:t>
      </w:r>
      <w:bookmarkEnd w:id="18"/>
      <w:bookmarkEnd w:id="19"/>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机构改革后，测绘地理信息融入新的工作体制环境，测绘地理信息工作也从以往较为独立的系统转为支撑自然资源部门行使“两统一”职责的组成部分，同时兼顾保障支撑国民经济建设，基础测绘服务范畴更加广泛，服务对象和目标更具体、更明确。基础测绘需要提供更加精准、详实、全面的自然资源和规划基础数据、更精细化的管理手段。新形势下，服务好万源市自然资源“两统一”职责的履行，支撑好万源市的自然资源管理，需要切实发挥好测绘地理信息的空间思维和专业技术优势。为国土空间规划、用途管制、生态修复等提供统一的基础，为各项决策提供数据和空间分析支持，形成多级联动、业务协同、精准治理的自然资源管理新模式。</w:t>
      </w:r>
    </w:p>
    <w:p>
      <w:pPr>
        <w:spacing w:line="300" w:lineRule="auto"/>
        <w:outlineLvl w:val="2"/>
        <w:rPr>
          <w:rFonts w:ascii="楷体" w:hAnsi="楷体" w:eastAsia="楷体" w:cs="楷体"/>
          <w:b/>
          <w:bCs/>
          <w:sz w:val="30"/>
          <w:szCs w:val="30"/>
        </w:rPr>
      </w:pPr>
      <w:bookmarkStart w:id="20" w:name="_Toc2050"/>
      <w:bookmarkStart w:id="21" w:name="_Toc21415"/>
      <w:r>
        <w:rPr>
          <w:rFonts w:hint="eastAsia" w:ascii="楷体" w:hAnsi="楷体" w:eastAsia="楷体" w:cs="楷体"/>
          <w:b/>
          <w:bCs/>
          <w:sz w:val="30"/>
          <w:szCs w:val="30"/>
        </w:rPr>
        <w:t>3、社会民生服务提出新需求</w:t>
      </w:r>
      <w:bookmarkEnd w:id="20"/>
      <w:bookmarkEnd w:id="21"/>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当前，导航定位、电子地图、空间分析等地理信息公共服务深入到人民生活的方方面面。为更好满足社会民生服务需求，迫切需要持续完善基础测绘地理信息数据，深化卫星导航定位基准站社会化应用，丰富公益性地图产品，在疫情防控、自然灾害防治等民生保障热点方面提供全面、及时、精准的地理信息保障服务。</w:t>
      </w:r>
    </w:p>
    <w:p>
      <w:pPr>
        <w:spacing w:line="300" w:lineRule="auto"/>
        <w:outlineLvl w:val="2"/>
        <w:rPr>
          <w:rFonts w:ascii="楷体" w:hAnsi="楷体" w:eastAsia="楷体" w:cs="楷体"/>
          <w:b/>
          <w:bCs/>
          <w:sz w:val="30"/>
          <w:szCs w:val="30"/>
        </w:rPr>
      </w:pPr>
      <w:bookmarkStart w:id="22" w:name="_Toc767"/>
      <w:bookmarkStart w:id="23" w:name="_Toc22137"/>
      <w:r>
        <w:rPr>
          <w:rFonts w:hint="eastAsia" w:ascii="楷体" w:hAnsi="楷体" w:eastAsia="楷体" w:cs="楷体"/>
          <w:b/>
          <w:bCs/>
          <w:sz w:val="30"/>
          <w:szCs w:val="30"/>
        </w:rPr>
        <w:t>4、万源市旅游发展提出新需求</w:t>
      </w:r>
      <w:bookmarkEnd w:id="22"/>
      <w:bookmarkEnd w:id="23"/>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目前旅游业发展面临着管理难度大的问题，引入现代测绘技术可以大大降低的旅游资源的管理难度,也为推动现代化旅游业发展创造了有利条件。当前，现代测绘技术在旅游资源管理中的应用方面包括资源调研、开发以及规划，资源动态监控及保护，制作旅游资源遥感图，旅游信息系统的策划、开发，设计虚拟旅游系统等方面。“十四五”期间，以上新型测绘技术应用为万源市完善文旅基础设施，实施旅游大通道建设工程，健全“快进慢游”服务体系，加快推动万源——八台快速通道、冉家坝至中坪旅游道路、万源旅游集散服务中心，布局旅游基础配套设施等提供服务。</w:t>
      </w:r>
    </w:p>
    <w:p>
      <w:pPr>
        <w:spacing w:line="300" w:lineRule="auto"/>
        <w:outlineLvl w:val="2"/>
        <w:rPr>
          <w:rFonts w:ascii="楷体" w:hAnsi="楷体" w:eastAsia="楷体" w:cs="楷体"/>
          <w:b/>
          <w:bCs/>
          <w:sz w:val="30"/>
          <w:szCs w:val="30"/>
        </w:rPr>
      </w:pPr>
      <w:bookmarkStart w:id="24" w:name="_Toc9039"/>
      <w:bookmarkStart w:id="25" w:name="_Toc1491"/>
      <w:r>
        <w:rPr>
          <w:rFonts w:hint="eastAsia" w:ascii="楷体" w:hAnsi="楷体" w:eastAsia="楷体" w:cs="楷体"/>
          <w:b/>
          <w:bCs/>
          <w:sz w:val="30"/>
          <w:szCs w:val="30"/>
        </w:rPr>
        <w:t>5、综合交通运输提出新需求</w:t>
      </w:r>
      <w:bookmarkEnd w:id="24"/>
      <w:bookmarkEnd w:id="25"/>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十四五”时期，是交通运输由“基本适应”向“提质增效”转换的重要时期，是全面贯彻《交通强国建设纲要》，启动交通强省建设的起步时期。围绕全面建成“川渝地区北向开放区域性枢纽节点”，打造万源市连接关中城市群、中原城市群等主要城市“123小时交通圈”（1小时到达巴中、广元、汉中、安康、万州、城口，2小时到达成都、重庆、西安，3小时到达武汉、贵阳、郑州、兰州），市域互联互通水平迈上新台阶，交通开放协调达到新高度。随着万源市交通运输行业的快速发展以及对现代交通的高标准高要求，基础测绘在交通运输中的应用也越来越重要。</w:t>
      </w:r>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现代交通向电子化、自动化、数字化和信息化的方向迈进，需要构建万源市交通地理信息库，为万源市交通发展提供助力。将现代测绘技术融入在交通工程修建和管理中，有加快进程，缩短工期，降低劳动力以及提升交通运输整体质量等诸多方面的优势。建设第五代移动通信技术网络、数据中心、人工智能等信息基础设施，稳步推进智慧交通等融合基础设施，增强网络基础资源支撑能力，构建高层次高水平的新型基础设施体系，全面赋能经济社会高质量发展。</w:t>
      </w:r>
      <w:bookmarkStart w:id="26" w:name="_Toc71704109"/>
      <w:bookmarkStart w:id="27" w:name="_Toc59191103"/>
    </w:p>
    <w:p>
      <w:pPr>
        <w:spacing w:line="300" w:lineRule="auto"/>
        <w:outlineLvl w:val="2"/>
        <w:rPr>
          <w:rFonts w:ascii="楷体" w:hAnsi="楷体" w:eastAsia="楷体" w:cs="楷体"/>
          <w:b/>
          <w:bCs/>
          <w:sz w:val="30"/>
          <w:szCs w:val="30"/>
        </w:rPr>
      </w:pPr>
      <w:bookmarkStart w:id="28" w:name="_Toc29074"/>
      <w:bookmarkStart w:id="29" w:name="_Toc3695"/>
      <w:r>
        <w:rPr>
          <w:rFonts w:hint="eastAsia" w:ascii="楷体" w:hAnsi="楷体" w:eastAsia="楷体" w:cs="楷体"/>
          <w:b/>
          <w:bCs/>
          <w:sz w:val="30"/>
          <w:szCs w:val="30"/>
        </w:rPr>
        <w:t>6、城镇功能质量提升提出新需求</w:t>
      </w:r>
      <w:bookmarkEnd w:id="28"/>
      <w:bookmarkEnd w:id="29"/>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实施城市功能与质量提升行动，全面推进现代山水园林城市建设，大力提升城镇能级，着力打造“生态宜居·至美万源”。城市的整体规划和设计与测绘息息相关,测绘工作是城市建设的基础。需要依托测绘地理信息共享服务平台，建立创新城市管理机制，创新城市设计理念，创新城市管理服务理念，提升城市功能质量，实现信息共享、透明化，提升民生服务和城市治理能力。</w:t>
      </w:r>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基础测绘在城市建设中起着十分重要的作用。它为城市建设提供重要的基础信息、感知信息和应用支撑。测绘技术已经在地理信息采集领域中发展和应用起来,测绘技术所提供的数据更加精准、画面更为生动,让城市地理信息变得可视化,这已成为城市在建设期间极为重要的感知信息。以测绘地理信息数据和技术为基础，以平安城市、智能交通和数字城管为核心内容，积极推进公安、交警、城管、消防等各类资源信息整合，建好智慧城管、智慧交通、智慧消防等应用平台，加快建成智能化电子云平台，现“观管防”同步，联手破解城市治理难点。</w:t>
      </w:r>
    </w:p>
    <w:p>
      <w:pPr>
        <w:spacing w:line="300" w:lineRule="auto"/>
        <w:outlineLvl w:val="2"/>
        <w:rPr>
          <w:rFonts w:ascii="楷体" w:hAnsi="楷体" w:eastAsia="楷体" w:cs="楷体"/>
          <w:b/>
          <w:bCs/>
          <w:sz w:val="30"/>
          <w:szCs w:val="30"/>
        </w:rPr>
      </w:pPr>
      <w:bookmarkStart w:id="30" w:name="_Toc4133"/>
      <w:r>
        <w:rPr>
          <w:rFonts w:hint="eastAsia" w:ascii="楷体" w:hAnsi="楷体" w:eastAsia="楷体" w:cs="楷体"/>
          <w:b/>
          <w:bCs/>
          <w:sz w:val="30"/>
          <w:szCs w:val="30"/>
        </w:rPr>
        <w:t>7、现代化水利建设提出新需求</w:t>
      </w:r>
      <w:bookmarkEnd w:id="30"/>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要加快推进数字化、智能化水利系统建设，以防洪引流为主，实现预报、预警、预防等功能，提高水安全保障能力。针对现今的水利建筑施工中对工程测绘技术的要求，在进行现代的水利工程的施工中,对传统测绘技术应用比较多，对于水利建筑施工的测绘要求较为容易，所以选择相对较为传统的测绘方式，能有效地减少测绘技术应用中产生的中间成本,再利用现代化技术进行复核,从而有效的提升测绘的精确度，这样不仅能为施工奠定良好的基础，而且能有效的提升水利建筑施工质量以及精准度。而针对相对较为复杂的施工环境,不能完全的保障测绘数据的准确性,所以可以采取多种测绘方式来提升测绘精准度，通过对先进测绘技术的应用来有效地降低建筑施工中的测绘的难度以及强度，从而有效地提升测绘的质量，保障建筑施工的有效进行。</w:t>
      </w:r>
    </w:p>
    <w:p>
      <w:pPr>
        <w:spacing w:line="300" w:lineRule="auto"/>
        <w:outlineLvl w:val="2"/>
        <w:rPr>
          <w:rFonts w:ascii="楷体" w:hAnsi="楷体" w:eastAsia="楷体" w:cs="楷体"/>
          <w:b/>
          <w:bCs/>
          <w:sz w:val="30"/>
          <w:szCs w:val="30"/>
        </w:rPr>
      </w:pPr>
      <w:bookmarkStart w:id="31" w:name="_Toc24899"/>
      <w:bookmarkStart w:id="32" w:name="_Toc13889"/>
      <w:r>
        <w:rPr>
          <w:rFonts w:hint="eastAsia" w:ascii="楷体" w:hAnsi="楷体" w:eastAsia="楷体" w:cs="楷体"/>
          <w:b/>
          <w:bCs/>
          <w:sz w:val="30"/>
          <w:szCs w:val="30"/>
        </w:rPr>
        <w:t>8、灾害预警及应急能力提出新需求</w:t>
      </w:r>
      <w:bookmarkEnd w:id="31"/>
      <w:bookmarkEnd w:id="32"/>
    </w:p>
    <w:p>
      <w:pPr>
        <w:spacing w:line="300" w:lineRule="auto"/>
        <w:ind w:firstLine="560" w:firstLineChars="200"/>
        <w:rPr>
          <w:rFonts w:ascii="Times New Roman" w:hAnsi="Times New Roman" w:eastAsia="楷体" w:cs="Times New Roman"/>
          <w:b/>
          <w:sz w:val="44"/>
          <w:szCs w:val="44"/>
        </w:rPr>
      </w:pPr>
      <w:r>
        <w:rPr>
          <w:rFonts w:hint="eastAsia" w:ascii="宋体" w:hAnsi="宋体" w:eastAsia="宋体" w:cs="宋体"/>
          <w:kern w:val="0"/>
          <w:sz w:val="28"/>
          <w:szCs w:val="28"/>
        </w:rPr>
        <w:t>坚持防治并重、综合防治，建立健全防灾减灾救灾工作机制，提高应急测绘管理信息化水平，完善救援体系建设，强化应急救援和保障能力，构筑坚实的综合防灾减灾救灾体系。利用航空遥感技术，对万源市所存在的灾害隐患点进行实地勘察、数据收集、分析入库，建设综合水利、山洪、地震、地质灾害等自然灾害的防灾减灾信息化智慧平台，不断完善自然灾害监测、信息传递、预警预报和科学避灾救灾工程措施和非工程措施，提高科技化防灾救灾和群防群策防灾避灾能力水平。</w:t>
      </w:r>
      <w:r>
        <w:rPr>
          <w:rFonts w:hint="eastAsia" w:ascii="Times New Roman" w:hAnsi="Times New Roman" w:eastAsia="楷体" w:cs="Times New Roman"/>
          <w:b/>
          <w:sz w:val="44"/>
          <w:szCs w:val="44"/>
        </w:rPr>
        <w:br w:type="page"/>
      </w:r>
    </w:p>
    <w:p>
      <w:pPr>
        <w:pStyle w:val="25"/>
        <w:tabs>
          <w:tab w:val="left" w:pos="1418"/>
        </w:tabs>
        <w:adjustRightInd w:val="0"/>
        <w:snapToGrid w:val="0"/>
        <w:spacing w:beforeLines="50" w:afterLines="50" w:line="360" w:lineRule="auto"/>
        <w:ind w:firstLine="0"/>
        <w:jc w:val="center"/>
        <w:outlineLvl w:val="0"/>
        <w:rPr>
          <w:rFonts w:ascii="Times New Roman" w:hAnsi="Times New Roman" w:eastAsia="楷体" w:cs="Times New Roman"/>
          <w:b/>
          <w:sz w:val="44"/>
          <w:szCs w:val="44"/>
        </w:rPr>
      </w:pPr>
      <w:bookmarkStart w:id="33" w:name="_Toc23304"/>
      <w:bookmarkStart w:id="34" w:name="_Toc19604"/>
      <w:r>
        <w:rPr>
          <w:rFonts w:hint="eastAsia" w:ascii="Times New Roman" w:hAnsi="Times New Roman" w:eastAsia="楷体" w:cs="Times New Roman"/>
          <w:b/>
          <w:sz w:val="44"/>
          <w:szCs w:val="44"/>
        </w:rPr>
        <w:t>第二章 总体要求</w:t>
      </w:r>
      <w:bookmarkEnd w:id="26"/>
      <w:bookmarkEnd w:id="27"/>
      <w:bookmarkEnd w:id="33"/>
      <w:bookmarkEnd w:id="34"/>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35" w:name="_Toc32533"/>
      <w:bookmarkStart w:id="36" w:name="_Toc71704110"/>
      <w:bookmarkStart w:id="37" w:name="_Toc59191104"/>
      <w:bookmarkStart w:id="38" w:name="_Toc13422"/>
      <w:r>
        <w:rPr>
          <w:rFonts w:hint="eastAsia" w:ascii="楷体" w:hAnsi="楷体" w:eastAsia="楷体" w:cs="楷体"/>
          <w:b/>
          <w:bCs/>
          <w:sz w:val="32"/>
          <w:szCs w:val="32"/>
        </w:rPr>
        <w:t>一、指导思想</w:t>
      </w:r>
      <w:bookmarkEnd w:id="35"/>
      <w:bookmarkEnd w:id="36"/>
      <w:bookmarkEnd w:id="37"/>
      <w:bookmarkEnd w:id="38"/>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高举中国特色社会主义伟大旗帜，深入贯彻党的十九大和历次全会精神，统筹推进“五位一体”总体布局，协调推进“四个全面”战略布局，坚定不移贯彻新发展理念，坚持稳中求进工作总基调，以深化供给侧结构性改革为主线，以改革创新为根本动力，以满足人民日益增长的美好生活需要为根本目的，以高质量发展为主题，以供给侧结构性改革为主线，以改革创新为根本动力，以构建新型基础测绘体系为引领，奋力谱写新时代测绘地理信息服务新篇章，为全面建设物质富裕、精神富有、生态富足的社会主义现代化万源而努力奋斗。“十四五”时期，在全市发展中加入现代化测绘技术，更好的支持自然资源管理，服务生态文明建设，支持各行各业需求，服务全市经济发展，准确的把握机构改革后基础测绘面临的新形势、新环境、新任务和新要求。</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39" w:name="_Toc59191105"/>
      <w:bookmarkStart w:id="40" w:name="_Toc15291"/>
      <w:bookmarkStart w:id="41" w:name="_Toc71704111"/>
      <w:bookmarkStart w:id="42" w:name="_Toc6373"/>
      <w:r>
        <w:rPr>
          <w:rFonts w:hint="eastAsia" w:ascii="楷体" w:hAnsi="楷体" w:eastAsia="楷体" w:cs="楷体"/>
          <w:b/>
          <w:bCs/>
          <w:sz w:val="32"/>
          <w:szCs w:val="32"/>
        </w:rPr>
        <w:t>二、基本原则</w:t>
      </w:r>
      <w:bookmarkEnd w:id="39"/>
      <w:bookmarkEnd w:id="40"/>
      <w:bookmarkEnd w:id="41"/>
      <w:bookmarkEnd w:id="42"/>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bookmarkStart w:id="43" w:name="_Toc59191106"/>
      <w:bookmarkStart w:id="44" w:name="_Toc71704112"/>
      <w:r>
        <w:rPr>
          <w:rFonts w:hint="eastAsia" w:ascii="宋体" w:hAnsi="宋体" w:eastAsia="宋体" w:cs="宋体"/>
          <w:sz w:val="28"/>
          <w:szCs w:val="28"/>
        </w:rPr>
        <w:t>推动“十四五”时期万源经济社会高质量发展和现代化建设，必须遵循“坚持党的全面领导、坚持以人民为中心、坚持新发展理念、坚持深化改革开放、坚持系统观念”的总体原则，着力把握以下要求。</w:t>
      </w:r>
    </w:p>
    <w:p>
      <w:pPr>
        <w:pStyle w:val="14"/>
        <w:widowControl/>
        <w:shd w:val="clear" w:color="auto" w:fill="FFFFFF"/>
        <w:spacing w:beforeAutospacing="0" w:afterAutospacing="0" w:line="300" w:lineRule="auto"/>
        <w:ind w:firstLine="562" w:firstLineChars="200"/>
        <w:jc w:val="both"/>
        <w:rPr>
          <w:rFonts w:ascii="宋体" w:hAnsi="宋体" w:eastAsia="宋体" w:cs="宋体"/>
          <w:sz w:val="28"/>
          <w:szCs w:val="28"/>
        </w:rPr>
      </w:pPr>
      <w:r>
        <w:rPr>
          <w:rFonts w:hint="eastAsia" w:ascii="宋体" w:hAnsi="宋体" w:eastAsia="宋体" w:cs="宋体"/>
          <w:b/>
          <w:bCs/>
          <w:sz w:val="28"/>
          <w:szCs w:val="28"/>
        </w:rPr>
        <w:t>立足当下、展望未来。</w:t>
      </w:r>
      <w:r>
        <w:rPr>
          <w:rFonts w:hint="eastAsia" w:ascii="宋体" w:hAnsi="宋体" w:eastAsia="宋体" w:cs="宋体"/>
          <w:sz w:val="28"/>
          <w:szCs w:val="28"/>
        </w:rPr>
        <w:t>结合万源市“十三五”基础测绘发展成果和万源市当前的发展刚需，夯实基础，立足当下，继续推动我市测绘地理信息事业的发展。</w:t>
      </w:r>
    </w:p>
    <w:p>
      <w:pPr>
        <w:pStyle w:val="14"/>
        <w:widowControl/>
        <w:shd w:val="clear" w:color="auto" w:fill="FFFFFF"/>
        <w:spacing w:beforeAutospacing="0" w:afterAutospacing="0" w:line="300" w:lineRule="auto"/>
        <w:ind w:firstLine="562" w:firstLineChars="200"/>
        <w:jc w:val="both"/>
        <w:rPr>
          <w:rFonts w:ascii="宋体" w:hAnsi="宋体" w:eastAsia="宋体" w:cs="宋体"/>
          <w:sz w:val="28"/>
          <w:szCs w:val="28"/>
        </w:rPr>
      </w:pPr>
      <w:r>
        <w:rPr>
          <w:rFonts w:hint="eastAsia" w:ascii="宋体" w:hAnsi="宋体" w:eastAsia="宋体" w:cs="宋体"/>
          <w:b/>
          <w:bCs/>
          <w:sz w:val="28"/>
          <w:szCs w:val="28"/>
        </w:rPr>
        <w:t>以测绘为基础，加强现代化建设。</w:t>
      </w:r>
      <w:r>
        <w:rPr>
          <w:rFonts w:hint="eastAsia" w:ascii="宋体" w:hAnsi="宋体" w:eastAsia="宋体" w:cs="宋体"/>
          <w:sz w:val="28"/>
          <w:szCs w:val="28"/>
        </w:rPr>
        <w:t>坚持以全面建设社会主义现代化万源统揽经济社会发展全局，统筹推进经济建设、政治建设、文化建设、社会建设、生态文明建设、党的建设，促进现代化建设各方面协调发展。在现代化建设中，测绘作为基础性工作，对于万源市经济和社会发展有着推动性作用。伴随基础测绘工作的不断深入，为每个领域的建设提供精准的测绘服务。</w:t>
      </w:r>
    </w:p>
    <w:p>
      <w:pPr>
        <w:pStyle w:val="14"/>
        <w:widowControl/>
        <w:shd w:val="clear" w:color="auto" w:fill="FFFFFF"/>
        <w:spacing w:beforeAutospacing="0" w:afterAutospacing="0" w:line="300" w:lineRule="auto"/>
        <w:ind w:firstLine="562" w:firstLineChars="200"/>
        <w:jc w:val="both"/>
        <w:rPr>
          <w:rFonts w:ascii="宋体" w:hAnsi="宋体" w:eastAsia="宋体" w:cs="宋体"/>
          <w:sz w:val="28"/>
          <w:szCs w:val="28"/>
        </w:rPr>
      </w:pPr>
      <w:r>
        <w:rPr>
          <w:rFonts w:hint="eastAsia" w:ascii="宋体" w:hAnsi="宋体" w:eastAsia="宋体" w:cs="宋体"/>
          <w:b/>
          <w:bCs/>
          <w:sz w:val="28"/>
          <w:szCs w:val="28"/>
        </w:rPr>
        <w:t>转型发展、提质增效。</w:t>
      </w:r>
      <w:r>
        <w:rPr>
          <w:rFonts w:hint="eastAsia" w:ascii="宋体" w:hAnsi="宋体" w:eastAsia="宋体" w:cs="宋体"/>
          <w:sz w:val="28"/>
          <w:szCs w:val="28"/>
        </w:rPr>
        <w:t>以服务全市经济社会发展、自然资源管理为出发点和落脚点，急用先测、保证重点、兼顾储备。转变基础测绘发展方式，探索“一库多能、按需组装”新模式，充分发挥基础测绘经济、社会、生态综合效益。顺应新型测绘技术发展趋势，大力开展测绘工作，丰富成果种类，扩大覆盖范围，提高更新频率，提升科技创新对基础测绘发展的贡献率。提升人才队伍和重大装备支撑能力，促进基础测绘高质量发展。</w:t>
      </w:r>
    </w:p>
    <w:p>
      <w:pPr>
        <w:pStyle w:val="14"/>
        <w:widowControl/>
        <w:shd w:val="clear" w:color="auto" w:fill="FFFFFF"/>
        <w:spacing w:beforeAutospacing="0" w:afterAutospacing="0" w:line="300" w:lineRule="auto"/>
        <w:ind w:firstLine="562" w:firstLineChars="200"/>
        <w:jc w:val="both"/>
        <w:rPr>
          <w:rFonts w:ascii="宋体" w:hAnsi="宋体" w:eastAsia="宋体" w:cs="宋体"/>
          <w:sz w:val="28"/>
          <w:szCs w:val="28"/>
        </w:rPr>
      </w:pPr>
      <w:r>
        <w:rPr>
          <w:rFonts w:hint="eastAsia" w:ascii="宋体" w:hAnsi="宋体" w:eastAsia="宋体" w:cs="宋体"/>
          <w:b/>
          <w:bCs/>
          <w:sz w:val="28"/>
          <w:szCs w:val="28"/>
        </w:rPr>
        <w:t>创新驱动，融入发展新格局。</w:t>
      </w:r>
      <w:r>
        <w:rPr>
          <w:rFonts w:hint="eastAsia" w:ascii="宋体" w:hAnsi="宋体" w:eastAsia="宋体" w:cs="宋体"/>
          <w:sz w:val="28"/>
          <w:szCs w:val="28"/>
        </w:rPr>
        <w:t>坚持站位全局、服务大局，以融入“示范区”为契机，深入实施“旅游引领、基础提升、城乡统筹、开放带动、绿色发展、民生为本”六大发展战略，在新发展格局中彰显万源作为，在国家重大战略中贡献万源力量。在新时期发展中，测绘工作的作用和意义十分重大。准确把握新时期发展格局对基础测绘的需求，切实做好基础测绘的先行工作。</w:t>
      </w:r>
    </w:p>
    <w:p>
      <w:pPr>
        <w:spacing w:line="300" w:lineRule="auto"/>
        <w:ind w:firstLine="562" w:firstLineChars="200"/>
        <w:rPr>
          <w:rFonts w:ascii="Times New Roman" w:hAnsi="Times New Roman" w:eastAsia="方正仿宋简体"/>
          <w:color w:val="000000"/>
          <w:sz w:val="28"/>
          <w:szCs w:val="28"/>
        </w:rPr>
      </w:pPr>
      <w:r>
        <w:rPr>
          <w:rFonts w:hint="eastAsia" w:ascii="宋体" w:hAnsi="宋体" w:eastAsia="宋体" w:cs="宋体"/>
          <w:b/>
          <w:bCs/>
          <w:kern w:val="0"/>
          <w:sz w:val="28"/>
          <w:szCs w:val="28"/>
        </w:rPr>
        <w:t>守住底线，保障安全。</w:t>
      </w:r>
      <w:r>
        <w:rPr>
          <w:rFonts w:hint="eastAsia" w:ascii="宋体" w:hAnsi="宋体" w:eastAsia="宋体" w:cs="宋体"/>
          <w:kern w:val="0"/>
          <w:sz w:val="28"/>
          <w:szCs w:val="28"/>
        </w:rPr>
        <w:t>牢牢遵守《中华人民共和国安全生产法》，加强安全生产工作，防止和减少生产安全事故，保障人民群众生命和财产安全，促进经济社会持续健康发展。建立健全防灾减灾救灾工作机制，提高测绘应急管理信息化水平，完善救援体系建设，强化应急救援和保障能力，构筑坚实的综合防灾减灾救灾体系。</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45" w:name="_Toc27462"/>
      <w:bookmarkStart w:id="46" w:name="_Toc19305"/>
      <w:r>
        <w:rPr>
          <w:rFonts w:hint="eastAsia" w:ascii="楷体" w:hAnsi="楷体" w:eastAsia="楷体" w:cs="楷体"/>
          <w:b/>
          <w:bCs/>
          <w:sz w:val="32"/>
          <w:szCs w:val="32"/>
        </w:rPr>
        <w:t>三、发展目标</w:t>
      </w:r>
      <w:bookmarkEnd w:id="43"/>
      <w:bookmarkEnd w:id="44"/>
      <w:bookmarkEnd w:id="45"/>
      <w:bookmarkEnd w:id="46"/>
    </w:p>
    <w:p>
      <w:pPr>
        <w:autoSpaceDE w:val="0"/>
        <w:autoSpaceDN w:val="0"/>
        <w:adjustRightInd w:val="0"/>
        <w:spacing w:line="300" w:lineRule="auto"/>
        <w:ind w:firstLine="560" w:firstLineChars="200"/>
        <w:rPr>
          <w:rFonts w:ascii="仿宋" w:hAnsi="仿宋" w:eastAsia="仿宋" w:cs="仿宋"/>
          <w:kern w:val="0"/>
          <w:sz w:val="28"/>
          <w:szCs w:val="28"/>
        </w:rPr>
      </w:pPr>
      <w:r>
        <w:rPr>
          <w:rFonts w:hint="eastAsia" w:ascii="宋体" w:hAnsi="宋体" w:eastAsia="宋体" w:cs="宋体"/>
          <w:kern w:val="0"/>
          <w:sz w:val="28"/>
          <w:szCs w:val="28"/>
        </w:rPr>
        <w:t>紧紧围绕万源市第七次党代会提出的五年奋斗目标，突出“名、绿、优、新”“四城”发展定位，做实“双核三带五圈”发展布局，强化“生态立市、产业强市、文旅兴市、创新活市”发展战略。建成经济更加发达、环境更加优美、文化更加繁荣、社会更加和谐、人民更加幸福的美丽万源。根据万源市经济社会发展的阶段性特征和未来发展的支撑条件，今后五年内努力实现以下目标。</w:t>
      </w:r>
    </w:p>
    <w:p>
      <w:pPr>
        <w:autoSpaceDE w:val="0"/>
        <w:autoSpaceDN w:val="0"/>
        <w:adjustRightInd w:val="0"/>
        <w:spacing w:line="300" w:lineRule="auto"/>
        <w:ind w:firstLine="562" w:firstLineChars="200"/>
        <w:rPr>
          <w:rFonts w:ascii="宋体" w:hAnsi="宋体" w:eastAsia="宋体" w:cs="宋体"/>
          <w:kern w:val="0"/>
          <w:sz w:val="28"/>
          <w:szCs w:val="28"/>
        </w:rPr>
      </w:pPr>
      <w:r>
        <w:rPr>
          <w:rFonts w:hint="eastAsia" w:ascii="宋体" w:hAnsi="宋体" w:eastAsia="宋体" w:cs="宋体"/>
          <w:b/>
          <w:bCs/>
          <w:kern w:val="0"/>
          <w:sz w:val="28"/>
          <w:szCs w:val="28"/>
        </w:rPr>
        <w:t>实现万源市基础测绘标准化。</w:t>
      </w:r>
      <w:r>
        <w:rPr>
          <w:rFonts w:hint="eastAsia" w:ascii="宋体" w:hAnsi="宋体" w:eastAsia="宋体" w:cs="宋体"/>
          <w:kern w:val="0"/>
          <w:sz w:val="28"/>
          <w:szCs w:val="28"/>
        </w:rPr>
        <w:t>持续维护和优化万源市</w:t>
      </w:r>
      <w:r>
        <w:rPr>
          <w:rFonts w:ascii="宋体" w:hAnsi="宋体" w:eastAsia="宋体" w:cs="宋体"/>
          <w:kern w:val="0"/>
          <w:sz w:val="28"/>
          <w:szCs w:val="28"/>
        </w:rPr>
        <w:t>2000</w:t>
      </w:r>
      <w:r>
        <w:rPr>
          <w:rFonts w:hint="eastAsia" w:ascii="宋体" w:hAnsi="宋体" w:eastAsia="宋体" w:cs="宋体"/>
          <w:kern w:val="0"/>
          <w:sz w:val="28"/>
          <w:szCs w:val="28"/>
        </w:rPr>
        <w:t>坐标系基准框架，构建万源市中心城区基准模型；建立健全测量标志保护机制，实现测量标准信息化管理。</w:t>
      </w:r>
    </w:p>
    <w:p>
      <w:pPr>
        <w:autoSpaceDE w:val="0"/>
        <w:autoSpaceDN w:val="0"/>
        <w:adjustRightInd w:val="0"/>
        <w:spacing w:line="300" w:lineRule="auto"/>
        <w:ind w:firstLine="562" w:firstLineChars="200"/>
        <w:rPr>
          <w:rFonts w:ascii="宋体" w:hAnsi="宋体" w:eastAsia="宋体" w:cs="宋体"/>
          <w:kern w:val="0"/>
          <w:sz w:val="28"/>
          <w:szCs w:val="28"/>
        </w:rPr>
      </w:pPr>
      <w:r>
        <w:rPr>
          <w:rFonts w:hint="eastAsia" w:ascii="宋体" w:hAnsi="宋体" w:eastAsia="宋体" w:cs="宋体"/>
          <w:b/>
          <w:bCs/>
          <w:kern w:val="0"/>
          <w:sz w:val="28"/>
          <w:szCs w:val="28"/>
        </w:rPr>
        <w:t>丰富地理信息资源数据来源。</w:t>
      </w:r>
      <w:r>
        <w:rPr>
          <w:rFonts w:hint="eastAsia" w:ascii="宋体" w:hAnsi="宋体" w:eastAsia="宋体" w:cs="宋体"/>
          <w:kern w:val="0"/>
          <w:sz w:val="28"/>
          <w:szCs w:val="28"/>
        </w:rPr>
        <w:t>持续丰富航空航天遥感数据，实现市域实现多分辨率、多尺度、多时相影像数据的全面覆盖；形成基础地理信息数据常态化更新机制，实现全市重要基础地理信息数据动态更新。</w:t>
      </w:r>
    </w:p>
    <w:p>
      <w:pPr>
        <w:pStyle w:val="14"/>
        <w:widowControl/>
        <w:shd w:val="clear" w:color="auto" w:fill="FFFFFF"/>
        <w:spacing w:beforeAutospacing="0" w:afterAutospacing="0" w:line="300" w:lineRule="auto"/>
        <w:ind w:firstLine="562" w:firstLineChars="200"/>
        <w:jc w:val="both"/>
        <w:rPr>
          <w:rFonts w:ascii="宋体" w:hAnsi="宋体" w:eastAsia="宋体" w:cs="宋体"/>
          <w:sz w:val="28"/>
          <w:szCs w:val="28"/>
        </w:rPr>
      </w:pPr>
      <w:r>
        <w:rPr>
          <w:rFonts w:hint="eastAsia" w:ascii="宋体" w:hAnsi="宋体" w:eastAsia="宋体" w:cs="宋体"/>
          <w:b/>
          <w:bCs/>
          <w:sz w:val="28"/>
          <w:szCs w:val="28"/>
        </w:rPr>
        <w:t>加强生态环境建设。</w:t>
      </w:r>
      <w:r>
        <w:rPr>
          <w:rFonts w:hint="eastAsia" w:ascii="宋体" w:hAnsi="宋体" w:eastAsia="宋体" w:cs="宋体"/>
          <w:sz w:val="28"/>
          <w:szCs w:val="28"/>
        </w:rPr>
        <w:t>为了加强生态环境建设,促进社会的协调、持续发展,将信息化测绘技术应用到生态环境保护及发展中,为万源市资源开发、利用、生态建设、环境保护提供全面、可靠的地理信息数据。而测绘技术进入到信息化阶段中,能够通过提供可视化的地理信息数据,为生态环境发展提供更多的服务与功能,并且利用智能化与一体化的管理手段为生态环境发展提供人文、社会、自然等全方位的信息,从而为实现万源市生态环境的可持续发展。信息化测绘技术通过对已掌握的测绘地理信息数据的分析与处理能够模拟环境的演变过程，了解环境演变过程、预测环境的未来发展方向,从而能够事先制定科学的保护措施,预测环境问题以及灾难的发生,降低环境问题与灾害对社会发展、民众安全的影响。而且信息化测绘技术在多种技术的支持下,能够大范围、实时性地对环境情况进行监测，保障相关部门能够快速了解到环境情况,及时控制环境污染范围的扩大。</w:t>
      </w:r>
    </w:p>
    <w:p>
      <w:pPr>
        <w:pStyle w:val="14"/>
        <w:widowControl/>
        <w:shd w:val="clear" w:color="auto" w:fill="FFFFFF"/>
        <w:spacing w:beforeAutospacing="0" w:afterAutospacing="0" w:line="300" w:lineRule="auto"/>
        <w:ind w:firstLine="562" w:firstLineChars="200"/>
        <w:jc w:val="both"/>
        <w:rPr>
          <w:rFonts w:ascii="宋体" w:hAnsi="宋体" w:eastAsia="宋体" w:cs="宋体"/>
          <w:sz w:val="28"/>
          <w:szCs w:val="28"/>
        </w:rPr>
      </w:pPr>
      <w:r>
        <w:rPr>
          <w:rFonts w:hint="eastAsia" w:ascii="宋体" w:hAnsi="宋体" w:eastAsia="宋体" w:cs="宋体"/>
          <w:b/>
          <w:bCs/>
          <w:sz w:val="28"/>
          <w:szCs w:val="28"/>
        </w:rPr>
        <w:t>建设数字万源。</w:t>
      </w:r>
      <w:r>
        <w:rPr>
          <w:rFonts w:hint="eastAsia" w:ascii="宋体" w:hAnsi="宋体" w:eastAsia="宋体" w:cs="宋体"/>
          <w:sz w:val="28"/>
          <w:szCs w:val="28"/>
        </w:rPr>
        <w:t>加快万源市基础地理信息更新和数据库据建设，重点开展全市1：500、1：1000和1:2000数字地形图更新和数据库建设以及城市地理信息系统，为建设“数字万源”奠定基础，开创城市基础地理信息应用服务的新领域。在地理信息服务平台的支撑下，采集我市基础测绘地理信息，实现数据的自动录入和人工录入，进行审核及复审,并上传平台。</w:t>
      </w:r>
    </w:p>
    <w:p>
      <w:pPr>
        <w:pStyle w:val="14"/>
        <w:widowControl/>
        <w:shd w:val="clear" w:color="auto" w:fill="FFFFFF"/>
        <w:spacing w:beforeAutospacing="0" w:afterAutospacing="0" w:line="300" w:lineRule="auto"/>
        <w:ind w:firstLine="562" w:firstLineChars="200"/>
        <w:jc w:val="both"/>
        <w:rPr>
          <w:rFonts w:ascii="宋体" w:hAnsi="宋体" w:eastAsia="宋体" w:cs="宋体"/>
          <w:sz w:val="28"/>
          <w:szCs w:val="28"/>
        </w:rPr>
      </w:pPr>
      <w:r>
        <w:rPr>
          <w:rFonts w:hint="eastAsia" w:ascii="宋体" w:hAnsi="宋体" w:eastAsia="宋体" w:cs="宋体"/>
          <w:b/>
          <w:bCs/>
          <w:sz w:val="28"/>
          <w:szCs w:val="28"/>
        </w:rPr>
        <w:t>加速地理空间数据基础设施的建设。</w:t>
      </w:r>
      <w:r>
        <w:rPr>
          <w:rFonts w:hint="eastAsia" w:ascii="宋体" w:hAnsi="宋体" w:eastAsia="宋体" w:cs="宋体"/>
          <w:sz w:val="28"/>
          <w:szCs w:val="28"/>
        </w:rPr>
        <w:t>测绘部门要加速对传统测绘技术和产业向数字化技术和地理信息产业的转化。实施万源市基础地理信息更新机制，必须将基础测绘纳入国民经济和社会发展计划，确定基础测绘定期更新的周期，建立和完善控制网数据库、地形图数据库、数字高程模型数据库，数字正射影像数据库和地名数据库等，构成完整的空间数据基础设施的数据集。</w:t>
      </w:r>
    </w:p>
    <w:p>
      <w:pPr>
        <w:autoSpaceDE w:val="0"/>
        <w:autoSpaceDN w:val="0"/>
        <w:adjustRightInd w:val="0"/>
        <w:spacing w:line="300" w:lineRule="auto"/>
        <w:ind w:firstLine="562" w:firstLineChars="200"/>
        <w:rPr>
          <w:rFonts w:ascii="宋体" w:hAnsi="宋体" w:eastAsia="宋体" w:cs="宋体"/>
          <w:kern w:val="0"/>
          <w:sz w:val="28"/>
          <w:szCs w:val="28"/>
        </w:rPr>
      </w:pPr>
      <w:r>
        <w:rPr>
          <w:rFonts w:hint="eastAsia" w:ascii="宋体" w:hAnsi="宋体" w:eastAsia="宋体" w:cs="宋体"/>
          <w:b/>
          <w:bCs/>
          <w:kern w:val="0"/>
          <w:sz w:val="28"/>
          <w:szCs w:val="28"/>
        </w:rPr>
        <w:t>完善社会公共服务保障。</w:t>
      </w:r>
      <w:r>
        <w:rPr>
          <w:rFonts w:hint="eastAsia" w:ascii="宋体" w:hAnsi="宋体" w:eastAsia="宋体" w:cs="宋体"/>
          <w:kern w:val="0"/>
          <w:sz w:val="28"/>
          <w:szCs w:val="28"/>
        </w:rPr>
        <w:t>完善万源市地理信息公共服务平台，以“互联网+智慧城市”的思维，全面提升平台创新管理与民生服务的能力。平台数据实时更新，面向社会大众提供免费的地理信息数据和地理信息服务。</w:t>
      </w:r>
      <w:r>
        <w:rPr>
          <w:rFonts w:hint="eastAsia" w:ascii="宋体" w:hAnsi="宋体" w:eastAsia="宋体" w:cs="宋体"/>
          <w:kern w:val="0"/>
          <w:sz w:val="28"/>
          <w:szCs w:val="28"/>
        </w:rPr>
        <w:br w:type="page"/>
      </w:r>
    </w:p>
    <w:p>
      <w:pPr>
        <w:pStyle w:val="25"/>
        <w:tabs>
          <w:tab w:val="left" w:pos="1418"/>
        </w:tabs>
        <w:adjustRightInd w:val="0"/>
        <w:snapToGrid w:val="0"/>
        <w:spacing w:beforeLines="50" w:afterLines="50" w:line="360" w:lineRule="auto"/>
        <w:ind w:firstLine="0"/>
        <w:jc w:val="center"/>
        <w:outlineLvl w:val="0"/>
        <w:rPr>
          <w:rFonts w:ascii="Times New Roman" w:hAnsi="Times New Roman" w:eastAsia="楷体" w:cs="Times New Roman"/>
          <w:b/>
          <w:sz w:val="44"/>
          <w:szCs w:val="44"/>
        </w:rPr>
      </w:pPr>
      <w:bookmarkStart w:id="47" w:name="_Toc19583"/>
      <w:bookmarkStart w:id="48" w:name="_Toc14388"/>
      <w:r>
        <w:rPr>
          <w:rFonts w:hint="eastAsia" w:ascii="Times New Roman" w:hAnsi="Times New Roman" w:eastAsia="楷体" w:cs="Times New Roman"/>
          <w:b/>
          <w:sz w:val="44"/>
          <w:szCs w:val="44"/>
        </w:rPr>
        <w:t>第三章 主要任务</w:t>
      </w:r>
      <w:bookmarkEnd w:id="47"/>
      <w:bookmarkEnd w:id="48"/>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49" w:name="_Toc22712"/>
      <w:bookmarkStart w:id="50" w:name="_Toc6207"/>
      <w:r>
        <w:rPr>
          <w:rFonts w:hint="eastAsia" w:ascii="楷体" w:hAnsi="楷体" w:eastAsia="楷体" w:cs="楷体"/>
          <w:b/>
          <w:bCs/>
          <w:sz w:val="32"/>
          <w:szCs w:val="32"/>
        </w:rPr>
        <w:t>一、增加地理信息数据来源渠道，保证数据实时性</w:t>
      </w:r>
      <w:bookmarkEnd w:id="49"/>
      <w:bookmarkEnd w:id="50"/>
    </w:p>
    <w:p>
      <w:pPr>
        <w:spacing w:line="300" w:lineRule="auto"/>
        <w:outlineLvl w:val="2"/>
        <w:rPr>
          <w:rFonts w:ascii="楷体" w:hAnsi="楷体" w:eastAsia="楷体" w:cs="楷体"/>
          <w:b/>
          <w:bCs/>
          <w:sz w:val="30"/>
          <w:szCs w:val="30"/>
        </w:rPr>
      </w:pPr>
      <w:bookmarkStart w:id="51" w:name="_Toc10885"/>
      <w:bookmarkStart w:id="52" w:name="_Toc26129"/>
      <w:r>
        <w:rPr>
          <w:rFonts w:hint="eastAsia" w:ascii="楷体" w:hAnsi="楷体" w:eastAsia="楷体" w:cs="楷体"/>
          <w:b/>
          <w:bCs/>
          <w:sz w:val="30"/>
          <w:szCs w:val="30"/>
        </w:rPr>
        <w:t>1、持续提升基础测绘系统</w:t>
      </w:r>
      <w:bookmarkEnd w:id="51"/>
      <w:bookmarkEnd w:id="52"/>
    </w:p>
    <w:p>
      <w:pPr>
        <w:pStyle w:val="21"/>
        <w:spacing w:line="300" w:lineRule="auto"/>
        <w:ind w:firstLine="560"/>
        <w:rPr>
          <w:rFonts w:ascii="宋体" w:hAnsi="宋体" w:cs="宋体"/>
          <w:sz w:val="28"/>
          <w:szCs w:val="28"/>
          <w:lang w:val="en-US"/>
        </w:rPr>
      </w:pPr>
      <w:r>
        <w:rPr>
          <w:rFonts w:hint="eastAsia" w:ascii="宋体" w:hAnsi="宋体" w:eastAsia="宋体" w:cs="宋体"/>
          <w:sz w:val="28"/>
          <w:szCs w:val="28"/>
          <w:lang w:val="en-US"/>
        </w:rPr>
        <w:t>持续完善</w:t>
      </w:r>
      <w:r>
        <w:rPr>
          <w:rFonts w:ascii="宋体" w:hAnsi="宋体" w:eastAsia="宋体" w:cs="宋体"/>
          <w:sz w:val="28"/>
          <w:szCs w:val="28"/>
          <w:lang w:val="en-US"/>
        </w:rPr>
        <w:t>2000</w:t>
      </w:r>
      <w:r>
        <w:rPr>
          <w:rFonts w:hint="eastAsia" w:ascii="宋体" w:hAnsi="宋体" w:eastAsia="宋体" w:cs="宋体"/>
          <w:sz w:val="28"/>
          <w:szCs w:val="28"/>
          <w:lang w:val="en-US"/>
        </w:rPr>
        <w:t>国家大地坐标系坐标基准框架，推进万源市坐标系基准一体化建设，深化卫星导航定位基准站建设及社会化应用。加强测量标志保护、检查和维护，探索建立测量标志保管激励机制。</w:t>
      </w:r>
    </w:p>
    <w:p>
      <w:pPr>
        <w:spacing w:line="300" w:lineRule="auto"/>
        <w:outlineLvl w:val="2"/>
        <w:rPr>
          <w:rFonts w:ascii="楷体" w:hAnsi="楷体" w:eastAsia="楷体" w:cs="楷体"/>
          <w:b/>
          <w:bCs/>
          <w:sz w:val="30"/>
          <w:szCs w:val="30"/>
        </w:rPr>
      </w:pPr>
      <w:bookmarkStart w:id="53" w:name="_Toc11119"/>
      <w:bookmarkStart w:id="54" w:name="_Toc8943"/>
      <w:r>
        <w:rPr>
          <w:rFonts w:hint="eastAsia" w:ascii="楷体" w:hAnsi="楷体" w:eastAsia="楷体" w:cs="楷体"/>
          <w:b/>
          <w:bCs/>
          <w:sz w:val="30"/>
          <w:szCs w:val="30"/>
        </w:rPr>
        <w:t>2、地理信息数据采集与更新</w:t>
      </w:r>
      <w:bookmarkEnd w:id="53"/>
      <w:bookmarkEnd w:id="54"/>
    </w:p>
    <w:p>
      <w:pPr>
        <w:autoSpaceDE w:val="0"/>
        <w:autoSpaceDN w:val="0"/>
        <w:adjustRightInd w:val="0"/>
        <w:spacing w:line="300" w:lineRule="auto"/>
        <w:ind w:firstLine="560" w:firstLineChars="200"/>
        <w:rPr>
          <w:rFonts w:ascii="宋体" w:hAnsi="宋体" w:eastAsia="宋体" w:cs="宋体"/>
          <w:kern w:val="0"/>
          <w:sz w:val="28"/>
          <w:szCs w:val="28"/>
        </w:rPr>
      </w:pPr>
      <w:bookmarkStart w:id="55" w:name="_Toc3270"/>
      <w:r>
        <w:rPr>
          <w:rFonts w:hint="eastAsia" w:ascii="宋体" w:hAnsi="宋体" w:eastAsia="宋体" w:cs="宋体"/>
          <w:kern w:val="0"/>
          <w:sz w:val="28"/>
          <w:szCs w:val="28"/>
        </w:rPr>
        <w:t>开展1：500、</w:t>
      </w:r>
      <w:r>
        <w:rPr>
          <w:rFonts w:ascii="宋体" w:hAnsi="宋体" w:eastAsia="宋体" w:cs="宋体"/>
          <w:kern w:val="0"/>
          <w:sz w:val="28"/>
          <w:szCs w:val="28"/>
        </w:rPr>
        <w:t>1:</w:t>
      </w:r>
      <w:r>
        <w:rPr>
          <w:rFonts w:hint="eastAsia" w:ascii="宋体" w:hAnsi="宋体" w:eastAsia="宋体" w:cs="宋体"/>
          <w:kern w:val="0"/>
          <w:sz w:val="28"/>
          <w:szCs w:val="28"/>
        </w:rPr>
        <w:t>1000和</w:t>
      </w:r>
      <w:r>
        <w:rPr>
          <w:rFonts w:ascii="宋体" w:hAnsi="宋体" w:eastAsia="宋体" w:cs="宋体"/>
          <w:kern w:val="0"/>
          <w:sz w:val="28"/>
          <w:szCs w:val="28"/>
        </w:rPr>
        <w:t>1：2000</w:t>
      </w:r>
      <w:r>
        <w:rPr>
          <w:rFonts w:hint="eastAsia" w:ascii="宋体" w:hAnsi="宋体" w:eastAsia="宋体" w:cs="宋体"/>
          <w:kern w:val="0"/>
          <w:sz w:val="28"/>
          <w:szCs w:val="28"/>
        </w:rPr>
        <w:t>比例尺的基础地理信息数据年度更新。推动以城区、乡镇为单元，以地理实体为对象的动态增量更新模式，实现基础测绘省、市（州）、县（市、区）三级协同分工采集、联动更新、信息逐级汇聚，建立与四川省、达州市、万源市联动的地理信息更新机制。</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56" w:name="_Toc21680"/>
      <w:r>
        <w:rPr>
          <w:rFonts w:hint="eastAsia" w:ascii="楷体" w:hAnsi="楷体" w:eastAsia="楷体" w:cs="楷体"/>
          <w:b/>
          <w:bCs/>
          <w:sz w:val="32"/>
          <w:szCs w:val="32"/>
        </w:rPr>
        <w:t>二、建设地理空间大数据中心，实现信息共享</w:t>
      </w:r>
      <w:bookmarkEnd w:id="55"/>
      <w:bookmarkEnd w:id="56"/>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充分利用大数据技术实现测绘地理信息数据共享，推进社会治理要素数据化、治理数据标准化，形成规模生态，加快社会治理体系和治理能力现代化建设。利用基础测绘提供的一系列地理实体数据、影像数据、高程模型数据、三位模型数据和地形图等数据建设地理空间大数据中心，实现信息共享。云计算、物联网、大数据、地理信息系统、测绘技术等作为基本技术，构建一个集数据汇聚、处理、管理、存储、快速制图、挖掘分析为一体的地理空间大数据管理体系。地理空间大数据管理体系实现万源市海量数据共享，异构多源数据的统一存储管理和集成展示，满足全市资源汇集、分级共享、分发服务等需求。</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57" w:name="_Toc16476"/>
      <w:bookmarkStart w:id="58" w:name="_Toc7008"/>
      <w:r>
        <w:rPr>
          <w:rFonts w:hint="eastAsia" w:ascii="楷体" w:hAnsi="楷体" w:eastAsia="楷体" w:cs="楷体"/>
          <w:b/>
          <w:bCs/>
          <w:sz w:val="32"/>
          <w:szCs w:val="32"/>
        </w:rPr>
        <w:t>三、以生态文明建设引领高质量发展，实施新型城镇化和乡村振兴战略</w:t>
      </w:r>
      <w:bookmarkEnd w:id="57"/>
      <w:bookmarkEnd w:id="58"/>
    </w:p>
    <w:p>
      <w:pPr>
        <w:spacing w:line="300" w:lineRule="auto"/>
        <w:outlineLvl w:val="2"/>
        <w:rPr>
          <w:rFonts w:ascii="楷体" w:hAnsi="楷体" w:eastAsia="楷体" w:cs="楷体"/>
          <w:b/>
          <w:bCs/>
          <w:sz w:val="30"/>
          <w:szCs w:val="30"/>
        </w:rPr>
      </w:pPr>
      <w:bookmarkStart w:id="59" w:name="_Toc6907"/>
      <w:bookmarkStart w:id="60" w:name="_Toc27815"/>
      <w:r>
        <w:rPr>
          <w:rFonts w:hint="eastAsia" w:ascii="楷体" w:hAnsi="楷体" w:eastAsia="楷体" w:cs="楷体"/>
          <w:b/>
          <w:bCs/>
          <w:sz w:val="30"/>
          <w:szCs w:val="30"/>
        </w:rPr>
        <w:t>1、生态文明建设</w:t>
      </w:r>
      <w:bookmarkEnd w:id="59"/>
      <w:bookmarkEnd w:id="60"/>
    </w:p>
    <w:tbl>
      <w:tblPr>
        <w:tblStyle w:val="15"/>
        <w:tblpPr w:leftFromText="180" w:rightFromText="180" w:vertAnchor="text" w:horzAnchor="page" w:tblpX="2710" w:tblpY="368"/>
        <w:tblOverlap w:val="never"/>
        <w:tblW w:w="6711" w:type="dxa"/>
        <w:tblInd w:w="0" w:type="dxa"/>
        <w:tblLayout w:type="fixed"/>
        <w:tblCellMar>
          <w:top w:w="0" w:type="dxa"/>
          <w:left w:w="108" w:type="dxa"/>
          <w:bottom w:w="0" w:type="dxa"/>
          <w:right w:w="108" w:type="dxa"/>
        </w:tblCellMar>
      </w:tblPr>
      <w:tblGrid>
        <w:gridCol w:w="6711"/>
      </w:tblGrid>
      <w:tr>
        <w:tblPrEx>
          <w:tblCellMar>
            <w:top w:w="0" w:type="dxa"/>
            <w:left w:w="108" w:type="dxa"/>
            <w:bottom w:w="0" w:type="dxa"/>
            <w:right w:w="108" w:type="dxa"/>
          </w:tblCellMar>
        </w:tblPrEx>
        <w:trPr>
          <w:trHeight w:val="5018" w:hRule="atLeast"/>
        </w:trPr>
        <w:tc>
          <w:tcPr>
            <w:tcW w:w="6711" w:type="dxa"/>
          </w:tcPr>
          <w:p>
            <w:pPr>
              <w:spacing w:line="420" w:lineRule="auto"/>
              <w:jc w:val="center"/>
              <w:rPr>
                <w:szCs w:val="28"/>
              </w:rPr>
            </w:pPr>
            <w:r>
              <w:drawing>
                <wp:inline distT="0" distB="0" distL="114300" distR="114300">
                  <wp:extent cx="3966210" cy="2985135"/>
                  <wp:effectExtent l="0" t="0" r="15240" b="5715"/>
                  <wp:docPr id="4" name="图片 5" descr="C:/Users/Administrator/AppData/Local/Temp/picturecompress_20210720175029/output_37.jpgoutput_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descr="C:/Users/Administrator/AppData/Local/Temp/picturecompress_20210720175029/output_37.jpgoutput_37"/>
                          <pic:cNvPicPr>
                            <a:picLocks noChangeAspect="true"/>
                          </pic:cNvPicPr>
                        </pic:nvPicPr>
                        <pic:blipFill>
                          <a:blip r:embed="rId9"/>
                          <a:srcRect/>
                          <a:stretch>
                            <a:fillRect/>
                          </a:stretch>
                        </pic:blipFill>
                        <pic:spPr>
                          <a:xfrm>
                            <a:off x="0" y="0"/>
                            <a:ext cx="3966210" cy="2985135"/>
                          </a:xfrm>
                          <a:prstGeom prst="rect">
                            <a:avLst/>
                          </a:prstGeom>
                        </pic:spPr>
                      </pic:pic>
                    </a:graphicData>
                  </a:graphic>
                </wp:inline>
              </w:drawing>
            </w:r>
          </w:p>
        </w:tc>
      </w:tr>
      <w:tr>
        <w:trPr>
          <w:trHeight w:val="269" w:hRule="atLeast"/>
        </w:trPr>
        <w:tc>
          <w:tcPr>
            <w:tcW w:w="6711" w:type="dxa"/>
          </w:tcPr>
          <w:p>
            <w:pPr>
              <w:pStyle w:val="25"/>
              <w:adjustRightInd w:val="0"/>
              <w:snapToGrid w:val="0"/>
              <w:spacing w:line="360" w:lineRule="auto"/>
              <w:ind w:firstLineChars="200"/>
              <w:jc w:val="center"/>
              <w:rPr>
                <w:b/>
                <w:szCs w:val="28"/>
              </w:rPr>
            </w:pPr>
            <w:r>
              <w:rPr>
                <w:rFonts w:hint="eastAsia" w:ascii="黑体" w:hAnsi="黑体" w:eastAsia="黑体" w:cs="黑体"/>
              </w:rPr>
              <w:t>图1 万源市生态情况</w:t>
            </w:r>
          </w:p>
        </w:tc>
      </w:tr>
    </w:tbl>
    <w:p>
      <w:pPr>
        <w:autoSpaceDE w:val="0"/>
        <w:autoSpaceDN w:val="0"/>
        <w:adjustRightInd w:val="0"/>
        <w:spacing w:line="300" w:lineRule="auto"/>
        <w:ind w:firstLine="560" w:firstLineChars="200"/>
        <w:rPr>
          <w:rFonts w:ascii="宋体" w:hAnsi="宋体" w:eastAsia="宋体" w:cs="宋体"/>
          <w:kern w:val="0"/>
          <w:sz w:val="28"/>
          <w:szCs w:val="28"/>
        </w:rPr>
      </w:pPr>
      <w:r>
        <w:rPr>
          <w:rFonts w:hint="eastAsia" w:ascii="宋体" w:hAnsi="宋体" w:eastAsia="宋体" w:cs="宋体"/>
          <w:kern w:val="0"/>
          <w:sz w:val="28"/>
          <w:szCs w:val="28"/>
        </w:rPr>
        <w:t>万源市城市园林绿化面积持续增长，</w:t>
      </w:r>
      <w:r>
        <w:rPr>
          <w:rFonts w:ascii="宋体" w:hAnsi="宋体" w:eastAsia="宋体" w:cs="宋体"/>
          <w:kern w:val="0"/>
          <w:sz w:val="28"/>
          <w:szCs w:val="28"/>
        </w:rPr>
        <w:t>2020</w:t>
      </w:r>
      <w:r>
        <w:rPr>
          <w:rFonts w:hint="eastAsia" w:ascii="宋体" w:hAnsi="宋体" w:eastAsia="宋体" w:cs="宋体"/>
          <w:kern w:val="0"/>
          <w:sz w:val="28"/>
          <w:szCs w:val="28"/>
        </w:rPr>
        <w:t>年绿地面积达366.37万平方米，建成区公园绿地面积达322.40万平方米，建成区绿化覆盖率达40.42%，完成营造林23.3万亩，森林覆盖率达</w:t>
      </w:r>
      <w:r>
        <w:rPr>
          <w:rFonts w:ascii="宋体" w:hAnsi="宋体" w:eastAsia="宋体" w:cs="宋体"/>
          <w:kern w:val="0"/>
          <w:sz w:val="28"/>
          <w:szCs w:val="28"/>
        </w:rPr>
        <w:t>63.8％</w:t>
      </w:r>
      <w:r>
        <w:rPr>
          <w:rFonts w:hint="eastAsia" w:ascii="宋体" w:hAnsi="宋体" w:eastAsia="宋体" w:cs="宋体"/>
          <w:kern w:val="0"/>
          <w:sz w:val="28"/>
          <w:szCs w:val="28"/>
        </w:rPr>
        <w:t>。深化测绘资源应用，继续推广基础测绘在生态文明建设领域的应用，为生态文明的可持续发展提供助力。统一土地、矿产、林业、地质等业务中地理空间数据的坐标系统、高程基准等；夯实基础测绘数据在自然资源管理数据中的空间定位基础，强化对万源市自然资源管理的支撑作用，为调查监测、国土空间规划、确权登记、生态保护等提供精细化服务；建立生态环境监测平台，形成系统化的生态环境监测数据。</w:t>
      </w:r>
    </w:p>
    <w:p>
      <w:pPr>
        <w:spacing w:line="300" w:lineRule="auto"/>
        <w:outlineLvl w:val="2"/>
        <w:rPr>
          <w:rFonts w:ascii="楷体" w:hAnsi="楷体" w:eastAsia="楷体" w:cs="楷体"/>
          <w:b/>
          <w:bCs/>
          <w:sz w:val="30"/>
          <w:szCs w:val="30"/>
        </w:rPr>
      </w:pPr>
      <w:bookmarkStart w:id="61" w:name="_Toc704"/>
      <w:bookmarkStart w:id="62" w:name="_Toc4332"/>
      <w:r>
        <w:rPr>
          <w:rFonts w:hint="eastAsia" w:ascii="楷体" w:hAnsi="楷体" w:eastAsia="楷体" w:cs="楷体"/>
          <w:b/>
          <w:bCs/>
          <w:sz w:val="30"/>
          <w:szCs w:val="30"/>
        </w:rPr>
        <w:t>2、建设新型城镇</w:t>
      </w:r>
      <w:bookmarkEnd w:id="61"/>
      <w:bookmarkEnd w:id="62"/>
    </w:p>
    <w:p>
      <w:pPr>
        <w:autoSpaceDE w:val="0"/>
        <w:autoSpaceDN w:val="0"/>
        <w:adjustRightInd w:val="0"/>
        <w:spacing w:line="300" w:lineRule="auto"/>
        <w:ind w:firstLine="560" w:firstLineChars="200"/>
        <w:rPr>
          <w:rFonts w:ascii="宋体" w:hAnsi="宋体" w:eastAsia="宋体" w:cs="宋体"/>
          <w:kern w:val="0"/>
          <w:sz w:val="28"/>
          <w:szCs w:val="28"/>
        </w:rPr>
      </w:pPr>
      <w:r>
        <w:rPr>
          <w:rFonts w:hint="eastAsia" w:ascii="宋体" w:hAnsi="宋体" w:eastAsia="宋体" w:cs="宋体"/>
          <w:kern w:val="0"/>
          <w:sz w:val="28"/>
          <w:szCs w:val="28"/>
        </w:rPr>
        <w:t>依托测绘信息化技术，力求实现基础设施更高效运行，使城市更加宜居、惠及于人，并推进城镇的高效管理和可持续发展。基础测绘可以为城市规划、设计以及建设管理提供数据保障。一是为城市规划的制定与实施奠定基础,并为城市规划内容的补充、调整以及完善创设一个稳定的系统化外部环境；二是为城市发展规划的制定、实行以及城市管理提供专业的图文资料；三是随着城市建设规模的逐渐扩大城市建设逐渐向着空间全方位、地下与地上、多元化发展的现代化城市的方向发展，基础测绘的加入为其提供基础性的技术支撑，全面提升新型智慧城镇创新管理与民生服务的能力。</w:t>
      </w:r>
    </w:p>
    <w:p>
      <w:pPr>
        <w:spacing w:line="300" w:lineRule="auto"/>
        <w:outlineLvl w:val="2"/>
        <w:rPr>
          <w:rFonts w:ascii="楷体" w:hAnsi="楷体" w:eastAsia="楷体" w:cs="楷体"/>
          <w:b/>
          <w:bCs/>
          <w:sz w:val="30"/>
          <w:szCs w:val="30"/>
        </w:rPr>
      </w:pPr>
      <w:bookmarkStart w:id="63" w:name="_Toc11229"/>
      <w:bookmarkStart w:id="64" w:name="_Toc29912"/>
      <w:r>
        <w:rPr>
          <w:rFonts w:hint="eastAsia" w:ascii="楷体" w:hAnsi="楷体" w:eastAsia="楷体" w:cs="楷体"/>
          <w:b/>
          <w:bCs/>
          <w:sz w:val="30"/>
          <w:szCs w:val="30"/>
        </w:rPr>
        <w:t>3、建设美丽乡村</w:t>
      </w:r>
      <w:bookmarkEnd w:id="63"/>
      <w:bookmarkEnd w:id="64"/>
    </w:p>
    <w:p>
      <w:pPr>
        <w:autoSpaceDE w:val="0"/>
        <w:autoSpaceDN w:val="0"/>
        <w:adjustRightInd w:val="0"/>
        <w:spacing w:line="300" w:lineRule="auto"/>
        <w:ind w:firstLine="560" w:firstLineChars="200"/>
        <w:rPr>
          <w:rFonts w:ascii="宋体" w:hAnsi="宋体" w:eastAsia="宋体" w:cs="宋体"/>
          <w:kern w:val="0"/>
          <w:sz w:val="28"/>
          <w:szCs w:val="28"/>
        </w:rPr>
      </w:pPr>
      <w:r>
        <w:rPr>
          <w:rFonts w:hint="eastAsia" w:ascii="宋体" w:hAnsi="宋体" w:eastAsia="宋体" w:cs="宋体"/>
          <w:kern w:val="0"/>
          <w:sz w:val="28"/>
          <w:szCs w:val="28"/>
        </w:rPr>
        <w:t>为切实做好以片区为单元编制乡村国土空间规划工作，万源市应及时完成县域内片区划分、乡镇级片区国土空间规划、村级片区国土空间规划等工作，引领乡镇行政区划和村级建制调整改革。在做好优化片区农业生态城镇空间、培育壮大片区特色优势产业、做大做强中心镇（村）统筹片区基础设施和公共服务资源配置、提升片区乡村人居环境品质等工作中需及时优化完善测绘技术支撑方式和测绘成果提供效率。招聘专业技术性人才，配置先进的测绘仪器等促使测绘工程向现代化发展，促进测量内外业一体化、数据获取及处理自动化、测量过程控制和系统行为智能化、测量成果和产品数字化、测量信息管理可视化、测量数据共享化发展。根据测绘提供的基础数据，制定乡村国土空间建设规划书，因地制宜、分类指导、逐步推进。自然资源管理部门在国家统一的大地控制体系基础上，尽快启动大比例尺地形图和相关图件的测制工程，为空间规划做好超前服务。</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65" w:name="_Toc31271"/>
      <w:bookmarkStart w:id="66" w:name="_Toc19157"/>
      <w:r>
        <w:rPr>
          <w:rFonts w:hint="eastAsia" w:ascii="楷体" w:hAnsi="楷体" w:eastAsia="楷体" w:cs="楷体"/>
          <w:b/>
          <w:bCs/>
          <w:sz w:val="32"/>
          <w:szCs w:val="32"/>
        </w:rPr>
        <w:t>四、继续推进水利重点工作</w:t>
      </w:r>
      <w:bookmarkEnd w:id="65"/>
      <w:bookmarkEnd w:id="66"/>
    </w:p>
    <w:p>
      <w:pPr>
        <w:autoSpaceDE w:val="0"/>
        <w:autoSpaceDN w:val="0"/>
        <w:adjustRightInd w:val="0"/>
        <w:spacing w:line="300" w:lineRule="auto"/>
        <w:ind w:firstLine="560" w:firstLineChars="200"/>
        <w:rPr>
          <w:rFonts w:ascii="宋体" w:hAnsi="宋体" w:eastAsia="宋体" w:cs="宋体"/>
          <w:color w:val="0000FF"/>
          <w:kern w:val="0"/>
          <w:sz w:val="28"/>
          <w:szCs w:val="28"/>
        </w:rPr>
      </w:pPr>
      <w:r>
        <w:rPr>
          <w:rFonts w:hint="eastAsia" w:ascii="宋体" w:hAnsi="宋体" w:eastAsia="宋体" w:cs="宋体"/>
          <w:kern w:val="0"/>
          <w:sz w:val="28"/>
          <w:szCs w:val="28"/>
        </w:rPr>
        <w:t>“十四五”时期，万源市水务局紧紧围绕“四川水利高质量发展3226总体工作思路”，按照“规划设计先行、建设管理规范、利用合理高效、全力助推振兴”的总体要求，科学谋划了一批重点水利工程，助推万源社会经济高质量发展。在水利工程建设中，测绘是贯穿于水利水电工程建设全过程的基本工作，以测绘提供准确的数字栅格图,如高程模型与线划图等为基础数据,帮助水利设计测绘部门进一步掌握工程具体情况，保证水利工程中的各项管理决策更加具有科学性,水利资源得到高效配置,进一步满足人民群众的生活要求。</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67" w:name="_Toc10175"/>
      <w:bookmarkStart w:id="68" w:name="_Toc12710"/>
      <w:r>
        <w:rPr>
          <w:rFonts w:hint="eastAsia" w:ascii="楷体" w:hAnsi="楷体" w:eastAsia="楷体" w:cs="楷体"/>
          <w:b/>
          <w:bCs/>
          <w:sz w:val="32"/>
          <w:szCs w:val="32"/>
        </w:rPr>
        <w:t>五、强化应急测绘保障服务水平</w:t>
      </w:r>
      <w:bookmarkEnd w:id="67"/>
      <w:bookmarkEnd w:id="68"/>
    </w:p>
    <w:p>
      <w:pPr>
        <w:spacing w:line="578" w:lineRule="exact"/>
        <w:ind w:firstLine="560" w:firstLineChars="200"/>
        <w:jc w:val="left"/>
        <w:rPr>
          <w:rFonts w:ascii="Times New Roman" w:hAnsi="Times New Roman" w:eastAsia="楷体" w:cs="Times New Roman"/>
          <w:b/>
          <w:sz w:val="44"/>
          <w:szCs w:val="44"/>
        </w:rPr>
      </w:pPr>
      <w:r>
        <w:rPr>
          <w:rFonts w:hint="eastAsia" w:ascii="宋体" w:hAnsi="宋体" w:eastAsia="宋体" w:cs="宋体"/>
          <w:kern w:val="0"/>
          <w:sz w:val="28"/>
          <w:szCs w:val="28"/>
        </w:rPr>
        <w:t>强化应急测绘保障能力，适应应急管理新要求，健全万源市应急测绘保障预案，加强装备配置维护、地图储备、数据异地灾备建设。充分利用万源市自然资源数据存储资源，开展测绘地理信息档案成果的异地容灾备份。做好涉密版地图日常应急储备，建立应急公开版地图产品储备体系，提升应急测绘数据的快速获取能力。定期组织开展应急测绘演练，强化应急队伍建设。有效整合全市测绘资源，提高测绘保障及时响应、联动、协同服务能力，为灾害隐患排查、灾情监测预警、灾后评估重建等提供测绘地理信息技术支撑。建立突发事件预测预警机制，及时分析监测信息，及时预警，及时处理危机信息、情报，科学预判，快速反应。</w:t>
      </w:r>
      <w:bookmarkStart w:id="69" w:name="_Toc71704119"/>
      <w:r>
        <w:rPr>
          <w:rFonts w:hint="eastAsia" w:ascii="Times New Roman" w:hAnsi="Times New Roman" w:eastAsia="楷体" w:cs="Times New Roman"/>
          <w:b/>
          <w:sz w:val="44"/>
          <w:szCs w:val="44"/>
        </w:rPr>
        <w:br w:type="page"/>
      </w:r>
    </w:p>
    <w:p>
      <w:pPr>
        <w:pStyle w:val="25"/>
        <w:tabs>
          <w:tab w:val="left" w:pos="1418"/>
        </w:tabs>
        <w:adjustRightInd w:val="0"/>
        <w:snapToGrid w:val="0"/>
        <w:spacing w:beforeLines="50" w:afterLines="50" w:line="360" w:lineRule="auto"/>
        <w:ind w:firstLine="0"/>
        <w:jc w:val="center"/>
        <w:outlineLvl w:val="0"/>
        <w:rPr>
          <w:rFonts w:ascii="Times New Roman" w:hAnsi="Times New Roman" w:eastAsia="楷体" w:cs="Times New Roman"/>
          <w:b/>
          <w:sz w:val="44"/>
          <w:szCs w:val="44"/>
        </w:rPr>
      </w:pPr>
      <w:bookmarkStart w:id="70" w:name="_Toc25863"/>
      <w:bookmarkStart w:id="71" w:name="_Toc2384"/>
      <w:r>
        <w:rPr>
          <w:rFonts w:hint="eastAsia" w:ascii="Times New Roman" w:hAnsi="Times New Roman" w:eastAsia="楷体" w:cs="Times New Roman"/>
          <w:b/>
          <w:sz w:val="44"/>
          <w:szCs w:val="44"/>
        </w:rPr>
        <w:t>第</w:t>
      </w:r>
      <w:r>
        <w:rPr>
          <w:rFonts w:hint="eastAsia" w:ascii="楷体" w:hAnsi="楷体" w:eastAsia="楷体" w:cs="楷体"/>
          <w:b/>
          <w:sz w:val="44"/>
          <w:szCs w:val="44"/>
        </w:rPr>
        <w:t>四</w:t>
      </w:r>
      <w:r>
        <w:rPr>
          <w:rFonts w:hint="eastAsia" w:ascii="Times New Roman" w:hAnsi="Times New Roman" w:eastAsia="楷体" w:cs="Times New Roman"/>
          <w:b/>
          <w:sz w:val="44"/>
          <w:szCs w:val="44"/>
        </w:rPr>
        <w:t>章 重点工程</w:t>
      </w:r>
      <w:bookmarkEnd w:id="69"/>
      <w:bookmarkEnd w:id="70"/>
      <w:bookmarkEnd w:id="71"/>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72" w:name="_Toc14971"/>
      <w:bookmarkStart w:id="73" w:name="_Toc31969"/>
      <w:r>
        <w:rPr>
          <w:rFonts w:hint="eastAsia" w:ascii="楷体" w:hAnsi="楷体" w:eastAsia="楷体" w:cs="楷体"/>
          <w:b/>
          <w:bCs/>
          <w:sz w:val="32"/>
          <w:szCs w:val="32"/>
        </w:rPr>
        <w:t>一、测绘基准建设与维护</w:t>
      </w:r>
      <w:bookmarkEnd w:id="72"/>
      <w:bookmarkEnd w:id="73"/>
    </w:p>
    <w:p>
      <w:pPr>
        <w:autoSpaceDE w:val="0"/>
        <w:autoSpaceDN w:val="0"/>
        <w:adjustRightInd w:val="0"/>
        <w:spacing w:line="300" w:lineRule="auto"/>
        <w:ind w:firstLine="560" w:firstLineChars="200"/>
      </w:pPr>
      <w:r>
        <w:rPr>
          <w:rFonts w:hint="eastAsia" w:ascii="宋体" w:hAnsi="宋体" w:eastAsia="宋体" w:cs="宋体"/>
          <w:kern w:val="0"/>
          <w:sz w:val="28"/>
          <w:szCs w:val="28"/>
        </w:rPr>
        <w:t>开展测量标志普查与维护工作，提升全市现代测绘基准能力，加强对永久性测量标志的保护与管理工作，健全测绘标志保护制度，满足十四五期间基础设施建设、城市发展对测绘地理信息保障服务能力的需求。</w:t>
      </w:r>
      <w:bookmarkStart w:id="74" w:name="_Toc13951"/>
      <w:bookmarkStart w:id="75" w:name="_Toc14273"/>
      <w:r>
        <w:rPr>
          <w:rFonts w:hint="eastAsia" w:ascii="宋体" w:hAnsi="宋体" w:eastAsia="宋体" w:cs="宋体"/>
          <w:kern w:val="0"/>
          <w:sz w:val="28"/>
          <w:szCs w:val="28"/>
        </w:rPr>
        <w:t>对万源市独立坐标系进行清理与改造，实现万源市独立坐标系与2000国家大地坐标系关联；连续运行基准站统一接入省级连续运行基准站网，将空间定位基准统一到2000国家大地坐标系和1985国家高程基准，形成覆盖万源市全域统一的时空基准。</w:t>
      </w:r>
      <w:bookmarkEnd w:id="74"/>
      <w:bookmarkEnd w:id="75"/>
      <w:bookmarkStart w:id="76" w:name="_Toc9457"/>
      <w:r>
        <w:rPr>
          <w:rFonts w:hint="eastAsia" w:ascii="宋体" w:hAnsi="宋体" w:eastAsia="宋体" w:cs="宋体"/>
          <w:kern w:val="0"/>
          <w:sz w:val="28"/>
          <w:szCs w:val="28"/>
        </w:rPr>
        <w:t>对万源市全域测量标志进行普查和维护，共有控制点261个，</w:t>
      </w:r>
      <w:bookmarkEnd w:id="76"/>
      <w:r>
        <w:rPr>
          <w:rFonts w:hint="eastAsia" w:ascii="宋体" w:hAnsi="宋体" w:eastAsia="宋体" w:cs="宋体"/>
          <w:kern w:val="0"/>
          <w:sz w:val="28"/>
          <w:szCs w:val="28"/>
        </w:rPr>
        <w:t>其中C级GPS控制点21个，D级GPS控制点211个，E级GPS控制点29个以及</w:t>
      </w:r>
      <w:r>
        <w:rPr>
          <w:rFonts w:ascii="宋体" w:hAnsi="宋体" w:eastAsia="宋体" w:cs="宋体"/>
          <w:kern w:val="0"/>
          <w:sz w:val="28"/>
          <w:szCs w:val="28"/>
        </w:rPr>
        <w:t>CORS</w:t>
      </w:r>
      <w:r>
        <w:rPr>
          <w:rFonts w:hint="eastAsia" w:ascii="宋体" w:hAnsi="宋体" w:eastAsia="宋体" w:cs="宋体"/>
          <w:kern w:val="0"/>
          <w:sz w:val="28"/>
          <w:szCs w:val="28"/>
        </w:rPr>
        <w:t>站1座。</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77" w:name="_Toc5585"/>
      <w:bookmarkStart w:id="78" w:name="_Toc16790"/>
      <w:r>
        <w:rPr>
          <w:rFonts w:hint="eastAsia" w:ascii="楷体" w:hAnsi="楷体" w:eastAsia="楷体" w:cs="楷体"/>
          <w:b/>
          <w:bCs/>
          <w:sz w:val="32"/>
          <w:szCs w:val="32"/>
        </w:rPr>
        <w:t>二、遥感数据获取与处理</w:t>
      </w:r>
      <w:bookmarkEnd w:id="77"/>
      <w:bookmarkEnd w:id="78"/>
    </w:p>
    <w:p>
      <w:pPr>
        <w:spacing w:line="300" w:lineRule="auto"/>
        <w:outlineLvl w:val="2"/>
        <w:rPr>
          <w:rFonts w:ascii="楷体" w:hAnsi="楷体" w:eastAsia="楷体" w:cs="楷体"/>
          <w:b/>
          <w:bCs/>
          <w:sz w:val="30"/>
          <w:szCs w:val="30"/>
        </w:rPr>
      </w:pPr>
      <w:bookmarkStart w:id="79" w:name="_Toc31431"/>
      <w:bookmarkStart w:id="80" w:name="_Toc14084"/>
      <w:r>
        <w:rPr>
          <w:rFonts w:hint="eastAsia" w:ascii="楷体" w:hAnsi="楷体" w:eastAsia="楷体" w:cs="楷体"/>
          <w:b/>
          <w:bCs/>
          <w:sz w:val="30"/>
          <w:szCs w:val="30"/>
        </w:rPr>
        <w:t>1、遥感数据获取</w:t>
      </w:r>
      <w:bookmarkEnd w:id="79"/>
      <w:bookmarkEnd w:id="80"/>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收集万源市中心城区（含古东关街道、太平镇部分社区）高精度</w:t>
      </w:r>
      <w:r>
        <w:rPr>
          <w:rFonts w:ascii="宋体" w:hAnsi="宋体" w:eastAsia="宋体" w:cs="宋体"/>
          <w:sz w:val="28"/>
          <w:szCs w:val="28"/>
        </w:rPr>
        <w:t>DEM</w:t>
      </w:r>
      <w:r>
        <w:rPr>
          <w:rStyle w:val="19"/>
          <w:rFonts w:ascii="宋体" w:hAnsi="宋体" w:eastAsia="宋体" w:cs="宋体"/>
          <w:sz w:val="28"/>
          <w:szCs w:val="28"/>
        </w:rPr>
        <w:footnoteReference w:id="2"/>
      </w:r>
      <w:r>
        <w:rPr>
          <w:rFonts w:hint="eastAsia" w:ascii="宋体" w:hAnsi="宋体" w:eastAsia="宋体" w:cs="宋体"/>
          <w:sz w:val="28"/>
          <w:szCs w:val="28"/>
        </w:rPr>
        <w:t>用于三维建模，同时获取全市规划区域航空影像一次，影像分辨率不低于0.2米；每年获取全市范围中分辨率及高分辨率卫星遥感影像一次，高分辨率卫星影像分辨率不低于0.5米。利用以上影像辅助万源市“十四五”基础测绘的开展。</w:t>
      </w:r>
    </w:p>
    <w:p>
      <w:pPr>
        <w:spacing w:line="300" w:lineRule="auto"/>
        <w:outlineLvl w:val="2"/>
        <w:rPr>
          <w:rFonts w:ascii="楷体" w:hAnsi="楷体" w:eastAsia="楷体" w:cs="楷体"/>
          <w:b/>
          <w:bCs/>
          <w:sz w:val="30"/>
          <w:szCs w:val="30"/>
        </w:rPr>
      </w:pPr>
      <w:bookmarkStart w:id="81" w:name="_Toc23680"/>
      <w:bookmarkStart w:id="82" w:name="_Toc5726"/>
      <w:r>
        <w:rPr>
          <w:rFonts w:hint="eastAsia" w:ascii="楷体" w:hAnsi="楷体" w:eastAsia="楷体" w:cs="楷体"/>
          <w:b/>
          <w:bCs/>
          <w:sz w:val="30"/>
          <w:szCs w:val="30"/>
        </w:rPr>
        <w:t>2、遥感数据处理</w:t>
      </w:r>
      <w:bookmarkEnd w:id="81"/>
      <w:bookmarkEnd w:id="82"/>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测绘工作开展</w:t>
      </w:r>
      <w:r>
        <w:rPr>
          <w:rFonts w:ascii="宋体" w:hAnsi="宋体" w:eastAsia="宋体" w:cs="宋体"/>
          <w:sz w:val="28"/>
          <w:szCs w:val="28"/>
        </w:rPr>
        <w:t>过程中，</w:t>
      </w:r>
      <w:r>
        <w:rPr>
          <w:rFonts w:hint="eastAsia" w:ascii="宋体" w:hAnsi="宋体" w:eastAsia="宋体" w:cs="宋体"/>
          <w:sz w:val="28"/>
          <w:szCs w:val="28"/>
        </w:rPr>
        <w:t>先对以上影像进行辐射定标，大气校正，重采样，波段组合和影像裁剪等预处理工作；再</w:t>
      </w:r>
      <w:r>
        <w:rPr>
          <w:rFonts w:ascii="宋体" w:hAnsi="宋体" w:eastAsia="宋体" w:cs="宋体"/>
          <w:sz w:val="28"/>
          <w:szCs w:val="28"/>
        </w:rPr>
        <w:t>采用遥感图像处理技术</w:t>
      </w:r>
      <w:r>
        <w:rPr>
          <w:rFonts w:hint="eastAsia" w:ascii="宋体" w:hAnsi="宋体" w:eastAsia="宋体" w:cs="宋体"/>
          <w:sz w:val="28"/>
          <w:szCs w:val="28"/>
        </w:rPr>
        <w:t>对</w:t>
      </w:r>
      <w:r>
        <w:rPr>
          <w:rFonts w:ascii="宋体" w:hAnsi="宋体" w:eastAsia="宋体" w:cs="宋体"/>
          <w:sz w:val="28"/>
          <w:szCs w:val="28"/>
        </w:rPr>
        <w:t>地籍测绘</w:t>
      </w:r>
      <w:r>
        <w:rPr>
          <w:rFonts w:hint="eastAsia" w:ascii="宋体" w:hAnsi="宋体" w:eastAsia="宋体" w:cs="宋体"/>
          <w:sz w:val="28"/>
          <w:szCs w:val="28"/>
        </w:rPr>
        <w:t>进行处理</w:t>
      </w:r>
      <w:r>
        <w:rPr>
          <w:rFonts w:ascii="宋体" w:hAnsi="宋体" w:eastAsia="宋体" w:cs="宋体"/>
          <w:sz w:val="28"/>
          <w:szCs w:val="28"/>
        </w:rPr>
        <w:t>，</w:t>
      </w:r>
      <w:r>
        <w:rPr>
          <w:rFonts w:hint="eastAsia" w:ascii="宋体" w:hAnsi="宋体" w:eastAsia="宋体" w:cs="宋体"/>
          <w:sz w:val="28"/>
          <w:szCs w:val="28"/>
        </w:rPr>
        <w:t>以</w:t>
      </w:r>
      <w:r>
        <w:rPr>
          <w:rFonts w:ascii="宋体" w:hAnsi="宋体" w:eastAsia="宋体" w:cs="宋体"/>
          <w:sz w:val="28"/>
          <w:szCs w:val="28"/>
        </w:rPr>
        <w:t>图形以及数字等难识别的对象为基础，采用</w:t>
      </w:r>
      <w:r>
        <w:rPr>
          <w:rFonts w:hint="eastAsia" w:ascii="宋体" w:hAnsi="宋体" w:eastAsia="宋体" w:cs="宋体"/>
          <w:sz w:val="28"/>
          <w:szCs w:val="28"/>
        </w:rPr>
        <w:t>测绘与</w:t>
      </w:r>
      <w:r>
        <w:rPr>
          <w:rFonts w:ascii="宋体" w:hAnsi="宋体" w:eastAsia="宋体" w:cs="宋体"/>
          <w:sz w:val="28"/>
          <w:szCs w:val="28"/>
        </w:rPr>
        <w:t>计算机相</w:t>
      </w:r>
      <w:r>
        <w:rPr>
          <w:rFonts w:hint="eastAsia" w:ascii="宋体" w:hAnsi="宋体" w:eastAsia="宋体" w:cs="宋体"/>
          <w:sz w:val="28"/>
          <w:szCs w:val="28"/>
        </w:rPr>
        <w:t>结合</w:t>
      </w:r>
      <w:r>
        <w:rPr>
          <w:rFonts w:ascii="宋体" w:hAnsi="宋体" w:eastAsia="宋体" w:cs="宋体"/>
          <w:sz w:val="28"/>
          <w:szCs w:val="28"/>
        </w:rPr>
        <w:t>的技术手段，对大量很难识别的</w:t>
      </w:r>
      <w:r>
        <w:rPr>
          <w:rFonts w:hint="eastAsia" w:ascii="宋体" w:hAnsi="宋体" w:eastAsia="宋体" w:cs="宋体"/>
          <w:sz w:val="28"/>
          <w:szCs w:val="28"/>
        </w:rPr>
        <w:t>测绘地理</w:t>
      </w:r>
      <w:r>
        <w:rPr>
          <w:rFonts w:ascii="宋体" w:hAnsi="宋体" w:eastAsia="宋体" w:cs="宋体"/>
          <w:sz w:val="28"/>
          <w:szCs w:val="28"/>
        </w:rPr>
        <w:t>信息进行有关的加工和处理，从而使这些信息变成可识别的图像和文字，</w:t>
      </w:r>
      <w:r>
        <w:rPr>
          <w:rFonts w:hint="eastAsia" w:ascii="宋体" w:hAnsi="宋体" w:eastAsia="宋体" w:cs="宋体"/>
          <w:sz w:val="28"/>
          <w:szCs w:val="28"/>
        </w:rPr>
        <w:t>方便</w:t>
      </w:r>
      <w:r>
        <w:rPr>
          <w:rFonts w:ascii="宋体" w:hAnsi="宋体" w:eastAsia="宋体" w:cs="宋体"/>
          <w:sz w:val="28"/>
          <w:szCs w:val="28"/>
        </w:rPr>
        <w:t>记录相关的</w:t>
      </w:r>
      <w:r>
        <w:rPr>
          <w:rFonts w:hint="eastAsia" w:ascii="宋体" w:hAnsi="宋体" w:eastAsia="宋体" w:cs="宋体"/>
          <w:sz w:val="28"/>
          <w:szCs w:val="28"/>
        </w:rPr>
        <w:t>测绘地理</w:t>
      </w:r>
      <w:r>
        <w:rPr>
          <w:rFonts w:ascii="宋体" w:hAnsi="宋体" w:eastAsia="宋体" w:cs="宋体"/>
          <w:sz w:val="28"/>
          <w:szCs w:val="28"/>
        </w:rPr>
        <w:t>数据信息</w:t>
      </w:r>
      <w:r>
        <w:rPr>
          <w:rFonts w:hint="eastAsia" w:ascii="宋体" w:hAnsi="宋体" w:eastAsia="宋体" w:cs="宋体"/>
          <w:sz w:val="28"/>
          <w:szCs w:val="28"/>
        </w:rPr>
        <w:t>。</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83" w:name="_Toc26039"/>
      <w:bookmarkStart w:id="84" w:name="_Toc9427"/>
      <w:r>
        <w:rPr>
          <w:rFonts w:hint="eastAsia" w:ascii="楷体" w:hAnsi="楷体" w:eastAsia="楷体" w:cs="楷体"/>
          <w:b/>
          <w:bCs/>
          <w:sz w:val="32"/>
          <w:szCs w:val="32"/>
        </w:rPr>
        <w:t>三、基础地理信息资源建设与更新</w:t>
      </w:r>
      <w:bookmarkEnd w:id="83"/>
      <w:bookmarkEnd w:id="84"/>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开展万源市区域航空航天遥感影像获取及处理工作，实现万源市最新的高分辨率影像全覆盖。开展万源市多尺度地形图测制与更新工作，提升万源市大比例尺地形图数据的现势性和覆盖范围。开展万源市重要地理信息数据的获取工作，实现建成区及重要区域的</w:t>
      </w:r>
      <w:r>
        <w:rPr>
          <w:rFonts w:ascii="宋体" w:hAnsi="宋体" w:eastAsia="宋体" w:cs="宋体"/>
          <w:sz w:val="28"/>
          <w:szCs w:val="28"/>
        </w:rPr>
        <w:t>POI</w:t>
      </w:r>
      <w:r>
        <w:rPr>
          <w:rStyle w:val="19"/>
          <w:rFonts w:ascii="宋体" w:hAnsi="宋体" w:eastAsia="宋体" w:cs="宋体"/>
          <w:sz w:val="28"/>
          <w:szCs w:val="28"/>
        </w:rPr>
        <w:footnoteReference w:id="3"/>
      </w:r>
      <w:r>
        <w:rPr>
          <w:rFonts w:hint="eastAsia" w:ascii="宋体" w:hAnsi="宋体" w:eastAsia="宋体" w:cs="宋体"/>
          <w:sz w:val="28"/>
          <w:szCs w:val="28"/>
        </w:rPr>
        <w:t>、地名地址数据的更新。开展实景三维建设，丰富万源市新型基础测绘数据内容，满足经济社会发展对新型基础测绘数据的新需求。</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85" w:name="_Toc29080"/>
      <w:bookmarkStart w:id="86" w:name="_Toc24158"/>
      <w:r>
        <w:rPr>
          <w:rFonts w:hint="eastAsia" w:ascii="楷体" w:hAnsi="楷体" w:eastAsia="楷体" w:cs="楷体"/>
          <w:b/>
          <w:bCs/>
          <w:sz w:val="32"/>
          <w:szCs w:val="32"/>
        </w:rPr>
        <w:t>四、智慧万源</w:t>
      </w:r>
      <w:bookmarkEnd w:id="85"/>
      <w:bookmarkEnd w:id="86"/>
    </w:p>
    <w:p>
      <w:pPr>
        <w:spacing w:line="300" w:lineRule="auto"/>
        <w:outlineLvl w:val="2"/>
        <w:rPr>
          <w:rFonts w:ascii="楷体" w:hAnsi="楷体" w:eastAsia="楷体" w:cs="楷体"/>
          <w:b/>
          <w:bCs/>
          <w:sz w:val="30"/>
          <w:szCs w:val="30"/>
        </w:rPr>
      </w:pPr>
      <w:bookmarkStart w:id="87" w:name="_Toc6453"/>
      <w:bookmarkStart w:id="88" w:name="_Toc27083"/>
      <w:r>
        <w:rPr>
          <w:rFonts w:hint="eastAsia" w:ascii="楷体" w:hAnsi="楷体" w:eastAsia="楷体" w:cs="楷体"/>
          <w:b/>
          <w:bCs/>
          <w:sz w:val="30"/>
          <w:szCs w:val="30"/>
        </w:rPr>
        <w:t>1、智慧城市</w:t>
      </w:r>
      <w:bookmarkEnd w:id="87"/>
      <w:bookmarkEnd w:id="88"/>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智慧城市的发展需要新技术的支撑,科学技术在发展的同时也带动了测绘新技术的全面发展。在智慧城市建设中，发挥测绘行业新技术的优势，及时获得综合性的时空数据资源，为其他建设项目提供必要的技术保障服务。围绕万源市当前所面临和亟待解决的城市问题，积极响应我国“十四五”号召，针对目前万源市在三维地理信息平台和处理基础测绘方面的薄弱性，对建设智慧城市提出了三维城市空间建模及一体化集成的技术方案，将三维城市地理空间模型同地学构造模型无缝集成，为城市规划、政府决策以及城市稳定性评价提供一定的参考依据。具体包括以下几个方面：</w:t>
      </w:r>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（1）开展万源市中心城区（含古东关街道、太平镇部分社区）高精度</w:t>
      </w:r>
      <w:r>
        <w:rPr>
          <w:rFonts w:ascii="宋体" w:hAnsi="宋体" w:eastAsia="宋体" w:cs="宋体"/>
          <w:sz w:val="28"/>
          <w:szCs w:val="28"/>
        </w:rPr>
        <w:t>DEM</w:t>
      </w:r>
      <w:r>
        <w:rPr>
          <w:rFonts w:hint="eastAsia" w:ascii="宋体" w:hAnsi="宋体" w:eastAsia="宋体" w:cs="宋体"/>
          <w:sz w:val="28"/>
          <w:szCs w:val="28"/>
        </w:rPr>
        <w:t>生产，结合全市1：500、1:1000和1:2000比例尺地形图基础地理信息数据，构建全市地形级实景三维数据；整合全市城市级和部件级实景三维数据成果，构建实景三维数据库，提供统一的实景三维数据产品和三维空间底图服务，为万源市自然资源三维立体一张图建设提供支撑。</w:t>
      </w:r>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（2）中心城区（含古东关街道、太平镇部分社区）实景三维数据采集建库，对重点区域内城市建筑、大型构筑物、立交桥梁、地下空间、主要管线等重点对象进行精细化三维建模。</w:t>
      </w:r>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（3）设计切实可行的模型生产方式，制定相应的实施计划，完成试验区域主要地理空间对象模型的制作，最终实现三维城市空间模型一体化显示、管理、分析和应用。</w:t>
      </w:r>
    </w:p>
    <w:p>
      <w:pPr>
        <w:spacing w:line="300" w:lineRule="auto"/>
        <w:outlineLvl w:val="2"/>
        <w:rPr>
          <w:rFonts w:ascii="楷体" w:hAnsi="楷体" w:eastAsia="楷体" w:cs="楷体"/>
          <w:b/>
          <w:bCs/>
          <w:sz w:val="30"/>
          <w:szCs w:val="30"/>
        </w:rPr>
      </w:pPr>
      <w:bookmarkStart w:id="89" w:name="_Toc20703"/>
      <w:bookmarkStart w:id="90" w:name="_Toc5442"/>
      <w:r>
        <w:rPr>
          <w:rFonts w:hint="eastAsia" w:ascii="楷体" w:hAnsi="楷体" w:eastAsia="楷体" w:cs="楷体"/>
          <w:b/>
          <w:bCs/>
          <w:sz w:val="30"/>
          <w:szCs w:val="30"/>
        </w:rPr>
        <w:t>2、智慧交通</w:t>
      </w:r>
      <w:bookmarkEnd w:id="89"/>
      <w:bookmarkEnd w:id="90"/>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十四五”期间，交通运输基础设施规划实现以下建设，普通省道三级及以上修建率达90%，乡镇三级及以上公路连通率达80%，30户以上自然村（组）通硬化路率达98%，修建通用机场1个，并积极推动万源市二类通用机场建设。利用测绘技术做好通用机场前后地形图测制，保障机场的施工及运营；使用测绘的精准测量及平面、高程控制、地形图、特殊地段的控制桩及纵、横断面等资料对交通道路进行规划及修建。在万源市向交通智能化的升级转型过程中,借助现代测绘技术，构建以测绘地理信息数据和交通路网数据为核心的交通协同管控与创新服务的地理信息服务平台为公路设施运营、养护、巡查业务等提供准确数据支撑，促进交通科学管理、高效运行和品质服务,实现交通可持续发展。</w:t>
      </w:r>
    </w:p>
    <w:p>
      <w:pPr>
        <w:spacing w:line="300" w:lineRule="auto"/>
        <w:outlineLvl w:val="2"/>
        <w:rPr>
          <w:rFonts w:ascii="楷体" w:hAnsi="楷体" w:eastAsia="楷体" w:cs="楷体"/>
          <w:b/>
          <w:bCs/>
          <w:sz w:val="30"/>
          <w:szCs w:val="30"/>
        </w:rPr>
      </w:pPr>
      <w:bookmarkStart w:id="91" w:name="_Toc11020"/>
      <w:bookmarkStart w:id="92" w:name="_Toc2708"/>
      <w:r>
        <w:rPr>
          <w:rFonts w:hint="eastAsia" w:ascii="楷体" w:hAnsi="楷体" w:eastAsia="楷体" w:cs="楷体"/>
          <w:b/>
          <w:bCs/>
          <w:sz w:val="30"/>
          <w:szCs w:val="30"/>
        </w:rPr>
        <w:t>3、智慧文旅</w:t>
      </w:r>
      <w:bookmarkEnd w:id="91"/>
      <w:bookmarkEnd w:id="92"/>
    </w:p>
    <w:p>
      <w:pPr>
        <w:spacing w:line="578" w:lineRule="exact"/>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十四五”期间，构建“12345+N”文旅发展大格局。以建设“全国康养度假旅游目的地”为目标，以3大核心景区（八台山—龙潭河观光度假区、黑宝山休闲度假区、红军公园红色文化旅游区）为支撑，以4条旅游环线（花萼山生态旅游观光圈、347国道风景线、红色文化体验精品线、荔枝古道历史线）为纽带，以5个特色文旅小镇（大巴山茶文化小镇、龙潭河温泉小镇、黑宝山森林小镇、西部航天小镇、固军红色文化小镇）为节点，以“N”个乡村旅游景点为细胞的文化旅游发展路径。为实现万源市文旅发展大格局，保护景区环境，提升旅游服务质量，完善旅游景区管理制度，将测绘技术融入到旅游发展中，包括以下几个方面：</w:t>
      </w:r>
    </w:p>
    <w:p>
      <w:pPr>
        <w:numPr>
          <w:ilvl w:val="0"/>
          <w:numId w:val="1"/>
        </w:numPr>
        <w:spacing w:line="578" w:lineRule="exact"/>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以测绘地理信息数据为基础，结合现代测绘技术和地理信息技术规划旅游线路、宾馆、饭店等基础设施的位置、划出景区保护范围。</w:t>
      </w:r>
    </w:p>
    <w:p>
      <w:pPr>
        <w:numPr>
          <w:ilvl w:val="0"/>
          <w:numId w:val="1"/>
        </w:numPr>
        <w:spacing w:line="578" w:lineRule="exact"/>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使用地理信息技术为旅游资源建立环境容量、游客容量、景区受污染状况等虚拟模型，再建立出景区的三维模型，方便规划人员立体化了解整个景区的状况。</w:t>
      </w:r>
    </w:p>
    <w:p>
      <w:pPr>
        <w:numPr>
          <w:ilvl w:val="0"/>
          <w:numId w:val="1"/>
        </w:numPr>
        <w:spacing w:line="578" w:lineRule="exact"/>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以物联网、云计算、大数据为关键技术，采用智慧旅游总体框架和物联网技术架构，将万源市全域智慧文旅平台建设的总体架构分为建设一云二中心一平台：文旅云、大数据中心、监控指挥中心、旅游服务平台。</w:t>
      </w:r>
    </w:p>
    <w:p>
      <w:pPr>
        <w:spacing w:line="300" w:lineRule="auto"/>
        <w:outlineLvl w:val="2"/>
        <w:rPr>
          <w:rFonts w:ascii="楷体" w:hAnsi="楷体" w:eastAsia="楷体" w:cs="楷体"/>
          <w:b/>
          <w:bCs/>
          <w:sz w:val="30"/>
          <w:szCs w:val="30"/>
        </w:rPr>
      </w:pPr>
      <w:bookmarkStart w:id="93" w:name="_Toc24734"/>
      <w:bookmarkStart w:id="94" w:name="_Toc18889"/>
      <w:r>
        <w:rPr>
          <w:rFonts w:hint="eastAsia" w:ascii="楷体" w:hAnsi="楷体" w:eastAsia="楷体" w:cs="楷体"/>
          <w:b/>
          <w:bCs/>
          <w:sz w:val="30"/>
          <w:szCs w:val="30"/>
        </w:rPr>
        <w:t>4、数字化智能化水利系统建设</w:t>
      </w:r>
      <w:bookmarkEnd w:id="93"/>
      <w:bookmarkEnd w:id="94"/>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万源市现有水库12个，所在水系为渠江水系；水电站20个，平均装机容量为3512kw，装机容量最大的是位于大竹镇的白杨溪电站，为32000kw。“十四五”期间，着力谋划一批重点水利工程。结合万源市水资源时空分布，规划鲜家湾大型水库（长坝镇）、张家河（原曹家乡）、孙家河中型水库（原石人乡），凤凰湖（旧院龙潭河）、蔡湾河（八台镇）、八台山小型水库等一批重点水源工程。利用测绘和地理信息技术建立一个数字化智能化水利系统，对水利工程数据进行相关的采集、存储、分析以及对水利工程竣工后进行实时监测。同时对采集到的水下地形点的平面高程等相关测量数据进行相关的检查以及核实,从而有效的将其输入专业的数字地形图成图软件以及断面图成图软件中进行相关的处理，得到更高精准度以及高质量的数字地形图以及断面图，进一步提升水利工程中的测量质量以及效果。</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95" w:name="_Toc9514"/>
      <w:r>
        <w:rPr>
          <w:rFonts w:hint="eastAsia" w:ascii="楷体" w:hAnsi="楷体" w:eastAsia="楷体" w:cs="楷体"/>
          <w:b/>
          <w:bCs/>
          <w:sz w:val="32"/>
          <w:szCs w:val="32"/>
        </w:rPr>
        <w:t>五、建立地理信息服务公共平台</w:t>
      </w:r>
      <w:bookmarkEnd w:id="95"/>
    </w:p>
    <w:p>
      <w:pPr>
        <w:ind w:firstLine="560" w:firstLineChars="200"/>
        <w:jc w:val="left"/>
        <w:rPr>
          <w:rFonts w:ascii="宋体" w:hAnsi="宋体" w:eastAsia="宋体" w:cs="宋体"/>
          <w:kern w:val="0"/>
          <w:sz w:val="28"/>
          <w:szCs w:val="28"/>
        </w:rPr>
      </w:pPr>
      <w:bookmarkStart w:id="96" w:name="_Toc25545"/>
      <w:r>
        <w:rPr>
          <w:rFonts w:hint="eastAsia" w:ascii="宋体" w:hAnsi="宋体" w:eastAsia="宋体" w:cs="宋体"/>
          <w:kern w:val="0"/>
          <w:sz w:val="28"/>
          <w:szCs w:val="28"/>
        </w:rPr>
        <w:t>建立城市地理信息服务公共平台为万源市“十四五”期间基础设施建设、城镇化建设、乡村振兴建设提供地理信息保障服务。包括收集最新居民地、道路、水利、行政区划等重要地图要素，编制万源市中心城区和52个乡镇标准地图；以基础地理信息数据为底图，叠加万源市特色农业、民生保障、生态环境、美丽乡村、交通路网等专题数据，编制政务工作地图；以人口、经济、社会、环境、重大活动为主题，编制万源市人口资源环境、经济社会、可持续发展、重大活动等专题地图。在统一的地理空间框架数据基础上，通过集成和加载以上公益性地图以及万源市其他测绘地理信息，在保障政府各部门对各自信息权益的前提下，既实现对地理信息资源的整合和共享服务，也为各类信息(空间或非空间)实现网络化服务建立一个城市地理信息服务公共平台。加大对城市地理信息公共平台应用推广，使更多的部门、企事业单位和公众应用平台数据，进一步发挥该平台作为自然资源数据中心的基础支撑作用。</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97" w:name="_Toc2429"/>
      <w:r>
        <w:rPr>
          <w:rFonts w:hint="eastAsia" w:ascii="楷体" w:hAnsi="楷体" w:eastAsia="楷体" w:cs="楷体"/>
          <w:b/>
          <w:bCs/>
          <w:sz w:val="32"/>
          <w:szCs w:val="32"/>
        </w:rPr>
        <w:t>六、应急测绘保障</w:t>
      </w:r>
      <w:bookmarkEnd w:id="96"/>
      <w:bookmarkEnd w:id="97"/>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做好应急测绘保障工作是《测绘法》明确的法定职责，提供应急测绘保障是自然资源管理部门“三定”重要职责。在机构改革的过渡时期，有效整合利用测绘地理信息资源，提高测绘应急保障能力，为突发事件提供高效有序的测绘应急保障。针对万源市地区各类专题信息和测绘成果资料，有针对性地组织制作各种专题测绘产品；充分发挥地理信息数据资源优势，积极配合开展灾害隐患排查和监测预警，为研判灾情、决策部署提供测绘地理信息成果和技术支持；积极提供已有适用的各类测绘地理信息，并根据灾情应急的实际需求和要求，及时开展航空摄影信息获取、实地测绘、数据处理和加工制作、地理信息系统研发等。</w:t>
      </w:r>
    </w:p>
    <w:p>
      <w:pPr>
        <w:pStyle w:val="2"/>
        <w:sectPr>
          <w:footerReference r:id="rId7" w:type="default"/>
          <w:pgSz w:w="11906" w:h="16838"/>
          <w:pgMar w:top="1440" w:right="1800" w:bottom="1440" w:left="1800" w:header="851" w:footer="992" w:gutter="0"/>
          <w:pgNumType w:start="1"/>
          <w:cols w:space="425" w:num="1"/>
          <w:docGrid w:type="lines" w:linePitch="312" w:charSpace="0"/>
        </w:sectPr>
      </w:pPr>
    </w:p>
    <w:p>
      <w:pPr>
        <w:pStyle w:val="25"/>
        <w:tabs>
          <w:tab w:val="left" w:pos="1418"/>
        </w:tabs>
        <w:adjustRightInd w:val="0"/>
        <w:snapToGrid w:val="0"/>
        <w:spacing w:beforeLines="50" w:afterLines="50" w:line="360" w:lineRule="auto"/>
        <w:ind w:firstLine="0"/>
        <w:jc w:val="center"/>
        <w:outlineLvl w:val="0"/>
        <w:rPr>
          <w:rFonts w:ascii="Times New Roman" w:hAnsi="Times New Roman" w:eastAsia="楷体" w:cs="Times New Roman"/>
          <w:b/>
          <w:sz w:val="44"/>
          <w:szCs w:val="44"/>
        </w:rPr>
      </w:pPr>
      <w:bookmarkStart w:id="98" w:name="_Toc29906"/>
      <w:bookmarkStart w:id="99" w:name="_Toc31715"/>
      <w:r>
        <w:rPr>
          <w:rFonts w:hint="eastAsia" w:ascii="Times New Roman" w:hAnsi="Times New Roman" w:eastAsia="楷体" w:cs="Times New Roman"/>
          <w:b/>
          <w:sz w:val="44"/>
          <w:szCs w:val="44"/>
        </w:rPr>
        <w:t>第</w:t>
      </w:r>
      <w:r>
        <w:rPr>
          <w:rFonts w:hint="eastAsia" w:ascii="楷体" w:hAnsi="楷体" w:eastAsia="楷体" w:cs="楷体"/>
          <w:b/>
          <w:sz w:val="44"/>
          <w:szCs w:val="44"/>
        </w:rPr>
        <w:t>五</w:t>
      </w:r>
      <w:r>
        <w:rPr>
          <w:rFonts w:hint="eastAsia" w:ascii="Times New Roman" w:hAnsi="Times New Roman" w:eastAsia="楷体" w:cs="Times New Roman"/>
          <w:b/>
          <w:sz w:val="44"/>
          <w:szCs w:val="44"/>
        </w:rPr>
        <w:t>章 保障措施</w:t>
      </w:r>
      <w:bookmarkEnd w:id="98"/>
      <w:bookmarkEnd w:id="99"/>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100" w:name="_Toc15605"/>
      <w:bookmarkStart w:id="101" w:name="_Toc8023"/>
      <w:r>
        <w:rPr>
          <w:rFonts w:hint="eastAsia" w:ascii="楷体" w:hAnsi="楷体" w:eastAsia="楷体" w:cs="楷体"/>
          <w:b/>
          <w:bCs/>
          <w:sz w:val="32"/>
          <w:szCs w:val="32"/>
        </w:rPr>
        <w:t>一、人才保障</w:t>
      </w:r>
      <w:bookmarkEnd w:id="100"/>
      <w:bookmarkEnd w:id="101"/>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加强测绘人才队伍建设。加大测绘人才培养力度，全面提高测绘队伍整体素质。根据基础测绘需要和工作实际，进一步完善以引进人才、专职教育、专职培训相结合的测绘人才培养体系。制定人才培养、引进的有关政策，通过不同方式切实加强测绘管理和技术队伍建设，努力形成一支技术先进、装备精良、功能完善、保障有力的测绘队伍。并根据《新型基础测绘体系建设试点技术大纲》建设目标，探索利用新技术、新方法、新思路推动测绘事业发展。</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102" w:name="_Toc31212"/>
      <w:bookmarkStart w:id="103" w:name="_Toc27283"/>
      <w:r>
        <w:rPr>
          <w:rFonts w:hint="eastAsia" w:ascii="楷体" w:hAnsi="楷体" w:eastAsia="楷体" w:cs="楷体"/>
          <w:b/>
          <w:bCs/>
          <w:sz w:val="32"/>
          <w:szCs w:val="32"/>
        </w:rPr>
        <w:t>二、经费保障</w:t>
      </w:r>
      <w:bookmarkEnd w:id="102"/>
      <w:bookmarkEnd w:id="103"/>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资金保障是推动基础测绘发展重要条件，建立健全基础测绘的财政投入机制，将基础测绘所需经费列入政府财政预算,实现基础测绘投入长期、稳定、持续增长，确保基础测绘工作得到强有力的</w:t>
      </w:r>
      <w:bookmarkStart w:id="104" w:name="baidusnap0"/>
      <w:bookmarkEnd w:id="104"/>
      <w:r>
        <w:rPr>
          <w:rFonts w:hint="eastAsia" w:ascii="宋体" w:hAnsi="宋体" w:eastAsia="宋体" w:cs="宋体"/>
          <w:sz w:val="28"/>
          <w:szCs w:val="28"/>
        </w:rPr>
        <w:t>资金保障。</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105" w:name="_Toc15539"/>
      <w:bookmarkStart w:id="106" w:name="_Toc10347"/>
      <w:r>
        <w:rPr>
          <w:rFonts w:hint="eastAsia" w:ascii="楷体" w:hAnsi="楷体" w:eastAsia="楷体" w:cs="楷体"/>
          <w:b/>
          <w:bCs/>
          <w:sz w:val="32"/>
          <w:szCs w:val="32"/>
        </w:rPr>
        <w:t>三、技术保障</w:t>
      </w:r>
      <w:bookmarkEnd w:id="105"/>
      <w:bookmarkEnd w:id="106"/>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加强新技术在基础测绘领域的应用，推进创新平台建设，深化创新团队培育，完善“产学研用”合作机制，加大基础测绘关键核心技术新力度，创新产品形式，强化成果应用，为基础测绘规划实施提供创新驱动保障，提升工作效能。</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107" w:name="_Toc6654"/>
      <w:bookmarkStart w:id="108" w:name="_Toc3899"/>
      <w:r>
        <w:rPr>
          <w:rFonts w:hint="eastAsia" w:ascii="楷体" w:hAnsi="楷体" w:eastAsia="楷体" w:cs="楷体"/>
          <w:b/>
          <w:bCs/>
          <w:sz w:val="32"/>
          <w:szCs w:val="32"/>
        </w:rPr>
        <w:t>四、组织保障</w:t>
      </w:r>
      <w:bookmarkEnd w:id="107"/>
      <w:bookmarkEnd w:id="108"/>
    </w:p>
    <w:p>
      <w:pPr>
        <w:pStyle w:val="14"/>
        <w:widowControl/>
        <w:shd w:val="clear" w:color="auto" w:fill="FFFFFF"/>
        <w:spacing w:beforeAutospacing="0" w:afterAutospacing="0" w:line="300" w:lineRule="auto"/>
        <w:ind w:firstLine="560" w:firstLineChars="200"/>
        <w:jc w:val="both"/>
        <w:rPr>
          <w:rFonts w:ascii="宋体" w:hAnsi="宋体" w:eastAsia="宋体" w:cs="宋体"/>
          <w:sz w:val="28"/>
          <w:szCs w:val="28"/>
        </w:rPr>
      </w:pPr>
      <w:r>
        <w:rPr>
          <w:rFonts w:hint="eastAsia" w:ascii="宋体" w:hAnsi="宋体" w:eastAsia="宋体" w:cs="宋体"/>
          <w:sz w:val="28"/>
          <w:szCs w:val="28"/>
        </w:rPr>
        <w:t>加强对测绘工作的领导，强化测绘行政主管部门对基础测绘工作的统一监督管理，统筹规划各专业部门的测绘工作，推进测绘地理信息资源共建共享。实行基础测绘工作的统一监督管理，防止各自为政和重复测绘。加强统一规划与组织协调，结合国民经济和社会发展对基础测绘的需求，合理安排重点项目和时间进度。积极引导和支持基础测绘保障队伍自身建设，加快测绘发展方式转变，促进测绘转型升级。建立测绘公共服务体系，提高公共服务水平。</w:t>
      </w:r>
    </w:p>
    <w:p>
      <w:pPr>
        <w:pStyle w:val="25"/>
        <w:tabs>
          <w:tab w:val="left" w:pos="1418"/>
        </w:tabs>
        <w:adjustRightInd w:val="0"/>
        <w:snapToGrid w:val="0"/>
        <w:spacing w:line="300" w:lineRule="auto"/>
        <w:ind w:firstLine="0"/>
        <w:outlineLvl w:val="1"/>
        <w:rPr>
          <w:rFonts w:ascii="楷体" w:hAnsi="楷体" w:eastAsia="楷体" w:cs="楷体"/>
          <w:b/>
          <w:bCs/>
          <w:sz w:val="32"/>
          <w:szCs w:val="32"/>
        </w:rPr>
      </w:pPr>
      <w:bookmarkStart w:id="109" w:name="_Toc23666"/>
      <w:bookmarkStart w:id="110" w:name="_Toc31150"/>
      <w:r>
        <w:rPr>
          <w:rFonts w:hint="eastAsia" w:ascii="楷体" w:hAnsi="楷体" w:eastAsia="楷体" w:cs="楷体"/>
          <w:b/>
          <w:bCs/>
          <w:sz w:val="32"/>
          <w:szCs w:val="32"/>
        </w:rPr>
        <w:t>五、政策保障</w:t>
      </w:r>
      <w:bookmarkEnd w:id="109"/>
      <w:bookmarkEnd w:id="110"/>
    </w:p>
    <w:p>
      <w:pPr>
        <w:pStyle w:val="14"/>
        <w:widowControl/>
        <w:shd w:val="clear" w:color="auto" w:fill="FFFFFF"/>
        <w:spacing w:beforeAutospacing="0" w:afterAutospacing="0" w:line="300" w:lineRule="auto"/>
        <w:ind w:firstLine="560" w:firstLineChars="200"/>
        <w:jc w:val="both"/>
        <w:rPr>
          <w:rFonts w:ascii="Times New Roman" w:hAnsi="Times New Roman" w:eastAsia="楷体"/>
          <w:b/>
          <w:bCs/>
          <w:sz w:val="32"/>
          <w:szCs w:val="32"/>
        </w:rPr>
      </w:pPr>
      <w:r>
        <w:rPr>
          <w:rFonts w:hint="eastAsia" w:ascii="宋体" w:hAnsi="宋体" w:eastAsia="宋体" w:cs="宋体"/>
          <w:sz w:val="28"/>
          <w:szCs w:val="28"/>
        </w:rPr>
        <w:t>根据《国务院关于加强测绘工作的意见》、《全国基础测绘中长期规划纲要（</w:t>
      </w:r>
      <w:r>
        <w:rPr>
          <w:rFonts w:ascii="宋体" w:hAnsi="宋体" w:eastAsia="宋体" w:cs="宋体"/>
          <w:sz w:val="28"/>
          <w:szCs w:val="28"/>
        </w:rPr>
        <w:t>2015-2030</w:t>
      </w:r>
      <w:r>
        <w:rPr>
          <w:rFonts w:hint="eastAsia" w:ascii="宋体" w:hAnsi="宋体" w:eastAsia="宋体" w:cs="宋体"/>
          <w:sz w:val="28"/>
          <w:szCs w:val="28"/>
        </w:rPr>
        <w:t>年）》、《全国基础测绘“十四五”规划编制指南》指导精神，加强测绘依法行政意识，强化测绘行政管理职能，不断完善测绘行政管理体制，全面实现对全市测绘工作的统一监管。</w:t>
      </w:r>
      <w:r>
        <w:rPr>
          <w:rFonts w:hint="eastAsia" w:ascii="Times New Roman" w:hAnsi="Times New Roman" w:eastAsia="楷体"/>
          <w:b/>
          <w:bCs/>
          <w:sz w:val="32"/>
          <w:szCs w:val="32"/>
        </w:rPr>
        <w:br w:type="page"/>
      </w:r>
    </w:p>
    <w:p>
      <w:pPr>
        <w:pStyle w:val="25"/>
        <w:tabs>
          <w:tab w:val="left" w:pos="1418"/>
        </w:tabs>
        <w:adjustRightInd w:val="0"/>
        <w:snapToGrid w:val="0"/>
        <w:spacing w:line="360" w:lineRule="auto"/>
        <w:ind w:firstLine="0"/>
        <w:outlineLvl w:val="0"/>
        <w:rPr>
          <w:rFonts w:ascii="Times New Roman" w:hAnsi="Times New Roman" w:eastAsia="楷体" w:cs="Times New Roman"/>
          <w:b/>
          <w:sz w:val="32"/>
          <w:szCs w:val="32"/>
        </w:rPr>
      </w:pPr>
      <w:bookmarkStart w:id="111" w:name="_Toc71704149"/>
      <w:bookmarkStart w:id="112" w:name="_Toc31382"/>
      <w:bookmarkStart w:id="113" w:name="_Toc1996"/>
      <w:r>
        <w:rPr>
          <w:rFonts w:hint="eastAsia" w:ascii="Times New Roman" w:hAnsi="Times New Roman" w:eastAsia="楷体" w:cs="Times New Roman"/>
          <w:b/>
          <w:sz w:val="32"/>
          <w:szCs w:val="32"/>
        </w:rPr>
        <w:t>附</w:t>
      </w:r>
      <w:bookmarkEnd w:id="111"/>
      <w:r>
        <w:rPr>
          <w:rFonts w:hint="eastAsia" w:ascii="Times New Roman" w:hAnsi="Times New Roman" w:eastAsia="楷体" w:cs="Times New Roman"/>
          <w:b/>
          <w:sz w:val="32"/>
          <w:szCs w:val="32"/>
        </w:rPr>
        <w:t>图</w:t>
      </w:r>
      <w:bookmarkEnd w:id="112"/>
      <w:bookmarkEnd w:id="113"/>
    </w:p>
    <w:p>
      <w:pPr>
        <w:pStyle w:val="3"/>
        <w:spacing w:line="360" w:lineRule="auto"/>
        <w:jc w:val="left"/>
        <w:rPr>
          <w:rFonts w:ascii="Times New Roman" w:hAnsi="Times New Roman" w:eastAsia="仿宋" w:cs="Times New Roman"/>
          <w:sz w:val="32"/>
        </w:rPr>
      </w:pPr>
      <w:bookmarkStart w:id="114" w:name="_Toc59191136"/>
      <w:bookmarkStart w:id="115" w:name="_Toc71704142"/>
      <w:bookmarkStart w:id="116" w:name="_Toc17644"/>
      <w:bookmarkStart w:id="117" w:name="_Toc17377"/>
      <w:r>
        <w:rPr>
          <w:rFonts w:hint="eastAsia" w:ascii="Times New Roman" w:hAnsi="Times New Roman" w:eastAsia="仿宋" w:cs="Times New Roman"/>
          <w:sz w:val="32"/>
        </w:rPr>
        <w:t xml:space="preserve">附图1  </w:t>
      </w:r>
      <w:bookmarkEnd w:id="114"/>
      <w:r>
        <w:rPr>
          <w:rFonts w:hint="eastAsia" w:ascii="Times New Roman" w:hAnsi="Times New Roman" w:eastAsia="仿宋" w:cs="Times New Roman"/>
          <w:sz w:val="32"/>
        </w:rPr>
        <w:t>万源市行政区划</w:t>
      </w:r>
      <w:bookmarkEnd w:id="115"/>
      <w:r>
        <w:rPr>
          <w:rFonts w:hint="eastAsia" w:ascii="Times New Roman" w:hAnsi="Times New Roman" w:eastAsia="仿宋" w:cs="Times New Roman"/>
          <w:sz w:val="32"/>
        </w:rPr>
        <w:t>图</w:t>
      </w:r>
      <w:bookmarkEnd w:id="116"/>
      <w:bookmarkEnd w:id="117"/>
    </w:p>
    <w:p>
      <w:pPr>
        <w:jc w:val="center"/>
        <w:rPr>
          <w:rFonts w:eastAsia="仿宋"/>
        </w:rPr>
      </w:pPr>
      <w:r>
        <w:rPr>
          <w:rFonts w:hint="eastAsia" w:eastAsia="仿宋"/>
        </w:rPr>
        <w:drawing>
          <wp:inline distT="0" distB="0" distL="114300" distR="114300">
            <wp:extent cx="5270500" cy="4392295"/>
            <wp:effectExtent l="0" t="0" r="6350" b="8255"/>
            <wp:docPr id="8" name="图片 8" descr="行政区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行政区划图"/>
                    <pic:cNvPicPr>
                      <a:picLocks noChangeAspect="true"/>
                    </pic:cNvPicPr>
                  </pic:nvPicPr>
                  <pic:blipFill>
                    <a:blip r:embed="rId10"/>
                    <a:stretch>
                      <a:fillRect/>
                    </a:stretch>
                  </pic:blipFill>
                  <pic:spPr>
                    <a:xfrm>
                      <a:off x="0" y="0"/>
                      <a:ext cx="5270500" cy="4392295"/>
                    </a:xfrm>
                    <a:prstGeom prst="rect">
                      <a:avLst/>
                    </a:prstGeom>
                  </pic:spPr>
                </pic:pic>
              </a:graphicData>
            </a:graphic>
          </wp:inline>
        </w:drawing>
      </w:r>
    </w:p>
    <w:p>
      <w:pPr>
        <w:pStyle w:val="3"/>
        <w:spacing w:line="360" w:lineRule="auto"/>
        <w:rPr>
          <w:rFonts w:ascii="Times New Roman" w:hAnsi="Times New Roman" w:eastAsia="仿宋" w:cs="Times New Roman"/>
          <w:sz w:val="32"/>
        </w:rPr>
      </w:pPr>
      <w:bookmarkStart w:id="118" w:name="_Toc10095"/>
      <w:bookmarkStart w:id="119" w:name="_Toc16429"/>
      <w:r>
        <w:rPr>
          <w:rFonts w:hint="eastAsia" w:ascii="Times New Roman" w:hAnsi="Times New Roman" w:eastAsia="仿宋" w:cs="Times New Roman"/>
          <w:sz w:val="32"/>
        </w:rPr>
        <w:t>附图2  万源市遥感影像获取范围</w:t>
      </w:r>
      <w:bookmarkEnd w:id="118"/>
      <w:bookmarkEnd w:id="119"/>
    </w:p>
    <w:p>
      <w:pPr>
        <w:jc w:val="center"/>
      </w:pPr>
      <w:r>
        <w:rPr>
          <w:rFonts w:hint="eastAsia"/>
        </w:rPr>
        <w:drawing>
          <wp:inline distT="0" distB="0" distL="114300" distR="114300">
            <wp:extent cx="5270500" cy="4392295"/>
            <wp:effectExtent l="0" t="0" r="6350" b="8255"/>
            <wp:docPr id="1" name="图片 1" descr="遥感获取范围"/>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遥感获取范围"/>
                    <pic:cNvPicPr>
                      <a:picLocks noChangeAspect="true"/>
                    </pic:cNvPicPr>
                  </pic:nvPicPr>
                  <pic:blipFill>
                    <a:blip r:embed="rId11"/>
                    <a:stretch>
                      <a:fillRect/>
                    </a:stretch>
                  </pic:blipFill>
                  <pic:spPr>
                    <a:xfrm>
                      <a:off x="0" y="0"/>
                      <a:ext cx="5270500" cy="4392295"/>
                    </a:xfrm>
                    <a:prstGeom prst="rect">
                      <a:avLst/>
                    </a:prstGeom>
                  </pic:spPr>
                </pic:pic>
              </a:graphicData>
            </a:graphic>
          </wp:inline>
        </w:drawing>
      </w:r>
    </w:p>
    <w:p>
      <w:pPr>
        <w:rPr>
          <w:rFonts w:ascii="Times New Roman" w:hAnsi="Times New Roman" w:eastAsia="仿宋" w:cs="Times New Roman"/>
          <w:sz w:val="32"/>
        </w:rPr>
      </w:pPr>
      <w:bookmarkStart w:id="120" w:name="_Toc71704148"/>
      <w:r>
        <w:rPr>
          <w:rFonts w:hint="eastAsia" w:ascii="Times New Roman" w:hAnsi="Times New Roman" w:eastAsia="仿宋" w:cs="Times New Roman"/>
          <w:sz w:val="32"/>
        </w:rPr>
        <w:br w:type="page"/>
      </w:r>
    </w:p>
    <w:p>
      <w:pPr>
        <w:pStyle w:val="3"/>
        <w:spacing w:line="360" w:lineRule="auto"/>
        <w:jc w:val="left"/>
        <w:rPr>
          <w:rFonts w:ascii="Times New Roman" w:hAnsi="Times New Roman" w:eastAsia="仿宋" w:cs="Times New Roman"/>
          <w:sz w:val="32"/>
        </w:rPr>
      </w:pPr>
      <w:bookmarkStart w:id="121" w:name="_Toc27630"/>
      <w:bookmarkStart w:id="122" w:name="_Toc20019"/>
      <w:r>
        <w:rPr>
          <w:rFonts w:hint="eastAsia" w:ascii="Times New Roman" w:hAnsi="Times New Roman" w:eastAsia="仿宋" w:cs="Times New Roman"/>
          <w:sz w:val="32"/>
        </w:rPr>
        <w:t>附图3  万源市DEM数据和三维实景建设范围</w:t>
      </w:r>
      <w:bookmarkEnd w:id="120"/>
      <w:bookmarkEnd w:id="121"/>
      <w:bookmarkEnd w:id="122"/>
    </w:p>
    <w:p>
      <w:pPr>
        <w:jc w:val="center"/>
      </w:pPr>
      <w:r>
        <w:rPr>
          <w:rFonts w:hint="eastAsia"/>
        </w:rPr>
        <w:drawing>
          <wp:inline distT="0" distB="0" distL="114300" distR="114300">
            <wp:extent cx="5270500" cy="4392295"/>
            <wp:effectExtent l="0" t="0" r="6350" b="8255"/>
            <wp:docPr id="3" name="图片 3" descr="万源市DEM数据和三维实景建设范围"/>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万源市DEM数据和三维实景建设范围"/>
                    <pic:cNvPicPr>
                      <a:picLocks noChangeAspect="true"/>
                    </pic:cNvPicPr>
                  </pic:nvPicPr>
                  <pic:blipFill>
                    <a:blip r:embed="rId12"/>
                    <a:stretch>
                      <a:fillRect/>
                    </a:stretch>
                  </pic:blipFill>
                  <pic:spPr>
                    <a:xfrm>
                      <a:off x="0" y="0"/>
                      <a:ext cx="5270500" cy="4392295"/>
                    </a:xfrm>
                    <a:prstGeom prst="rect">
                      <a:avLst/>
                    </a:prstGeom>
                  </pic:spPr>
                </pic:pic>
              </a:graphicData>
            </a:graphic>
          </wp:inline>
        </w:drawing>
      </w:r>
    </w:p>
    <w:p>
      <w:pPr>
        <w:rPr>
          <w:rFonts w:ascii="Times New Roman" w:hAnsi="Times New Roman" w:eastAsia="仿宋" w:cs="Times New Roman"/>
          <w:sz w:val="32"/>
        </w:rPr>
      </w:pPr>
      <w:r>
        <w:rPr>
          <w:rFonts w:hint="eastAsia" w:ascii="Times New Roman" w:hAnsi="Times New Roman" w:eastAsia="仿宋" w:cs="Times New Roman"/>
          <w:sz w:val="32"/>
        </w:rPr>
        <w:br w:type="page"/>
      </w:r>
    </w:p>
    <w:p>
      <w:pPr>
        <w:pStyle w:val="3"/>
        <w:spacing w:line="360" w:lineRule="auto"/>
        <w:rPr>
          <w:rFonts w:ascii="Times New Roman" w:hAnsi="Times New Roman" w:eastAsia="仿宋" w:cs="Times New Roman"/>
          <w:sz w:val="32"/>
        </w:rPr>
      </w:pPr>
      <w:bookmarkStart w:id="123" w:name="_Toc27978"/>
      <w:bookmarkStart w:id="124" w:name="_Toc14606"/>
      <w:r>
        <w:rPr>
          <w:rFonts w:hint="eastAsia" w:ascii="Times New Roman" w:hAnsi="Times New Roman" w:eastAsia="仿宋" w:cs="Times New Roman"/>
          <w:sz w:val="32"/>
        </w:rPr>
        <w:t>附图4  万源市重要地理信息更新范围</w:t>
      </w:r>
      <w:bookmarkEnd w:id="123"/>
      <w:bookmarkEnd w:id="124"/>
    </w:p>
    <w:p>
      <w:pPr>
        <w:jc w:val="center"/>
        <w:rPr>
          <w:rFonts w:ascii="Times New Roman" w:hAnsi="Times New Roman" w:eastAsia="仿宋" w:cs="Times New Roman"/>
          <w:sz w:val="32"/>
        </w:rPr>
      </w:pPr>
      <w:r>
        <w:rPr>
          <w:rFonts w:hint="eastAsia" w:ascii="Times New Roman" w:hAnsi="Times New Roman" w:eastAsia="仿宋" w:cs="Times New Roman"/>
          <w:sz w:val="32"/>
        </w:rPr>
        <w:drawing>
          <wp:inline distT="0" distB="0" distL="114300" distR="114300">
            <wp:extent cx="4937125" cy="3949700"/>
            <wp:effectExtent l="0" t="0" r="15875" b="12700"/>
            <wp:docPr id="65" name="图片 65" descr="图片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descr="图片4"/>
                    <pic:cNvPicPr>
                      <a:picLocks noChangeAspect="true"/>
                    </pic:cNvPicPr>
                  </pic:nvPicPr>
                  <pic:blipFill>
                    <a:blip r:embed="rId13"/>
                    <a:stretch>
                      <a:fillRect/>
                    </a:stretch>
                  </pic:blipFill>
                  <pic:spPr>
                    <a:xfrm>
                      <a:off x="0" y="0"/>
                      <a:ext cx="4937125" cy="3949700"/>
                    </a:xfrm>
                    <a:prstGeom prst="rect">
                      <a:avLst/>
                    </a:prstGeom>
                  </pic:spPr>
                </pic:pic>
              </a:graphicData>
            </a:graphic>
          </wp:inline>
        </w:drawing>
      </w:r>
      <w:r>
        <w:rPr>
          <w:rFonts w:hint="eastAsia" w:ascii="Times New Roman" w:hAnsi="Times New Roman" w:eastAsia="仿宋" w:cs="Times New Roman"/>
          <w:sz w:val="32"/>
        </w:rPr>
        <w:br w:type="page"/>
      </w:r>
    </w:p>
    <w:p>
      <w:pPr>
        <w:pStyle w:val="3"/>
        <w:spacing w:line="360" w:lineRule="auto"/>
        <w:jc w:val="left"/>
        <w:rPr>
          <w:rFonts w:ascii="Times New Roman" w:hAnsi="Times New Roman" w:eastAsia="仿宋" w:cs="Times New Roman"/>
          <w:sz w:val="32"/>
        </w:rPr>
      </w:pPr>
      <w:bookmarkStart w:id="125" w:name="_Toc991"/>
      <w:bookmarkStart w:id="126" w:name="_Toc8358"/>
      <w:r>
        <w:rPr>
          <w:rFonts w:hint="eastAsia" w:ascii="Times New Roman" w:hAnsi="Times New Roman" w:eastAsia="仿宋" w:cs="Times New Roman"/>
          <w:sz w:val="32"/>
        </w:rPr>
        <w:t>附图5  万源市1:2000比例尺地形图测制范围</w:t>
      </w:r>
      <w:bookmarkEnd w:id="125"/>
      <w:bookmarkEnd w:id="126"/>
    </w:p>
    <w:p>
      <w:pPr>
        <w:jc w:val="center"/>
      </w:pPr>
      <w:r>
        <w:rPr>
          <w:rFonts w:hint="eastAsia"/>
        </w:rPr>
        <w:drawing>
          <wp:inline distT="0" distB="0" distL="114300" distR="114300">
            <wp:extent cx="5270500" cy="4392295"/>
            <wp:effectExtent l="0" t="0" r="6350" b="8255"/>
            <wp:docPr id="2" name="图片 2" descr="万源市1：20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万源市1：2000"/>
                    <pic:cNvPicPr>
                      <a:picLocks noChangeAspect="true"/>
                    </pic:cNvPicPr>
                  </pic:nvPicPr>
                  <pic:blipFill>
                    <a:blip r:embed="rId14"/>
                    <a:stretch>
                      <a:fillRect/>
                    </a:stretch>
                  </pic:blipFill>
                  <pic:spPr>
                    <a:xfrm>
                      <a:off x="0" y="0"/>
                      <a:ext cx="5270500" cy="4392295"/>
                    </a:xfrm>
                    <a:prstGeom prst="rect">
                      <a:avLst/>
                    </a:prstGeom>
                  </pic:spPr>
                </pic:pic>
              </a:graphicData>
            </a:graphic>
          </wp:inline>
        </w:drawing>
      </w:r>
    </w:p>
    <w:p>
      <w:pPr>
        <w:pStyle w:val="3"/>
        <w:spacing w:line="360" w:lineRule="auto"/>
        <w:jc w:val="left"/>
        <w:rPr>
          <w:rFonts w:ascii="Times New Roman" w:hAnsi="Times New Roman" w:eastAsia="仿宋" w:cs="Times New Roman"/>
          <w:sz w:val="32"/>
        </w:rPr>
      </w:pPr>
      <w:bookmarkStart w:id="127" w:name="_Toc6807"/>
      <w:bookmarkStart w:id="128" w:name="_Toc31891"/>
      <w:r>
        <w:rPr>
          <w:rFonts w:hint="eastAsia" w:ascii="Times New Roman" w:hAnsi="Times New Roman" w:eastAsia="仿宋" w:cs="Times New Roman"/>
          <w:sz w:val="32"/>
        </w:rPr>
        <w:t>附图6  万源市1:500比例尺地籍图测制范围</w:t>
      </w:r>
      <w:bookmarkEnd w:id="127"/>
      <w:bookmarkEnd w:id="128"/>
    </w:p>
    <w:p>
      <w:pPr>
        <w:jc w:val="center"/>
        <w:rPr>
          <w:rFonts w:eastAsia="仿宋"/>
        </w:rPr>
      </w:pPr>
      <w:r>
        <w:rPr>
          <w:rFonts w:hint="eastAsia" w:eastAsia="仿宋"/>
        </w:rPr>
        <w:drawing>
          <wp:inline distT="0" distB="0" distL="114300" distR="114300">
            <wp:extent cx="5270500" cy="4392295"/>
            <wp:effectExtent l="0" t="0" r="6350" b="8255"/>
            <wp:docPr id="6" name="图片 6" descr="万源市1：5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万源市1：500"/>
                    <pic:cNvPicPr>
                      <a:picLocks noChangeAspect="true"/>
                    </pic:cNvPicPr>
                  </pic:nvPicPr>
                  <pic:blipFill>
                    <a:blip r:embed="rId15"/>
                    <a:stretch>
                      <a:fillRect/>
                    </a:stretch>
                  </pic:blipFill>
                  <pic:spPr>
                    <a:xfrm>
                      <a:off x="0" y="0"/>
                      <a:ext cx="5270500" cy="43922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00000000" w:usb1="00000000" w:usb2="00000009" w:usb3="00000000" w:csb0="000001FF" w:csb1="00000000"/>
  </w:font>
  <w:font w:name="楷体">
    <w:altName w:val="方正楷体_GBK"/>
    <w:panose1 w:val="02010609060101010101"/>
    <w:charset w:val="86"/>
    <w:family w:val="modern"/>
    <w:pitch w:val="default"/>
    <w:sig w:usb0="00000000" w:usb1="00000000" w:usb2="00000016" w:usb3="00000000" w:csb0="00040001" w:csb1="00000000"/>
  </w:font>
  <w:font w:name="等线">
    <w:altName w:val="汉仪中圆B5"/>
    <w:panose1 w:val="02010600030101010101"/>
    <w:charset w:val="86"/>
    <w:family w:val="auto"/>
    <w:pitch w:val="default"/>
    <w:sig w:usb0="00000000" w:usb1="00000000" w:usb2="00000016" w:usb3="00000000" w:csb0="0004000F" w:csb1="00000000"/>
  </w:font>
  <w:font w:name="Calibri Light">
    <w:altName w:val="DejaVu Sans"/>
    <w:panose1 w:val="020F0302020204030204"/>
    <w:charset w:val="00"/>
    <w:family w:val="swiss"/>
    <w:pitch w:val="default"/>
    <w:sig w:usb0="00000000" w:usb1="00000000" w:usb2="00000009" w:usb3="00000000" w:csb0="000001FF" w:csb1="00000000"/>
  </w:font>
  <w:font w:name="方正仿宋简体">
    <w:panose1 w:val="02000000000000000000"/>
    <w:charset w:val="86"/>
    <w:family w:val="auto"/>
    <w:pitch w:val="default"/>
    <w:sig w:usb0="A00002BF" w:usb1="184F6CFA" w:usb2="00000012" w:usb3="00000000" w:csb0="00040001" w:csb1="00000000"/>
  </w:font>
  <w:font w:name="仿宋_GB2312">
    <w:altName w:val="方正仿宋_GBK"/>
    <w:panose1 w:val="00000000000000000000"/>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楷体_GB2312">
    <w:altName w:val="方正楷体_GBK"/>
    <w:panose1 w:val="00000000000000000000"/>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path/>
          <v:fill on="f" focussize="0,0"/>
          <v:stroke on="f" weight="0.5pt" joinstyle="miter"/>
          <v:imagedata o:title=""/>
          <o:lock v:ext="edit"/>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12"/>
      </w:pPr>
      <w:r>
        <w:rPr>
          <w:rStyle w:val="19"/>
        </w:rPr>
        <w:footnoteRef/>
      </w:r>
      <w:r>
        <w:rPr>
          <w:rFonts w:hint="eastAsia"/>
        </w:rPr>
        <w:t>GPS：全球定位系统，是一种以人造地球卫星为基础的高精度无线电导航的定位系统，它在全球任何地方以及近地空间都能提供准确的地理位置、车行速度及精确的时间信息。</w:t>
      </w:r>
    </w:p>
  </w:footnote>
  <w:footnote w:id="1">
    <w:p>
      <w:pPr>
        <w:pStyle w:val="12"/>
      </w:pPr>
      <w:r>
        <w:rPr>
          <w:rStyle w:val="19"/>
        </w:rPr>
        <w:footnoteRef/>
      </w:r>
      <w:r>
        <w:rPr>
          <w:rFonts w:hint="eastAsia"/>
        </w:rPr>
        <w:t>CORS：卫星定位服务参考站，是卫星定位技术、计算机网络技术、数字通讯技术等高新科技多方位、深度结晶的产物。</w:t>
      </w:r>
    </w:p>
  </w:footnote>
  <w:footnote w:id="2">
    <w:p>
      <w:pPr>
        <w:pStyle w:val="12"/>
      </w:pPr>
      <w:r>
        <w:rPr>
          <w:rStyle w:val="19"/>
        </w:rPr>
        <w:footnoteRef/>
      </w:r>
      <w:r>
        <w:rPr>
          <w:rFonts w:hint="eastAsia"/>
        </w:rPr>
        <w:t>DEM：数字高程模型，是通过有限的地形高程数据实现对地面地形的数字化模拟（即地形表面形态的数字化表达）。</w:t>
      </w:r>
    </w:p>
  </w:footnote>
  <w:footnote w:id="3">
    <w:p>
      <w:pPr>
        <w:pStyle w:val="12"/>
      </w:pPr>
      <w:r>
        <w:rPr>
          <w:rStyle w:val="19"/>
        </w:rPr>
        <w:footnoteRef/>
      </w:r>
      <w:r>
        <w:rPr>
          <w:rFonts w:hint="eastAsia"/>
        </w:rPr>
        <w:t>POI：Point of Interest，通指兴趣点，在地理信息系统中，一个POI可以是一栋房子、一个商铺、一个邮筒、一个公交站等。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jc w:val="center"/>
      <w:rPr>
        <w:rFonts w:ascii="宋体" w:hAnsi="宋体" w:eastAsia="宋体" w:cs="宋体"/>
        <w:sz w:val="21"/>
        <w:szCs w:val="21"/>
      </w:rPr>
    </w:pPr>
    <w:r>
      <w:rPr>
        <w:rFonts w:hint="eastAsia" w:ascii="宋体" w:hAnsi="宋体" w:eastAsia="宋体" w:cs="宋体"/>
        <w:sz w:val="21"/>
        <w:szCs w:val="21"/>
      </w:rPr>
      <w:t>万源市基础测绘“十四五”规划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jc w:val="center"/>
      <w:rPr>
        <w:rFonts w:ascii="宋体" w:hAnsi="宋体" w:eastAsia="宋体" w:cs="宋体"/>
        <w:sz w:val="21"/>
        <w:szCs w:val="21"/>
      </w:rPr>
    </w:pPr>
    <w:r>
      <w:rPr>
        <w:rFonts w:hint="eastAsia" w:ascii="宋体" w:hAnsi="宋体" w:eastAsia="宋体" w:cs="宋体"/>
        <w:sz w:val="21"/>
        <w:szCs w:val="21"/>
      </w:rPr>
      <w:t>万源市基础测绘“十四五”规划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42BC75"/>
    <w:multiLevelType w:val="singleLevel"/>
    <w:tmpl w:val="CD42BC7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true"/>
  <w:characterSpacingControl w:val="compressPunctuation"/>
  <w:hdrShapeDefaults>
    <o:shapelayout v:ext="edit">
      <o:idmap v:ext="edit" data="1"/>
    </o:shapelayout>
  </w:hdrShapeDefaults>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2"/>
  </w:compat>
  <w:rsids>
    <w:rsidRoot w:val="2EC57D0D"/>
    <w:rsid w:val="00033ED5"/>
    <w:rsid w:val="00184523"/>
    <w:rsid w:val="00220263"/>
    <w:rsid w:val="002D7E81"/>
    <w:rsid w:val="0033274B"/>
    <w:rsid w:val="00367C2A"/>
    <w:rsid w:val="0059699F"/>
    <w:rsid w:val="00671C38"/>
    <w:rsid w:val="00677CC1"/>
    <w:rsid w:val="006B7082"/>
    <w:rsid w:val="0074372A"/>
    <w:rsid w:val="007F0665"/>
    <w:rsid w:val="008435D4"/>
    <w:rsid w:val="00943864"/>
    <w:rsid w:val="009A70E2"/>
    <w:rsid w:val="00BC745E"/>
    <w:rsid w:val="00C810D1"/>
    <w:rsid w:val="00E63FB7"/>
    <w:rsid w:val="00FD2A9C"/>
    <w:rsid w:val="018728A0"/>
    <w:rsid w:val="019C172B"/>
    <w:rsid w:val="023C60A2"/>
    <w:rsid w:val="025F0F87"/>
    <w:rsid w:val="026D223E"/>
    <w:rsid w:val="02B55629"/>
    <w:rsid w:val="03864916"/>
    <w:rsid w:val="039E3A3B"/>
    <w:rsid w:val="04161924"/>
    <w:rsid w:val="042A2A58"/>
    <w:rsid w:val="04AB3E22"/>
    <w:rsid w:val="04CF722D"/>
    <w:rsid w:val="051F5515"/>
    <w:rsid w:val="05434606"/>
    <w:rsid w:val="058474B2"/>
    <w:rsid w:val="06697F00"/>
    <w:rsid w:val="06A206CD"/>
    <w:rsid w:val="07181283"/>
    <w:rsid w:val="072A0ED9"/>
    <w:rsid w:val="07615EB3"/>
    <w:rsid w:val="079B5F57"/>
    <w:rsid w:val="082D0169"/>
    <w:rsid w:val="08440175"/>
    <w:rsid w:val="086D7E8B"/>
    <w:rsid w:val="08846BBE"/>
    <w:rsid w:val="08933E37"/>
    <w:rsid w:val="08C370A2"/>
    <w:rsid w:val="096029F5"/>
    <w:rsid w:val="096C7E08"/>
    <w:rsid w:val="098C2056"/>
    <w:rsid w:val="09A90DDB"/>
    <w:rsid w:val="09C21BB2"/>
    <w:rsid w:val="09F55EBF"/>
    <w:rsid w:val="0A6567E6"/>
    <w:rsid w:val="0A80203F"/>
    <w:rsid w:val="0B082348"/>
    <w:rsid w:val="0B0A131A"/>
    <w:rsid w:val="0B2B00C0"/>
    <w:rsid w:val="0B611DFE"/>
    <w:rsid w:val="0B615F23"/>
    <w:rsid w:val="0B7F5C84"/>
    <w:rsid w:val="0B870635"/>
    <w:rsid w:val="0BC64BD9"/>
    <w:rsid w:val="0BD16066"/>
    <w:rsid w:val="0C2C7C49"/>
    <w:rsid w:val="0C3E430C"/>
    <w:rsid w:val="0C79505D"/>
    <w:rsid w:val="0CBD79A1"/>
    <w:rsid w:val="0CFD4907"/>
    <w:rsid w:val="0D240862"/>
    <w:rsid w:val="0DC666E2"/>
    <w:rsid w:val="0DE52E37"/>
    <w:rsid w:val="0DE54444"/>
    <w:rsid w:val="0E08037F"/>
    <w:rsid w:val="0E494480"/>
    <w:rsid w:val="0E4974DA"/>
    <w:rsid w:val="0E9B6BDC"/>
    <w:rsid w:val="0EC52180"/>
    <w:rsid w:val="0EC720FC"/>
    <w:rsid w:val="0F2F760A"/>
    <w:rsid w:val="0F3E23A5"/>
    <w:rsid w:val="0F99658B"/>
    <w:rsid w:val="0FD021D0"/>
    <w:rsid w:val="101E3EDC"/>
    <w:rsid w:val="10BA05B4"/>
    <w:rsid w:val="10BF60B1"/>
    <w:rsid w:val="110D1735"/>
    <w:rsid w:val="11273245"/>
    <w:rsid w:val="116E3CDF"/>
    <w:rsid w:val="11922240"/>
    <w:rsid w:val="11950F2C"/>
    <w:rsid w:val="11B24D64"/>
    <w:rsid w:val="11C3072D"/>
    <w:rsid w:val="11FF06AD"/>
    <w:rsid w:val="120B0282"/>
    <w:rsid w:val="12273FAE"/>
    <w:rsid w:val="12386417"/>
    <w:rsid w:val="126A5CBD"/>
    <w:rsid w:val="12723A0F"/>
    <w:rsid w:val="12B50E05"/>
    <w:rsid w:val="13A16094"/>
    <w:rsid w:val="13AF06D0"/>
    <w:rsid w:val="13D21023"/>
    <w:rsid w:val="13D3133B"/>
    <w:rsid w:val="148E1F5B"/>
    <w:rsid w:val="14BB2914"/>
    <w:rsid w:val="14DE6709"/>
    <w:rsid w:val="15150FC6"/>
    <w:rsid w:val="15160B32"/>
    <w:rsid w:val="156713ED"/>
    <w:rsid w:val="15880CDB"/>
    <w:rsid w:val="15A92AA1"/>
    <w:rsid w:val="165D2B4C"/>
    <w:rsid w:val="17087B34"/>
    <w:rsid w:val="17987F77"/>
    <w:rsid w:val="17A4694C"/>
    <w:rsid w:val="17B521CA"/>
    <w:rsid w:val="17D8332C"/>
    <w:rsid w:val="182F4FBA"/>
    <w:rsid w:val="183F1FB3"/>
    <w:rsid w:val="1880667D"/>
    <w:rsid w:val="1899013D"/>
    <w:rsid w:val="18AE1ED9"/>
    <w:rsid w:val="18E27FD0"/>
    <w:rsid w:val="19741989"/>
    <w:rsid w:val="19A60908"/>
    <w:rsid w:val="19B92CBA"/>
    <w:rsid w:val="19C72C52"/>
    <w:rsid w:val="1A4E5EAE"/>
    <w:rsid w:val="1A7F4D62"/>
    <w:rsid w:val="1AE32CAC"/>
    <w:rsid w:val="1AEE3733"/>
    <w:rsid w:val="1B2A0B9E"/>
    <w:rsid w:val="1B2E7DC6"/>
    <w:rsid w:val="1B8B618F"/>
    <w:rsid w:val="1C4C053F"/>
    <w:rsid w:val="1C8470A2"/>
    <w:rsid w:val="1C86112D"/>
    <w:rsid w:val="1CEE284E"/>
    <w:rsid w:val="1D4C79E7"/>
    <w:rsid w:val="1DBD1EC5"/>
    <w:rsid w:val="1DC73E69"/>
    <w:rsid w:val="1DD27126"/>
    <w:rsid w:val="1E0A2F03"/>
    <w:rsid w:val="1E4F3D35"/>
    <w:rsid w:val="1ECD2F3A"/>
    <w:rsid w:val="1EDE242B"/>
    <w:rsid w:val="1F205D0F"/>
    <w:rsid w:val="1F21014B"/>
    <w:rsid w:val="1F31485A"/>
    <w:rsid w:val="1F4E63F3"/>
    <w:rsid w:val="1F5C204F"/>
    <w:rsid w:val="1FA964B5"/>
    <w:rsid w:val="1FAF09C2"/>
    <w:rsid w:val="1FCE7A9F"/>
    <w:rsid w:val="20842FA0"/>
    <w:rsid w:val="209A0BC8"/>
    <w:rsid w:val="20DA23CD"/>
    <w:rsid w:val="2101421D"/>
    <w:rsid w:val="214B79BE"/>
    <w:rsid w:val="216A7903"/>
    <w:rsid w:val="216C654A"/>
    <w:rsid w:val="21A26B36"/>
    <w:rsid w:val="21BD623E"/>
    <w:rsid w:val="21D733F3"/>
    <w:rsid w:val="21F22D19"/>
    <w:rsid w:val="22555E6B"/>
    <w:rsid w:val="22667BF9"/>
    <w:rsid w:val="228A0C9D"/>
    <w:rsid w:val="22A74D20"/>
    <w:rsid w:val="22B5781D"/>
    <w:rsid w:val="22B663A9"/>
    <w:rsid w:val="237E5674"/>
    <w:rsid w:val="23AD43C5"/>
    <w:rsid w:val="23B03677"/>
    <w:rsid w:val="24647AE5"/>
    <w:rsid w:val="247D2B63"/>
    <w:rsid w:val="247E04A0"/>
    <w:rsid w:val="24BE2823"/>
    <w:rsid w:val="24CF5417"/>
    <w:rsid w:val="258D6F71"/>
    <w:rsid w:val="25EE63D5"/>
    <w:rsid w:val="260F6B3E"/>
    <w:rsid w:val="26742150"/>
    <w:rsid w:val="26815132"/>
    <w:rsid w:val="26967E11"/>
    <w:rsid w:val="26AB1E27"/>
    <w:rsid w:val="26F7757B"/>
    <w:rsid w:val="270B5550"/>
    <w:rsid w:val="270C1B3D"/>
    <w:rsid w:val="277C2B38"/>
    <w:rsid w:val="277C6259"/>
    <w:rsid w:val="27803A06"/>
    <w:rsid w:val="27941044"/>
    <w:rsid w:val="27CE5591"/>
    <w:rsid w:val="27D96B17"/>
    <w:rsid w:val="28286593"/>
    <w:rsid w:val="28527DAB"/>
    <w:rsid w:val="293B0A4D"/>
    <w:rsid w:val="29522726"/>
    <w:rsid w:val="297D42E9"/>
    <w:rsid w:val="29BA2703"/>
    <w:rsid w:val="2A31727F"/>
    <w:rsid w:val="2A391CBC"/>
    <w:rsid w:val="2AA437CA"/>
    <w:rsid w:val="2AD05EEA"/>
    <w:rsid w:val="2AF217DB"/>
    <w:rsid w:val="2B0F5351"/>
    <w:rsid w:val="2B351892"/>
    <w:rsid w:val="2B410A2A"/>
    <w:rsid w:val="2BF6498B"/>
    <w:rsid w:val="2BFA3CAB"/>
    <w:rsid w:val="2C1A56F9"/>
    <w:rsid w:val="2C6660AA"/>
    <w:rsid w:val="2CF6163D"/>
    <w:rsid w:val="2D0F1A79"/>
    <w:rsid w:val="2D177D29"/>
    <w:rsid w:val="2D7A3AEF"/>
    <w:rsid w:val="2D8E1E9B"/>
    <w:rsid w:val="2DDF2125"/>
    <w:rsid w:val="2E242E51"/>
    <w:rsid w:val="2E547F57"/>
    <w:rsid w:val="2EC57D0D"/>
    <w:rsid w:val="2EEF5F72"/>
    <w:rsid w:val="2EF53558"/>
    <w:rsid w:val="2F7E1869"/>
    <w:rsid w:val="301327A1"/>
    <w:rsid w:val="305A1366"/>
    <w:rsid w:val="308B2F88"/>
    <w:rsid w:val="30F26D59"/>
    <w:rsid w:val="31076E3E"/>
    <w:rsid w:val="310832FB"/>
    <w:rsid w:val="311765B8"/>
    <w:rsid w:val="312D7A58"/>
    <w:rsid w:val="31DD3D27"/>
    <w:rsid w:val="322E1E51"/>
    <w:rsid w:val="3270008C"/>
    <w:rsid w:val="32985E57"/>
    <w:rsid w:val="32CC2D9E"/>
    <w:rsid w:val="333606A2"/>
    <w:rsid w:val="33435936"/>
    <w:rsid w:val="3358095B"/>
    <w:rsid w:val="336249A3"/>
    <w:rsid w:val="33754EF2"/>
    <w:rsid w:val="33895AA2"/>
    <w:rsid w:val="33A42646"/>
    <w:rsid w:val="33AA1068"/>
    <w:rsid w:val="342D100D"/>
    <w:rsid w:val="345662EF"/>
    <w:rsid w:val="346B4932"/>
    <w:rsid w:val="34831EDE"/>
    <w:rsid w:val="34F109D0"/>
    <w:rsid w:val="34F45AF6"/>
    <w:rsid w:val="35187310"/>
    <w:rsid w:val="355A63E3"/>
    <w:rsid w:val="359606CD"/>
    <w:rsid w:val="35BC294E"/>
    <w:rsid w:val="360C6A9E"/>
    <w:rsid w:val="36424868"/>
    <w:rsid w:val="36603F29"/>
    <w:rsid w:val="36971166"/>
    <w:rsid w:val="36A46EEE"/>
    <w:rsid w:val="36C77720"/>
    <w:rsid w:val="36DA2DDD"/>
    <w:rsid w:val="37520769"/>
    <w:rsid w:val="37693499"/>
    <w:rsid w:val="37B46061"/>
    <w:rsid w:val="38151301"/>
    <w:rsid w:val="38523E50"/>
    <w:rsid w:val="387A4070"/>
    <w:rsid w:val="38A62CFA"/>
    <w:rsid w:val="390410C2"/>
    <w:rsid w:val="397F0324"/>
    <w:rsid w:val="39A26B2F"/>
    <w:rsid w:val="39BF25E2"/>
    <w:rsid w:val="39E92A3D"/>
    <w:rsid w:val="39ED01CB"/>
    <w:rsid w:val="3A562C8A"/>
    <w:rsid w:val="3A794EE2"/>
    <w:rsid w:val="3B4B1969"/>
    <w:rsid w:val="3B861B92"/>
    <w:rsid w:val="3C012DE6"/>
    <w:rsid w:val="3C427B35"/>
    <w:rsid w:val="3C5E2448"/>
    <w:rsid w:val="3CF87487"/>
    <w:rsid w:val="3D235AC0"/>
    <w:rsid w:val="3D5C2CFC"/>
    <w:rsid w:val="3D671A11"/>
    <w:rsid w:val="3D9A1567"/>
    <w:rsid w:val="3DE50AF2"/>
    <w:rsid w:val="3DE5405F"/>
    <w:rsid w:val="3E564B62"/>
    <w:rsid w:val="3E7C7507"/>
    <w:rsid w:val="3EB40607"/>
    <w:rsid w:val="3EB848BE"/>
    <w:rsid w:val="3EFBD3D1"/>
    <w:rsid w:val="3EFF56A2"/>
    <w:rsid w:val="3F056B57"/>
    <w:rsid w:val="3F081C7D"/>
    <w:rsid w:val="3F345EB6"/>
    <w:rsid w:val="3F5A59BF"/>
    <w:rsid w:val="3F6A64DD"/>
    <w:rsid w:val="3FC867E7"/>
    <w:rsid w:val="400969B1"/>
    <w:rsid w:val="402B0E63"/>
    <w:rsid w:val="40304D47"/>
    <w:rsid w:val="40545CAB"/>
    <w:rsid w:val="40B81FC7"/>
    <w:rsid w:val="40CF1977"/>
    <w:rsid w:val="41637DF8"/>
    <w:rsid w:val="41902074"/>
    <w:rsid w:val="4193615B"/>
    <w:rsid w:val="41C57290"/>
    <w:rsid w:val="41C959B1"/>
    <w:rsid w:val="424035FE"/>
    <w:rsid w:val="425B156A"/>
    <w:rsid w:val="42A360EA"/>
    <w:rsid w:val="42F25FF2"/>
    <w:rsid w:val="43097515"/>
    <w:rsid w:val="437269AD"/>
    <w:rsid w:val="43786F32"/>
    <w:rsid w:val="442C21EB"/>
    <w:rsid w:val="44390B87"/>
    <w:rsid w:val="443C6FFC"/>
    <w:rsid w:val="4509452D"/>
    <w:rsid w:val="451D696D"/>
    <w:rsid w:val="45346F6E"/>
    <w:rsid w:val="453D00AA"/>
    <w:rsid w:val="455C3808"/>
    <w:rsid w:val="45AD017F"/>
    <w:rsid w:val="45D55FA5"/>
    <w:rsid w:val="45EB7D38"/>
    <w:rsid w:val="460A0DD5"/>
    <w:rsid w:val="46334BEA"/>
    <w:rsid w:val="46477B5D"/>
    <w:rsid w:val="4661423A"/>
    <w:rsid w:val="466E1210"/>
    <w:rsid w:val="467608C7"/>
    <w:rsid w:val="468303B7"/>
    <w:rsid w:val="46A67221"/>
    <w:rsid w:val="46FD0212"/>
    <w:rsid w:val="47374A80"/>
    <w:rsid w:val="473C6CBD"/>
    <w:rsid w:val="477B4FCC"/>
    <w:rsid w:val="48231D06"/>
    <w:rsid w:val="48F72C63"/>
    <w:rsid w:val="48FA1816"/>
    <w:rsid w:val="491631DF"/>
    <w:rsid w:val="491965D0"/>
    <w:rsid w:val="493D411F"/>
    <w:rsid w:val="499F5427"/>
    <w:rsid w:val="49A36637"/>
    <w:rsid w:val="49A84D22"/>
    <w:rsid w:val="49EE78F7"/>
    <w:rsid w:val="4A197D94"/>
    <w:rsid w:val="4A5D5AFF"/>
    <w:rsid w:val="4AD04E63"/>
    <w:rsid w:val="4B3E47D8"/>
    <w:rsid w:val="4B713344"/>
    <w:rsid w:val="4BBD2664"/>
    <w:rsid w:val="4C82548E"/>
    <w:rsid w:val="4CB37F05"/>
    <w:rsid w:val="4CC43D69"/>
    <w:rsid w:val="4D183691"/>
    <w:rsid w:val="4D2E3C57"/>
    <w:rsid w:val="4DA71B27"/>
    <w:rsid w:val="4DAB712D"/>
    <w:rsid w:val="4E030906"/>
    <w:rsid w:val="4E293F18"/>
    <w:rsid w:val="4E2F720E"/>
    <w:rsid w:val="4E425172"/>
    <w:rsid w:val="4E573C65"/>
    <w:rsid w:val="4E7A5BC5"/>
    <w:rsid w:val="4E8454F5"/>
    <w:rsid w:val="4E95533C"/>
    <w:rsid w:val="4EC33834"/>
    <w:rsid w:val="4EDF7F16"/>
    <w:rsid w:val="4F1D79CB"/>
    <w:rsid w:val="4F267406"/>
    <w:rsid w:val="50144E47"/>
    <w:rsid w:val="502558B9"/>
    <w:rsid w:val="50483ECD"/>
    <w:rsid w:val="504E406A"/>
    <w:rsid w:val="50580021"/>
    <w:rsid w:val="509B3CEB"/>
    <w:rsid w:val="514631AF"/>
    <w:rsid w:val="51681211"/>
    <w:rsid w:val="51C906F5"/>
    <w:rsid w:val="51D5498F"/>
    <w:rsid w:val="524E241B"/>
    <w:rsid w:val="526D6FA8"/>
    <w:rsid w:val="528374A7"/>
    <w:rsid w:val="529956A8"/>
    <w:rsid w:val="52C77CED"/>
    <w:rsid w:val="52E769EB"/>
    <w:rsid w:val="52F65E35"/>
    <w:rsid w:val="531B1222"/>
    <w:rsid w:val="533425F0"/>
    <w:rsid w:val="533F5E90"/>
    <w:rsid w:val="53571409"/>
    <w:rsid w:val="538D7169"/>
    <w:rsid w:val="539C2D5F"/>
    <w:rsid w:val="53B3410E"/>
    <w:rsid w:val="53CA5AB6"/>
    <w:rsid w:val="53E15E1B"/>
    <w:rsid w:val="54146CE8"/>
    <w:rsid w:val="541B2B26"/>
    <w:rsid w:val="544F0913"/>
    <w:rsid w:val="54866D6A"/>
    <w:rsid w:val="54AC6D45"/>
    <w:rsid w:val="54D02930"/>
    <w:rsid w:val="554A52E8"/>
    <w:rsid w:val="55AE189A"/>
    <w:rsid w:val="5616507A"/>
    <w:rsid w:val="562F2B3B"/>
    <w:rsid w:val="56801063"/>
    <w:rsid w:val="568D2DF9"/>
    <w:rsid w:val="57087008"/>
    <w:rsid w:val="5729392D"/>
    <w:rsid w:val="573270F9"/>
    <w:rsid w:val="57460729"/>
    <w:rsid w:val="57505462"/>
    <w:rsid w:val="576B78BE"/>
    <w:rsid w:val="578E577C"/>
    <w:rsid w:val="579E0155"/>
    <w:rsid w:val="58144A33"/>
    <w:rsid w:val="584156DF"/>
    <w:rsid w:val="58493715"/>
    <w:rsid w:val="5899724F"/>
    <w:rsid w:val="59473BBE"/>
    <w:rsid w:val="59920D43"/>
    <w:rsid w:val="59DD7C9D"/>
    <w:rsid w:val="59EA332F"/>
    <w:rsid w:val="5A0A43BC"/>
    <w:rsid w:val="5A1D414B"/>
    <w:rsid w:val="5A244325"/>
    <w:rsid w:val="5A2741F7"/>
    <w:rsid w:val="5A7A59C2"/>
    <w:rsid w:val="5A9A22CE"/>
    <w:rsid w:val="5AF64BAE"/>
    <w:rsid w:val="5B067A27"/>
    <w:rsid w:val="5B3B2093"/>
    <w:rsid w:val="5B697BC9"/>
    <w:rsid w:val="5C040A26"/>
    <w:rsid w:val="5C23079F"/>
    <w:rsid w:val="5C3739CF"/>
    <w:rsid w:val="5C941B79"/>
    <w:rsid w:val="5D3A0A78"/>
    <w:rsid w:val="5D790416"/>
    <w:rsid w:val="5DD27BF0"/>
    <w:rsid w:val="5E1A273E"/>
    <w:rsid w:val="5E9E711C"/>
    <w:rsid w:val="5EB85714"/>
    <w:rsid w:val="5EC7276A"/>
    <w:rsid w:val="5F0607EF"/>
    <w:rsid w:val="5F1E6D70"/>
    <w:rsid w:val="5F987889"/>
    <w:rsid w:val="5FCC0442"/>
    <w:rsid w:val="5FDA4899"/>
    <w:rsid w:val="5FDB0C2E"/>
    <w:rsid w:val="60322089"/>
    <w:rsid w:val="60C1593F"/>
    <w:rsid w:val="60C21724"/>
    <w:rsid w:val="60D25464"/>
    <w:rsid w:val="60F02184"/>
    <w:rsid w:val="613D661A"/>
    <w:rsid w:val="61BD75E0"/>
    <w:rsid w:val="61F76B71"/>
    <w:rsid w:val="62151E71"/>
    <w:rsid w:val="62202AE4"/>
    <w:rsid w:val="6226237C"/>
    <w:rsid w:val="62AB7B19"/>
    <w:rsid w:val="62DD4651"/>
    <w:rsid w:val="62EE6F56"/>
    <w:rsid w:val="632B6B90"/>
    <w:rsid w:val="63636593"/>
    <w:rsid w:val="637349C7"/>
    <w:rsid w:val="63801A05"/>
    <w:rsid w:val="63DE55B7"/>
    <w:rsid w:val="63E13661"/>
    <w:rsid w:val="63F95CD3"/>
    <w:rsid w:val="64434892"/>
    <w:rsid w:val="645357EB"/>
    <w:rsid w:val="648C37C5"/>
    <w:rsid w:val="64BB4C12"/>
    <w:rsid w:val="64EC387C"/>
    <w:rsid w:val="64F01DE3"/>
    <w:rsid w:val="64F07289"/>
    <w:rsid w:val="650017AC"/>
    <w:rsid w:val="655D6BC5"/>
    <w:rsid w:val="65B62E68"/>
    <w:rsid w:val="66231DC1"/>
    <w:rsid w:val="664E07E4"/>
    <w:rsid w:val="66733F8F"/>
    <w:rsid w:val="66883959"/>
    <w:rsid w:val="66B12528"/>
    <w:rsid w:val="67A168D1"/>
    <w:rsid w:val="680B4695"/>
    <w:rsid w:val="682E7D78"/>
    <w:rsid w:val="683F416D"/>
    <w:rsid w:val="6886639A"/>
    <w:rsid w:val="68975191"/>
    <w:rsid w:val="68B96841"/>
    <w:rsid w:val="690F0BA9"/>
    <w:rsid w:val="69BC3941"/>
    <w:rsid w:val="69D94B03"/>
    <w:rsid w:val="6A16489E"/>
    <w:rsid w:val="6A373A43"/>
    <w:rsid w:val="6A8D0787"/>
    <w:rsid w:val="6B8477B2"/>
    <w:rsid w:val="6BAF2478"/>
    <w:rsid w:val="6C1B0887"/>
    <w:rsid w:val="6C2443FD"/>
    <w:rsid w:val="6CE51A5E"/>
    <w:rsid w:val="6D8B5429"/>
    <w:rsid w:val="6DDB7609"/>
    <w:rsid w:val="6E3F70FD"/>
    <w:rsid w:val="6E9E15B8"/>
    <w:rsid w:val="6EC66165"/>
    <w:rsid w:val="6ED26AEF"/>
    <w:rsid w:val="6EED17E5"/>
    <w:rsid w:val="6F0A404D"/>
    <w:rsid w:val="6F8173D7"/>
    <w:rsid w:val="6FE0635A"/>
    <w:rsid w:val="70027E1A"/>
    <w:rsid w:val="707A5A48"/>
    <w:rsid w:val="709315BF"/>
    <w:rsid w:val="70B94AD3"/>
    <w:rsid w:val="713F08AE"/>
    <w:rsid w:val="71447A73"/>
    <w:rsid w:val="71777119"/>
    <w:rsid w:val="718D0C3D"/>
    <w:rsid w:val="71AA03AB"/>
    <w:rsid w:val="71E44503"/>
    <w:rsid w:val="722D3573"/>
    <w:rsid w:val="72385F18"/>
    <w:rsid w:val="723E71F6"/>
    <w:rsid w:val="7283619A"/>
    <w:rsid w:val="72947573"/>
    <w:rsid w:val="72DA648F"/>
    <w:rsid w:val="72EC74FA"/>
    <w:rsid w:val="7311689E"/>
    <w:rsid w:val="73422A60"/>
    <w:rsid w:val="73B715C8"/>
    <w:rsid w:val="748A18A8"/>
    <w:rsid w:val="74B97355"/>
    <w:rsid w:val="74C45061"/>
    <w:rsid w:val="74E06C06"/>
    <w:rsid w:val="74E212BF"/>
    <w:rsid w:val="74F95F62"/>
    <w:rsid w:val="7522090D"/>
    <w:rsid w:val="75997A8C"/>
    <w:rsid w:val="75AC1F0B"/>
    <w:rsid w:val="75B81F41"/>
    <w:rsid w:val="75DA43C3"/>
    <w:rsid w:val="763A6C6C"/>
    <w:rsid w:val="76B5272D"/>
    <w:rsid w:val="77102D5F"/>
    <w:rsid w:val="77367F27"/>
    <w:rsid w:val="779237BB"/>
    <w:rsid w:val="77AF656B"/>
    <w:rsid w:val="77C264D1"/>
    <w:rsid w:val="77C41483"/>
    <w:rsid w:val="77DF34AB"/>
    <w:rsid w:val="78101674"/>
    <w:rsid w:val="78334B9C"/>
    <w:rsid w:val="785E2270"/>
    <w:rsid w:val="787903B3"/>
    <w:rsid w:val="796F4CBA"/>
    <w:rsid w:val="7974754A"/>
    <w:rsid w:val="7A1F1817"/>
    <w:rsid w:val="7A45271E"/>
    <w:rsid w:val="7A8F595D"/>
    <w:rsid w:val="7A9C1EEE"/>
    <w:rsid w:val="7AA5642F"/>
    <w:rsid w:val="7AC4122F"/>
    <w:rsid w:val="7ACB4CB6"/>
    <w:rsid w:val="7AE85876"/>
    <w:rsid w:val="7B405C51"/>
    <w:rsid w:val="7B4B5D26"/>
    <w:rsid w:val="7B5C78FB"/>
    <w:rsid w:val="7B8536A7"/>
    <w:rsid w:val="7BF04039"/>
    <w:rsid w:val="7BFE6300"/>
    <w:rsid w:val="7CA8702B"/>
    <w:rsid w:val="7D2809E1"/>
    <w:rsid w:val="7D6D547B"/>
    <w:rsid w:val="7DA3445E"/>
    <w:rsid w:val="7DB67330"/>
    <w:rsid w:val="7DB9002D"/>
    <w:rsid w:val="7DE84DF7"/>
    <w:rsid w:val="7E0F2EC8"/>
    <w:rsid w:val="7EC54FC0"/>
    <w:rsid w:val="7F1B0CDB"/>
    <w:rsid w:val="7F4F24C5"/>
    <w:rsid w:val="7F764924"/>
    <w:rsid w:val="7F993AFA"/>
    <w:rsid w:val="7FB0003B"/>
    <w:rsid w:val="7FC12BE6"/>
    <w:rsid w:val="7FFA7F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9"/>
    <w:pPr>
      <w:keepNext/>
      <w:keepLines/>
      <w:spacing w:before="100" w:after="100"/>
      <w:outlineLvl w:val="1"/>
    </w:pPr>
    <w:rPr>
      <w:rFonts w:ascii="Arial" w:hAnsi="Arial" w:eastAsia="楷体"/>
      <w:b/>
    </w:rPr>
  </w:style>
  <w:style w:type="paragraph" w:styleId="4">
    <w:name w:val="heading 3"/>
    <w:basedOn w:val="1"/>
    <w:next w:val="1"/>
    <w:qFormat/>
    <w:uiPriority w:val="99"/>
    <w:pPr>
      <w:keepNext/>
      <w:keepLines/>
      <w:ind w:left="210" w:leftChars="100"/>
      <w:outlineLvl w:val="2"/>
    </w:pPr>
    <w:rPr>
      <w:rFonts w:eastAsia="等线"/>
      <w:b/>
      <w:sz w:val="28"/>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semiHidden/>
    <w:qFormat/>
    <w:uiPriority w:val="0"/>
    <w:pPr>
      <w:ind w:left="420" w:leftChars="200"/>
    </w:pPr>
  </w:style>
  <w:style w:type="paragraph" w:styleId="6">
    <w:name w:val="annotation text"/>
    <w:basedOn w:val="1"/>
    <w:qFormat/>
    <w:uiPriority w:val="0"/>
    <w:pPr>
      <w:jc w:val="left"/>
    </w:pPr>
  </w:style>
  <w:style w:type="paragraph" w:styleId="7">
    <w:name w:val="toc 3"/>
    <w:basedOn w:val="1"/>
    <w:next w:val="1"/>
    <w:qFormat/>
    <w:uiPriority w:val="39"/>
    <w:pPr>
      <w:ind w:left="840" w:leftChars="400"/>
    </w:pPr>
  </w:style>
  <w:style w:type="paragraph" w:styleId="8">
    <w:name w:val="Balloon Text"/>
    <w:basedOn w:val="1"/>
    <w:link w:val="33"/>
    <w:uiPriority w:val="0"/>
    <w:rPr>
      <w:sz w:val="18"/>
      <w:szCs w:val="18"/>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footnote text"/>
    <w:basedOn w:val="1"/>
    <w:semiHidden/>
    <w:unhideWhenUsed/>
    <w:qFormat/>
    <w:uiPriority w:val="99"/>
    <w:pPr>
      <w:snapToGrid w:val="0"/>
      <w:spacing w:line="360" w:lineRule="auto"/>
      <w:ind w:firstLine="640"/>
      <w:jc w:val="left"/>
    </w:pPr>
    <w:rPr>
      <w:sz w:val="18"/>
      <w:szCs w:val="18"/>
    </w:rPr>
  </w:style>
  <w:style w:type="paragraph" w:styleId="13">
    <w:name w:val="toc 2"/>
    <w:basedOn w:val="1"/>
    <w:next w:val="1"/>
    <w:qFormat/>
    <w:uiPriority w:val="39"/>
    <w:pPr>
      <w:ind w:left="420" w:leftChars="200"/>
    </w:pPr>
  </w:style>
  <w:style w:type="paragraph" w:styleId="14">
    <w:name w:val="Normal (Web)"/>
    <w:basedOn w:val="1"/>
    <w:qFormat/>
    <w:uiPriority w:val="0"/>
    <w:pPr>
      <w:spacing w:beforeAutospacing="1" w:afterAutospacing="1"/>
      <w:jc w:val="left"/>
    </w:pPr>
    <w:rPr>
      <w:rFonts w:cs="Times New Roman"/>
      <w:kern w:val="0"/>
      <w:sz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qFormat/>
    <w:uiPriority w:val="99"/>
    <w:rPr>
      <w:color w:val="0000FF"/>
      <w:u w:val="single"/>
    </w:rPr>
  </w:style>
  <w:style w:type="character" w:styleId="19">
    <w:name w:val="footnote reference"/>
    <w:basedOn w:val="17"/>
    <w:semiHidden/>
    <w:unhideWhenUsed/>
    <w:qFormat/>
    <w:uiPriority w:val="99"/>
    <w:rPr>
      <w:vertAlign w:val="superscript"/>
    </w:rPr>
  </w:style>
  <w:style w:type="paragraph" w:customStyle="1" w:styleId="20">
    <w:name w:val="常用样式（方正仿宋简）"/>
    <w:basedOn w:val="1"/>
    <w:qFormat/>
    <w:uiPriority w:val="0"/>
    <w:pPr>
      <w:spacing w:line="560" w:lineRule="exact"/>
      <w:ind w:firstLine="640" w:firstLineChars="200"/>
    </w:pPr>
    <w:rPr>
      <w:rFonts w:ascii="Times New Roman" w:hAnsi="Times New Roman" w:eastAsia="方正仿宋简体"/>
      <w:sz w:val="32"/>
      <w:szCs w:val="32"/>
    </w:rPr>
  </w:style>
  <w:style w:type="paragraph" w:customStyle="1" w:styleId="21">
    <w:name w:val="0.10.正文"/>
    <w:basedOn w:val="1"/>
    <w:qFormat/>
    <w:uiPriority w:val="0"/>
    <w:pPr>
      <w:overflowPunct w:val="0"/>
      <w:spacing w:line="576" w:lineRule="exact"/>
      <w:ind w:firstLine="200" w:firstLineChars="200"/>
    </w:pPr>
    <w:rPr>
      <w:rFonts w:eastAsia="仿宋_GB2312"/>
      <w:kern w:val="0"/>
      <w:szCs w:val="32"/>
      <w:lang w:val="zh-CN"/>
    </w:rPr>
  </w:style>
  <w:style w:type="character" w:customStyle="1" w:styleId="22">
    <w:name w:val="0.23.仿非G 字符"/>
    <w:link w:val="23"/>
    <w:qFormat/>
    <w:uiPriority w:val="0"/>
    <w:rPr>
      <w:rFonts w:eastAsia="仿宋"/>
    </w:rPr>
  </w:style>
  <w:style w:type="paragraph" w:customStyle="1" w:styleId="23">
    <w:name w:val="0.23.仿非G"/>
    <w:basedOn w:val="24"/>
    <w:next w:val="21"/>
    <w:link w:val="22"/>
    <w:qFormat/>
    <w:uiPriority w:val="0"/>
    <w:pPr>
      <w:ind w:firstLine="632"/>
    </w:pPr>
    <w:rPr>
      <w:rFonts w:eastAsia="仿宋"/>
      <w:b w:val="0"/>
    </w:rPr>
  </w:style>
  <w:style w:type="paragraph" w:customStyle="1" w:styleId="24">
    <w:name w:val="0.5.仿粗"/>
    <w:basedOn w:val="21"/>
    <w:qFormat/>
    <w:uiPriority w:val="0"/>
    <w:pPr>
      <w:ind w:firstLine="0" w:firstLineChars="0"/>
    </w:pPr>
    <w:rPr>
      <w:b/>
    </w:rPr>
  </w:style>
  <w:style w:type="paragraph" w:styleId="25">
    <w:name w:val="List Paragraph"/>
    <w:basedOn w:val="1"/>
    <w:qFormat/>
    <w:uiPriority w:val="99"/>
    <w:pPr>
      <w:ind w:firstLine="420"/>
    </w:pPr>
    <w:rPr>
      <w:rFonts w:eastAsia="等线"/>
    </w:rPr>
  </w:style>
  <w:style w:type="paragraph" w:customStyle="1" w:styleId="26">
    <w:name w:val="96.章"/>
    <w:basedOn w:val="27"/>
    <w:next w:val="21"/>
    <w:qFormat/>
    <w:uiPriority w:val="0"/>
    <w:pPr>
      <w:outlineLvl w:val="1"/>
    </w:pPr>
    <w:rPr>
      <w:rFonts w:eastAsia="黑体"/>
    </w:rPr>
  </w:style>
  <w:style w:type="paragraph" w:customStyle="1" w:styleId="27">
    <w:name w:val="92.节"/>
    <w:basedOn w:val="28"/>
    <w:next w:val="21"/>
    <w:qFormat/>
    <w:uiPriority w:val="0"/>
    <w:pPr>
      <w:outlineLvl w:val="2"/>
    </w:pPr>
  </w:style>
  <w:style w:type="paragraph" w:customStyle="1" w:styleId="28">
    <w:name w:val="0.2.楷中"/>
    <w:basedOn w:val="21"/>
    <w:next w:val="21"/>
    <w:qFormat/>
    <w:uiPriority w:val="0"/>
    <w:pPr>
      <w:ind w:firstLine="0" w:firstLineChars="0"/>
      <w:jc w:val="center"/>
    </w:pPr>
    <w:rPr>
      <w:rFonts w:eastAsia="楷体_GB2312"/>
      <w:szCs w:val="28"/>
    </w:rPr>
  </w:style>
  <w:style w:type="paragraph" w:customStyle="1" w:styleId="29">
    <w:name w:val="a图表名"/>
    <w:basedOn w:val="1"/>
    <w:qFormat/>
    <w:uiPriority w:val="0"/>
    <w:pPr>
      <w:spacing w:before="60" w:after="60"/>
      <w:jc w:val="center"/>
    </w:pPr>
    <w:rPr>
      <w:rFonts w:eastAsia="黑体"/>
      <w:szCs w:val="21"/>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3">
    <w:name w:val="批注框文本 Char"/>
    <w:basedOn w:val="17"/>
    <w:link w:val="8"/>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2853</Words>
  <Characters>16264</Characters>
  <Lines>135</Lines>
  <Paragraphs>38</Paragraphs>
  <TotalTime>3</TotalTime>
  <ScaleCrop>false</ScaleCrop>
  <LinksUpToDate>false</LinksUpToDate>
  <CharactersWithSpaces>19079</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2021-12-20T10:49:00Z</dcterms:created>
  <dc:creator>哟呼cici</dc:creator>
  <cp:lastModifiedBy>user</cp:lastModifiedBy>
  <dcterms:modified xsi:type="dcterms:W3CDTF">2022-02-10T14:45:08Z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3FCD6A006C274E73826CA54EECA6EB0B</vt:lpwstr>
  </property>
</Properties>
</file>