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sz w:val="44"/>
          <w:szCs w:val="44"/>
          <w:lang w:eastAsia="zh-CN"/>
        </w:rPr>
      </w:pPr>
      <w:bookmarkStart w:id="0" w:name="YS060100"/>
      <w:bookmarkStart w:id="1" w:name="第七部分部门决算分析报告撰写提纲"/>
      <w:r>
        <w:rPr>
          <w:rFonts w:hint="eastAsia" w:ascii="方正小标宋简体" w:hAnsi="方正小标宋简体" w:eastAsia="方正小标宋简体" w:cs="方正小标宋简体"/>
          <w:sz w:val="44"/>
          <w:szCs w:val="44"/>
          <w:lang w:eastAsia="zh-CN"/>
        </w:rPr>
        <w:t>中共万源市委老干部局</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2020年度部门决算分析报告</w:t>
      </w:r>
    </w:p>
    <w:bookmarkEnd w:id="0"/>
    <w:p>
      <w:pPr>
        <w:snapToGrid w:val="0"/>
        <w:ind w:firstLine="640" w:firstLineChars="200"/>
        <w:rPr>
          <w:rFonts w:ascii="仿宋_GB2312" w:hAnsi="仿宋" w:eastAsia="仿宋_GB2312"/>
          <w:sz w:val="32"/>
          <w:szCs w:val="32"/>
        </w:rPr>
      </w:pPr>
    </w:p>
    <w:p>
      <w:pPr>
        <w:snapToGrid w:val="0"/>
        <w:spacing w:line="520" w:lineRule="exact"/>
        <w:ind w:firstLine="640" w:firstLineChars="200"/>
        <w:rPr>
          <w:rFonts w:ascii="方正黑体简体" w:hAnsi="方正黑体简体" w:eastAsia="方正黑体简体" w:cs="方正黑体简体"/>
          <w:sz w:val="32"/>
          <w:szCs w:val="32"/>
        </w:rPr>
      </w:pPr>
      <w:bookmarkStart w:id="2" w:name="YS060101"/>
      <w:r>
        <w:rPr>
          <w:rFonts w:hint="eastAsia" w:ascii="方正黑体简体" w:hAnsi="方正黑体简体" w:eastAsia="方正黑体简体" w:cs="方正黑体简体"/>
          <w:sz w:val="32"/>
          <w:szCs w:val="32"/>
        </w:rPr>
        <w:t>一、单位情况</w:t>
      </w:r>
    </w:p>
    <w:bookmarkEnd w:id="2"/>
    <w:p>
      <w:pPr>
        <w:snapToGrid w:val="0"/>
        <w:spacing w:line="52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（一）基本情况。</w:t>
      </w:r>
    </w:p>
    <w:p>
      <w:pPr>
        <w:ind w:firstLine="480" w:firstLineChars="150"/>
        <w:rPr>
          <w:rFonts w:hint="eastAsia" w:ascii="方正仿宋简体" w:eastAsia="方正仿宋简体"/>
          <w:sz w:val="32"/>
          <w:szCs w:val="32"/>
        </w:rPr>
      </w:pPr>
      <w:r>
        <w:rPr>
          <w:rFonts w:hint="eastAsia" w:ascii="方正楷体简体" w:hAnsi="方正楷体简体" w:eastAsia="方正楷体简体" w:cs="方正楷体简体"/>
          <w:sz w:val="32"/>
          <w:szCs w:val="32"/>
        </w:rPr>
        <w:t>1．主要职能</w:t>
      </w:r>
      <w:r>
        <w:rPr>
          <w:rFonts w:eastAsia="方正楷体简体"/>
          <w:sz w:val="32"/>
          <w:szCs w:val="32"/>
        </w:rPr>
        <w:t>:</w:t>
      </w:r>
      <w:r>
        <w:rPr>
          <w:rFonts w:hint="eastAsia" w:ascii="方正仿宋简体" w:eastAsia="方正仿宋简体"/>
          <w:sz w:val="32"/>
          <w:szCs w:val="32"/>
        </w:rPr>
        <w:t>（一）贯彻落实党中央、国务院、省委、省政府关于老干部工作的方针政策和市委、市政府的有关规定，对全市老干部工作进行指导、督促、检查；负责拟订老干部工作有关政策、规定的实施意见，上报市委、市政府决策会同有关部门解决老干部工作中的有关问题。</w:t>
      </w:r>
    </w:p>
    <w:p>
      <w:pPr>
        <w:ind w:firstLine="480" w:firstLineChars="150"/>
        <w:rPr>
          <w:rFonts w:hint="eastAsia" w:ascii="方正仿宋简体" w:eastAsia="方正仿宋简体"/>
          <w:sz w:val="32"/>
          <w:szCs w:val="32"/>
        </w:rPr>
      </w:pPr>
      <w:r>
        <w:rPr>
          <w:rFonts w:hint="eastAsia" w:ascii="方正仿宋简体" w:eastAsia="方正仿宋简体"/>
          <w:sz w:val="32"/>
          <w:szCs w:val="32"/>
        </w:rPr>
        <w:t>（二）指导离休干部和县级以上退休干部的安置、管理、服务工作，组织开展各种健康有益的活动，充分发挥老同志的政治优势和在两个文明建设中的作用，统筹管理老干部工作经费。</w:t>
      </w:r>
    </w:p>
    <w:p>
      <w:pPr>
        <w:ind w:firstLine="480" w:firstLineChars="150"/>
        <w:rPr>
          <w:rFonts w:hint="eastAsia" w:ascii="方正仿宋简体" w:eastAsia="方正仿宋简体"/>
          <w:sz w:val="32"/>
          <w:szCs w:val="32"/>
        </w:rPr>
      </w:pPr>
      <w:r>
        <w:rPr>
          <w:rFonts w:hint="eastAsia" w:ascii="方正仿宋简体" w:eastAsia="方正仿宋简体"/>
          <w:sz w:val="32"/>
          <w:szCs w:val="32"/>
        </w:rPr>
        <w:t>（三）承担重大节日期间组织慰问老干部的工作责任。</w:t>
      </w:r>
    </w:p>
    <w:p>
      <w:pPr>
        <w:ind w:firstLine="480" w:firstLineChars="150"/>
        <w:rPr>
          <w:rFonts w:hint="eastAsia" w:ascii="方正仿宋简体" w:eastAsia="方正仿宋简体"/>
          <w:sz w:val="32"/>
          <w:szCs w:val="32"/>
        </w:rPr>
      </w:pPr>
      <w:r>
        <w:rPr>
          <w:rFonts w:hint="eastAsia" w:ascii="方正仿宋简体" w:eastAsia="方正仿宋简体"/>
          <w:sz w:val="32"/>
          <w:szCs w:val="32"/>
        </w:rPr>
        <w:t>（四）参与有关单位处理老干部丧事的相关工作。</w:t>
      </w:r>
    </w:p>
    <w:p>
      <w:pPr>
        <w:ind w:firstLine="480" w:firstLineChars="150"/>
        <w:rPr>
          <w:rFonts w:hint="eastAsia" w:ascii="方正仿宋简体" w:eastAsia="方正仿宋简体"/>
          <w:sz w:val="32"/>
          <w:szCs w:val="32"/>
        </w:rPr>
      </w:pPr>
      <w:r>
        <w:rPr>
          <w:rFonts w:hint="eastAsia" w:ascii="方正仿宋简体" w:eastAsia="方正仿宋简体"/>
          <w:sz w:val="32"/>
          <w:szCs w:val="32"/>
        </w:rPr>
        <w:t>（五）承担回乡探亲、访友的老红军、离休干部和外地老干部团体来我市参观的接待工作责任。</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（六）承办市委、市政府交办的其他事项。</w:t>
      </w:r>
    </w:p>
    <w:p>
      <w:pPr>
        <w:snapToGrid w:val="0"/>
        <w:spacing w:line="520" w:lineRule="exact"/>
        <w:ind w:firstLine="640" w:firstLineChars="200"/>
        <w:rPr>
          <w:rFonts w:eastAsia="方正仿宋简体"/>
          <w:sz w:val="32"/>
          <w:szCs w:val="32"/>
        </w:rPr>
      </w:pPr>
      <w:r>
        <w:rPr>
          <w:rFonts w:ascii="方正楷体简体" w:hAnsi="方正楷体简体" w:eastAsia="方正楷体简体" w:cs="方正楷体简体"/>
          <w:sz w:val="32"/>
          <w:szCs w:val="32"/>
        </w:rPr>
        <w:t>2．机构情况</w:t>
      </w:r>
      <w:r>
        <w:rPr>
          <w:rFonts w:hint="eastAsia" w:ascii="方正楷体简体" w:hAnsi="方正楷体简体" w:eastAsia="方正楷体简体" w:cs="方正楷体简体"/>
          <w:sz w:val="32"/>
          <w:szCs w:val="32"/>
        </w:rPr>
        <w:t>：</w:t>
      </w:r>
      <w:r>
        <w:rPr>
          <w:rFonts w:eastAsia="方正仿宋简体"/>
          <w:sz w:val="32"/>
          <w:szCs w:val="32"/>
        </w:rPr>
        <w:t>我</w:t>
      </w:r>
      <w:r>
        <w:rPr>
          <w:rFonts w:hint="eastAsia" w:eastAsia="方正仿宋简体"/>
          <w:sz w:val="32"/>
          <w:szCs w:val="32"/>
          <w:lang w:eastAsia="zh-CN"/>
        </w:rPr>
        <w:t>局</w:t>
      </w:r>
      <w:r>
        <w:rPr>
          <w:rFonts w:eastAsia="方正仿宋简体"/>
          <w:sz w:val="32"/>
          <w:szCs w:val="32"/>
        </w:rPr>
        <w:t>是财政拨款独立核算的</w:t>
      </w:r>
      <w:r>
        <w:rPr>
          <w:rFonts w:hint="eastAsia" w:eastAsia="方正仿宋简体"/>
          <w:sz w:val="32"/>
          <w:szCs w:val="32"/>
          <w:lang w:eastAsia="zh-CN"/>
        </w:rPr>
        <w:t>一级预算的行政</w:t>
      </w:r>
      <w:r>
        <w:rPr>
          <w:rFonts w:eastAsia="方正仿宋简体"/>
          <w:sz w:val="32"/>
          <w:szCs w:val="32"/>
        </w:rPr>
        <w:t>单位，执行政府会计制度。</w:t>
      </w:r>
    </w:p>
    <w:p>
      <w:pPr>
        <w:ind w:firstLine="800" w:firstLineChars="250"/>
        <w:rPr>
          <w:rFonts w:hint="eastAsia" w:ascii="方正仿宋简体" w:eastAsia="方正仿宋简体"/>
          <w:sz w:val="32"/>
          <w:szCs w:val="32"/>
        </w:rPr>
      </w:pPr>
      <w:r>
        <w:rPr>
          <w:rFonts w:ascii="方正楷体简体" w:hAnsi="方正楷体简体" w:eastAsia="方正楷体简体" w:cs="方正楷体简体"/>
          <w:sz w:val="32"/>
          <w:szCs w:val="32"/>
        </w:rPr>
        <w:t>3．人员情况</w:t>
      </w:r>
      <w:r>
        <w:rPr>
          <w:rFonts w:hint="eastAsia" w:ascii="方正楷体简体" w:hAnsi="方正楷体简体" w:eastAsia="方正楷体简体" w:cs="方正楷体简体"/>
          <w:sz w:val="32"/>
          <w:szCs w:val="32"/>
        </w:rPr>
        <w:t>：</w:t>
      </w:r>
      <w:r>
        <w:rPr>
          <w:rFonts w:hint="eastAsia" w:ascii="方正仿宋简体" w:eastAsia="方正仿宋简体"/>
          <w:sz w:val="32"/>
          <w:szCs w:val="32"/>
        </w:rPr>
        <w:t>20</w:t>
      </w:r>
      <w:r>
        <w:rPr>
          <w:rFonts w:hint="eastAsia" w:ascii="方正仿宋简体" w:eastAsia="方正仿宋简体"/>
          <w:sz w:val="32"/>
          <w:szCs w:val="32"/>
          <w:lang w:val="en-US" w:eastAsia="zh-CN"/>
        </w:rPr>
        <w:t>20</w:t>
      </w:r>
      <w:r>
        <w:rPr>
          <w:rFonts w:hint="eastAsia" w:ascii="方正仿宋简体" w:eastAsia="方正仿宋简体"/>
          <w:sz w:val="32"/>
          <w:szCs w:val="32"/>
        </w:rPr>
        <w:t>年末有财政供养人员</w:t>
      </w:r>
      <w:r>
        <w:rPr>
          <w:rFonts w:hint="eastAsia" w:ascii="方正仿宋简体" w:eastAsia="方正仿宋简体"/>
          <w:sz w:val="32"/>
          <w:szCs w:val="32"/>
          <w:lang w:val="en-US" w:eastAsia="zh-CN"/>
        </w:rPr>
        <w:t>5</w:t>
      </w:r>
      <w:r>
        <w:rPr>
          <w:rFonts w:hint="eastAsia" w:ascii="方正仿宋简体" w:eastAsia="方正仿宋简体"/>
          <w:sz w:val="32"/>
          <w:szCs w:val="32"/>
        </w:rPr>
        <w:t>人，其中一般预算拨款人数</w:t>
      </w:r>
      <w:r>
        <w:rPr>
          <w:rFonts w:hint="eastAsia" w:ascii="方正仿宋简体" w:eastAsia="方正仿宋简体"/>
          <w:sz w:val="32"/>
          <w:szCs w:val="32"/>
          <w:lang w:val="en-US" w:eastAsia="zh-CN"/>
        </w:rPr>
        <w:t>5</w:t>
      </w:r>
      <w:r>
        <w:rPr>
          <w:rFonts w:hint="eastAsia" w:ascii="方正仿宋简体" w:eastAsia="方正仿宋简体"/>
          <w:sz w:val="32"/>
          <w:szCs w:val="32"/>
        </w:rPr>
        <w:t>人，其中行政人员</w:t>
      </w:r>
      <w:r>
        <w:rPr>
          <w:rFonts w:hint="eastAsia" w:ascii="方正仿宋简体" w:eastAsia="方正仿宋简体"/>
          <w:sz w:val="32"/>
          <w:szCs w:val="32"/>
          <w:lang w:val="en-US" w:eastAsia="zh-CN"/>
        </w:rPr>
        <w:t>5</w:t>
      </w:r>
      <w:r>
        <w:rPr>
          <w:rFonts w:hint="eastAsia" w:ascii="方正仿宋简体" w:eastAsia="方正仿宋简体"/>
          <w:sz w:val="32"/>
          <w:szCs w:val="32"/>
        </w:rPr>
        <w:t>人。行政调出</w:t>
      </w:r>
      <w:r>
        <w:rPr>
          <w:rFonts w:hint="eastAsia" w:ascii="方正仿宋简体" w:eastAsia="方正仿宋简体"/>
          <w:sz w:val="32"/>
          <w:szCs w:val="32"/>
          <w:lang w:val="en-US" w:eastAsia="zh-CN"/>
        </w:rPr>
        <w:t>2</w:t>
      </w:r>
      <w:r>
        <w:rPr>
          <w:rFonts w:hint="eastAsia" w:ascii="方正仿宋简体" w:eastAsia="方正仿宋简体"/>
          <w:sz w:val="32"/>
          <w:szCs w:val="32"/>
        </w:rPr>
        <w:t>人，调进</w:t>
      </w:r>
      <w:r>
        <w:rPr>
          <w:rFonts w:hint="eastAsia" w:ascii="方正仿宋简体" w:eastAsia="方正仿宋简体"/>
          <w:sz w:val="32"/>
          <w:szCs w:val="32"/>
          <w:lang w:val="en-US" w:eastAsia="zh-CN"/>
        </w:rPr>
        <w:t>1</w:t>
      </w:r>
      <w:r>
        <w:rPr>
          <w:rFonts w:hint="eastAsia" w:ascii="方正仿宋简体" w:eastAsia="方正仿宋简体"/>
          <w:sz w:val="32"/>
          <w:szCs w:val="32"/>
        </w:rPr>
        <w:t>人。</w:t>
      </w:r>
    </w:p>
    <w:p>
      <w:pPr>
        <w:snapToGrid w:val="0"/>
        <w:spacing w:line="520" w:lineRule="exact"/>
        <w:ind w:firstLine="640" w:firstLineChars="200"/>
        <w:rPr>
          <w:rFonts w:eastAsia="方正仿宋简体"/>
          <w:sz w:val="32"/>
          <w:szCs w:val="32"/>
        </w:rPr>
      </w:pPr>
    </w:p>
    <w:p>
      <w:pPr>
        <w:snapToGrid w:val="0"/>
        <w:spacing w:line="52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（二）当年取得的主要事业成效。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方正仿宋简体" w:eastAsia="方正仿宋简体"/>
          <w:sz w:val="32"/>
          <w:szCs w:val="32"/>
        </w:rPr>
        <w:t>20</w:t>
      </w:r>
      <w:r>
        <w:rPr>
          <w:rFonts w:hint="eastAsia" w:ascii="方正仿宋简体" w:eastAsia="方正仿宋简体"/>
          <w:sz w:val="32"/>
          <w:szCs w:val="32"/>
          <w:lang w:val="en-US" w:eastAsia="zh-CN"/>
        </w:rPr>
        <w:t>20</w:t>
      </w:r>
      <w:r>
        <w:rPr>
          <w:rFonts w:hint="eastAsia" w:ascii="方正仿宋简体" w:eastAsia="方正仿宋简体"/>
          <w:sz w:val="32"/>
          <w:szCs w:val="32"/>
        </w:rPr>
        <w:t>年在市委、政府和财政局领导的关心和支持下，全市老干部的“两个”待遇得到了很好的落实，协助落实老干部津补贴调整和工资调整；督促落实好建国初期退休干部医疗费按标准报销；协调解决离休干部住院护理、住房维修等困难帮扶工作；坚持春节集中慰问全市老干部及遗孀，其他节假日看望慰问</w:t>
      </w:r>
      <w:r>
        <w:rPr>
          <w:rFonts w:hint="eastAsia" w:ascii="方正仿宋简体" w:eastAsia="方正仿宋简体"/>
          <w:sz w:val="32"/>
          <w:szCs w:val="32"/>
          <w:lang w:val="en-US" w:eastAsia="zh-CN"/>
        </w:rPr>
        <w:t>150</w:t>
      </w:r>
      <w:r>
        <w:rPr>
          <w:rFonts w:hint="eastAsia" w:ascii="方正仿宋简体" w:eastAsia="方正仿宋简体"/>
          <w:sz w:val="32"/>
          <w:szCs w:val="32"/>
        </w:rPr>
        <w:t>余名困难老干部，日常走访慰问</w:t>
      </w:r>
      <w:r>
        <w:rPr>
          <w:rFonts w:hint="eastAsia" w:ascii="方正仿宋简体" w:eastAsia="方正仿宋简体"/>
          <w:sz w:val="32"/>
          <w:szCs w:val="32"/>
          <w:lang w:val="en-US" w:eastAsia="zh-CN"/>
        </w:rPr>
        <w:t>50</w:t>
      </w:r>
      <w:r>
        <w:rPr>
          <w:rFonts w:hint="eastAsia" w:ascii="方正仿宋简体" w:eastAsia="方正仿宋简体"/>
          <w:sz w:val="32"/>
          <w:szCs w:val="32"/>
        </w:rPr>
        <w:t>余名生病在重庆、成都、达州、本市住院的老干部，为10名离休干部送去生日祝福，妥善处理了离休干部退休干部丧事及善后事宜。</w:t>
      </w:r>
      <w:r>
        <w:rPr>
          <w:rFonts w:hint="default" w:ascii="Times New Roman" w:hAnsi="Times New Roman" w:eastAsia="方正仿宋简体" w:cs="Times New Roman"/>
          <w:sz w:val="32"/>
          <w:szCs w:val="32"/>
          <w:lang w:val="en-US" w:eastAsia="zh-CN"/>
        </w:rPr>
        <w:t>开展全市离退休干部两年一次常规体检；建立老干部局干部职工结队联系老干部制度，完善《万源市离退休干部管理台账》。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eastAsia="方正仿宋简体"/>
          <w:sz w:val="32"/>
          <w:szCs w:val="32"/>
        </w:rPr>
      </w:pPr>
      <w:r>
        <w:rPr>
          <w:rFonts w:hint="eastAsia" w:ascii="方正仿宋简体" w:eastAsia="方正仿宋简体"/>
          <w:b/>
          <w:sz w:val="32"/>
          <w:szCs w:val="32"/>
        </w:rPr>
        <w:t>二是积极开展各种活动。</w:t>
      </w:r>
      <w:r>
        <w:rPr>
          <w:rFonts w:hint="eastAsia" w:ascii="方正仿宋简体" w:eastAsia="方正仿宋简体"/>
          <w:sz w:val="32"/>
          <w:szCs w:val="32"/>
        </w:rPr>
        <w:t>为了丰富生活，常规开办了老干部太极拳、书法班和国学班，并聘请专家或专门教师上课，近100名老干部参与学习。</w:t>
      </w:r>
      <w:r>
        <w:rPr>
          <w:rFonts w:hint="default" w:ascii="Times New Roman" w:hAnsi="Times New Roman" w:eastAsia="方正仿宋简体" w:cs="Times New Roman"/>
          <w:sz w:val="32"/>
          <w:szCs w:val="32"/>
          <w:lang w:val="en-US" w:eastAsia="zh-CN"/>
        </w:rPr>
        <w:t>2020年组织了“庆祝中国共产党成立99周年书画摄影展”、“庆祝中华人民共和国成立71周年书画摄影作品展”，“融入双城圈 建好示范区”调研活动，“我为城乡基层治理出份力”活动，重阳节“干群一家 共度重阳”系列活动。</w:t>
      </w:r>
    </w:p>
    <w:p>
      <w:pPr>
        <w:snapToGrid w:val="0"/>
        <w:spacing w:line="520" w:lineRule="exact"/>
        <w:ind w:firstLine="640" w:firstLineChars="200"/>
        <w:rPr>
          <w:rFonts w:ascii="方正黑体简体" w:hAnsi="方正黑体简体" w:eastAsia="方正黑体简体" w:cs="方正黑体简体"/>
          <w:sz w:val="32"/>
          <w:szCs w:val="32"/>
        </w:rPr>
      </w:pPr>
      <w:bookmarkStart w:id="3" w:name="YS060102"/>
      <w:r>
        <w:rPr>
          <w:rFonts w:hint="eastAsia" w:ascii="方正黑体简体" w:hAnsi="方正黑体简体" w:eastAsia="方正黑体简体" w:cs="方正黑体简体"/>
          <w:sz w:val="32"/>
          <w:szCs w:val="32"/>
        </w:rPr>
        <w:t>二、收入支出预算执行情况分析</w:t>
      </w:r>
    </w:p>
    <w:bookmarkEnd w:id="3"/>
    <w:p>
      <w:pPr>
        <w:snapToGrid w:val="0"/>
        <w:spacing w:line="52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（一）收入支出预算安排情况。</w:t>
      </w:r>
    </w:p>
    <w:p>
      <w:pPr>
        <w:ind w:firstLine="800" w:firstLineChars="250"/>
        <w:rPr>
          <w:rFonts w:hint="eastAsia" w:ascii="方正仿宋简体" w:eastAsia="方正仿宋简体"/>
          <w:sz w:val="32"/>
          <w:szCs w:val="32"/>
        </w:rPr>
      </w:pPr>
      <w:r>
        <w:rPr>
          <w:rFonts w:hint="eastAsia" w:ascii="方正仿宋简体" w:eastAsia="方正仿宋简体"/>
          <w:sz w:val="32"/>
          <w:szCs w:val="32"/>
        </w:rPr>
        <w:t>20</w:t>
      </w:r>
      <w:r>
        <w:rPr>
          <w:rFonts w:hint="eastAsia" w:ascii="方正仿宋简体" w:eastAsia="方正仿宋简体"/>
          <w:sz w:val="32"/>
          <w:szCs w:val="32"/>
          <w:lang w:val="en-US" w:eastAsia="zh-CN"/>
        </w:rPr>
        <w:t>20</w:t>
      </w:r>
      <w:r>
        <w:rPr>
          <w:rFonts w:hint="eastAsia" w:ascii="方正仿宋简体" w:eastAsia="方正仿宋简体"/>
          <w:sz w:val="32"/>
          <w:szCs w:val="32"/>
        </w:rPr>
        <w:t>年预算收入年初安排</w:t>
      </w:r>
      <w:r>
        <w:rPr>
          <w:rFonts w:hint="eastAsia" w:ascii="方正仿宋简体" w:eastAsia="方正仿宋简体"/>
          <w:sz w:val="32"/>
          <w:szCs w:val="32"/>
          <w:lang w:val="en-US" w:eastAsia="zh-CN"/>
        </w:rPr>
        <w:t>1648127</w:t>
      </w:r>
      <w:r>
        <w:rPr>
          <w:rFonts w:hint="eastAsia" w:ascii="方正仿宋简体" w:eastAsia="方正仿宋简体"/>
          <w:sz w:val="32"/>
          <w:szCs w:val="32"/>
        </w:rPr>
        <w:t>元，支出年初预算安排</w:t>
      </w:r>
      <w:r>
        <w:rPr>
          <w:rFonts w:hint="eastAsia" w:ascii="方正仿宋简体" w:eastAsia="方正仿宋简体"/>
          <w:sz w:val="32"/>
          <w:szCs w:val="32"/>
          <w:lang w:val="en-US" w:eastAsia="zh-CN"/>
        </w:rPr>
        <w:t>1648127</w:t>
      </w:r>
      <w:r>
        <w:rPr>
          <w:rFonts w:hint="eastAsia" w:ascii="方正仿宋简体" w:eastAsia="方正仿宋简体"/>
          <w:sz w:val="32"/>
          <w:szCs w:val="32"/>
        </w:rPr>
        <w:t>元，年初预算收入和支出都比上年</w:t>
      </w:r>
      <w:r>
        <w:rPr>
          <w:rFonts w:hint="eastAsia" w:ascii="方正仿宋简体" w:eastAsia="方正仿宋简体"/>
          <w:sz w:val="32"/>
          <w:szCs w:val="32"/>
          <w:lang w:val="en-US" w:eastAsia="zh-CN"/>
        </w:rPr>
        <w:t>1487652</w:t>
      </w:r>
      <w:r>
        <w:rPr>
          <w:rFonts w:hint="eastAsia" w:ascii="方正仿宋简体" w:eastAsia="方正仿宋简体"/>
          <w:sz w:val="32"/>
          <w:szCs w:val="32"/>
        </w:rPr>
        <w:t>元</w:t>
      </w:r>
      <w:r>
        <w:rPr>
          <w:rFonts w:hint="eastAsia" w:ascii="方正仿宋简体" w:eastAsia="方正仿宋简体"/>
          <w:sz w:val="32"/>
          <w:szCs w:val="32"/>
          <w:lang w:eastAsia="zh-CN"/>
        </w:rPr>
        <w:t>增加</w:t>
      </w:r>
      <w:r>
        <w:rPr>
          <w:rFonts w:hint="eastAsia" w:ascii="方正仿宋简体" w:eastAsia="方正仿宋简体"/>
          <w:sz w:val="32"/>
          <w:szCs w:val="32"/>
          <w:lang w:val="en-US" w:eastAsia="zh-CN"/>
        </w:rPr>
        <w:t>160475</w:t>
      </w:r>
      <w:r>
        <w:rPr>
          <w:rFonts w:hint="eastAsia" w:ascii="方正仿宋简体" w:eastAsia="方正仿宋简体"/>
          <w:sz w:val="32"/>
          <w:szCs w:val="32"/>
        </w:rPr>
        <w:t>元，年度执行过程中追减预算</w:t>
      </w:r>
      <w:r>
        <w:rPr>
          <w:rFonts w:hint="eastAsia" w:ascii="方正仿宋简体" w:eastAsia="方正仿宋简体"/>
          <w:sz w:val="32"/>
          <w:szCs w:val="32"/>
          <w:lang w:val="en-US" w:eastAsia="zh-CN"/>
        </w:rPr>
        <w:t>170216.22</w:t>
      </w:r>
      <w:r>
        <w:rPr>
          <w:rFonts w:hint="eastAsia" w:ascii="方正仿宋简体" w:eastAsia="方正仿宋简体"/>
          <w:sz w:val="32"/>
          <w:szCs w:val="32"/>
        </w:rPr>
        <w:t>元为</w:t>
      </w:r>
      <w:r>
        <w:rPr>
          <w:rFonts w:hint="eastAsia" w:ascii="方正仿宋简体" w:eastAsia="方正仿宋简体"/>
          <w:sz w:val="32"/>
          <w:szCs w:val="32"/>
          <w:lang w:val="en-US" w:eastAsia="zh-CN"/>
        </w:rPr>
        <w:t>1477910.78</w:t>
      </w:r>
      <w:r>
        <w:rPr>
          <w:rFonts w:hint="eastAsia" w:ascii="方正仿宋简体" w:eastAsia="方正仿宋简体"/>
          <w:sz w:val="32"/>
          <w:szCs w:val="32"/>
        </w:rPr>
        <w:t>元。一般公共服务支出</w:t>
      </w:r>
      <w:r>
        <w:rPr>
          <w:rFonts w:hint="eastAsia" w:ascii="方正仿宋简体" w:eastAsia="方正仿宋简体"/>
          <w:sz w:val="32"/>
          <w:szCs w:val="32"/>
          <w:lang w:val="en-US" w:eastAsia="zh-CN"/>
        </w:rPr>
        <w:t>835333.66</w:t>
      </w:r>
      <w:r>
        <w:rPr>
          <w:rFonts w:hint="eastAsia" w:ascii="方正仿宋简体" w:eastAsia="方正仿宋简体"/>
          <w:sz w:val="32"/>
          <w:szCs w:val="32"/>
        </w:rPr>
        <w:t>元减少</w:t>
      </w:r>
      <w:r>
        <w:rPr>
          <w:rFonts w:hint="eastAsia" w:ascii="方正仿宋简体" w:eastAsia="方正仿宋简体"/>
          <w:sz w:val="32"/>
          <w:szCs w:val="32"/>
          <w:lang w:val="en-US" w:eastAsia="zh-CN"/>
        </w:rPr>
        <w:t>231045</w:t>
      </w:r>
      <w:r>
        <w:rPr>
          <w:rFonts w:hint="eastAsia" w:ascii="方正仿宋简体" w:eastAsia="方正仿宋简体"/>
          <w:sz w:val="32"/>
          <w:szCs w:val="32"/>
        </w:rPr>
        <w:t>元为</w:t>
      </w:r>
      <w:r>
        <w:rPr>
          <w:rFonts w:hint="eastAsia" w:ascii="方正仿宋简体" w:eastAsia="方正仿宋简体"/>
          <w:sz w:val="32"/>
          <w:szCs w:val="32"/>
          <w:lang w:val="en-US" w:eastAsia="zh-CN"/>
        </w:rPr>
        <w:t>604288.66</w:t>
      </w:r>
      <w:r>
        <w:rPr>
          <w:rFonts w:hint="eastAsia" w:ascii="方正仿宋简体" w:eastAsia="方正仿宋简体"/>
          <w:sz w:val="32"/>
          <w:szCs w:val="32"/>
        </w:rPr>
        <w:t>元，主要压缩行政开支。</w:t>
      </w:r>
    </w:p>
    <w:p>
      <w:pPr>
        <w:pStyle w:val="3"/>
        <w:rPr>
          <w:rFonts w:eastAsia="方正仿宋简体"/>
        </w:rPr>
      </w:pPr>
      <w:r>
        <w:rPr>
          <w:rFonts w:hint="eastAsia" w:eastAsia="方正仿宋简体"/>
        </w:rPr>
        <w:drawing>
          <wp:inline distT="0" distB="0" distL="114300" distR="114300">
            <wp:extent cx="5384165" cy="1906270"/>
            <wp:effectExtent l="4445" t="4445" r="21590"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Start w:id="6" w:name="_GoBack"/>
      <w:bookmarkEnd w:id="6"/>
    </w:p>
    <w:p>
      <w:pPr>
        <w:pStyle w:val="2"/>
        <w:ind w:firstLine="2319" w:firstLineChars="1100"/>
        <w:rPr>
          <w:rFonts w:eastAsia="方正仿宋简体"/>
          <w:b/>
          <w:bCs/>
        </w:rPr>
      </w:pPr>
      <w:r>
        <w:rPr>
          <w:rFonts w:hint="eastAsia" w:eastAsia="方正仿宋简体"/>
          <w:b/>
          <w:bCs/>
        </w:rPr>
        <w:fldChar w:fldCharType="begin"/>
      </w:r>
      <w:r>
        <w:rPr>
          <w:rFonts w:hint="eastAsia" w:eastAsia="方正仿宋简体"/>
          <w:b/>
          <w:bCs/>
        </w:rPr>
        <w:instrText xml:space="preserve"> SEQ 表 \* ARABIC </w:instrText>
      </w:r>
      <w:r>
        <w:rPr>
          <w:rFonts w:hint="eastAsia" w:eastAsia="方正仿宋简体"/>
          <w:b/>
          <w:bCs/>
        </w:rPr>
        <w:fldChar w:fldCharType="separate"/>
      </w:r>
      <w:r>
        <w:rPr>
          <w:rFonts w:hint="eastAsia" w:eastAsia="方正仿宋简体"/>
          <w:b/>
          <w:bCs/>
        </w:rPr>
        <w:t>1</w:t>
      </w:r>
      <w:r>
        <w:rPr>
          <w:rFonts w:hint="eastAsia" w:eastAsia="方正仿宋简体"/>
          <w:b/>
          <w:bCs/>
        </w:rPr>
        <w:fldChar w:fldCharType="end"/>
      </w:r>
      <w:r>
        <w:rPr>
          <w:rFonts w:hint="eastAsia" w:eastAsia="方正仿宋简体"/>
          <w:b/>
          <w:bCs/>
        </w:rPr>
        <w:t>：收入支出年初预算安排对比图</w:t>
      </w:r>
    </w:p>
    <w:p>
      <w:pPr>
        <w:snapToGrid w:val="0"/>
        <w:spacing w:line="520" w:lineRule="exact"/>
        <w:ind w:firstLine="643" w:firstLineChars="200"/>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（二）收入支出预算执行情况。</w:t>
      </w:r>
    </w:p>
    <w:p>
      <w:pPr>
        <w:ind w:firstLine="800" w:firstLineChars="250"/>
        <w:rPr>
          <w:rFonts w:hint="eastAsia" w:ascii="方正仿宋简体" w:eastAsia="方正仿宋简体"/>
          <w:sz w:val="32"/>
          <w:szCs w:val="32"/>
        </w:rPr>
      </w:pPr>
      <w:r>
        <w:rPr>
          <w:rFonts w:hint="eastAsia" w:ascii="方正仿宋简体" w:eastAsia="方正仿宋简体"/>
          <w:sz w:val="32"/>
          <w:szCs w:val="32"/>
        </w:rPr>
        <w:t>20</w:t>
      </w:r>
      <w:r>
        <w:rPr>
          <w:rFonts w:hint="eastAsia" w:ascii="方正仿宋简体" w:eastAsia="方正仿宋简体"/>
          <w:sz w:val="32"/>
          <w:szCs w:val="32"/>
          <w:lang w:val="en-US" w:eastAsia="zh-CN"/>
        </w:rPr>
        <w:t>20</w:t>
      </w:r>
      <w:r>
        <w:rPr>
          <w:rFonts w:hint="eastAsia" w:ascii="方正仿宋简体" w:eastAsia="方正仿宋简体"/>
          <w:sz w:val="32"/>
          <w:szCs w:val="32"/>
        </w:rPr>
        <w:t>年全年预算收入</w:t>
      </w:r>
      <w:r>
        <w:rPr>
          <w:rFonts w:hint="eastAsia" w:ascii="方正仿宋简体" w:eastAsia="方正仿宋简体"/>
          <w:sz w:val="32"/>
          <w:szCs w:val="32"/>
          <w:lang w:val="en-US" w:eastAsia="zh-CN"/>
        </w:rPr>
        <w:t>1477910.78</w:t>
      </w:r>
      <w:r>
        <w:rPr>
          <w:rFonts w:hint="eastAsia" w:ascii="方正仿宋简体" w:eastAsia="方正仿宋简体"/>
          <w:sz w:val="32"/>
          <w:szCs w:val="32"/>
        </w:rPr>
        <w:t>元、比</w:t>
      </w:r>
      <w:r>
        <w:rPr>
          <w:rFonts w:hint="eastAsia" w:ascii="方正仿宋简体" w:eastAsia="方正仿宋简体"/>
          <w:sz w:val="32"/>
          <w:szCs w:val="32"/>
          <w:lang w:val="en-US" w:eastAsia="zh-CN"/>
        </w:rPr>
        <w:t>2019</w:t>
      </w:r>
      <w:r>
        <w:rPr>
          <w:rFonts w:hint="eastAsia" w:ascii="方正仿宋简体" w:eastAsia="方正仿宋简体"/>
          <w:sz w:val="32"/>
          <w:szCs w:val="32"/>
        </w:rPr>
        <w:t>年预算收入</w:t>
      </w:r>
      <w:r>
        <w:rPr>
          <w:rFonts w:hint="eastAsia" w:ascii="方正仿宋简体" w:eastAsia="方正仿宋简体"/>
          <w:sz w:val="32"/>
          <w:szCs w:val="32"/>
          <w:lang w:val="en-US" w:eastAsia="zh-CN"/>
        </w:rPr>
        <w:t>1377909</w:t>
      </w:r>
      <w:r>
        <w:rPr>
          <w:rFonts w:hint="eastAsia" w:ascii="方正仿宋简体" w:eastAsia="方正仿宋简体"/>
          <w:sz w:val="32"/>
          <w:szCs w:val="32"/>
        </w:rPr>
        <w:t>元增加</w:t>
      </w:r>
      <w:r>
        <w:rPr>
          <w:rFonts w:hint="eastAsia" w:ascii="方正仿宋简体" w:eastAsia="方正仿宋简体"/>
          <w:sz w:val="32"/>
          <w:szCs w:val="32"/>
          <w:lang w:val="en-US" w:eastAsia="zh-CN"/>
        </w:rPr>
        <w:t>100001.78</w:t>
      </w:r>
      <w:r>
        <w:rPr>
          <w:rFonts w:hint="eastAsia" w:ascii="方正仿宋简体" w:eastAsia="方正仿宋简体"/>
          <w:sz w:val="32"/>
          <w:szCs w:val="32"/>
        </w:rPr>
        <w:t>元，增加</w:t>
      </w:r>
      <w:r>
        <w:rPr>
          <w:rFonts w:hint="eastAsia" w:ascii="方正仿宋简体" w:eastAsia="方正仿宋简体"/>
          <w:sz w:val="32"/>
          <w:szCs w:val="32"/>
          <w:lang w:val="en-US" w:eastAsia="zh-CN"/>
        </w:rPr>
        <w:t>4.26</w:t>
      </w:r>
      <w:r>
        <w:rPr>
          <w:rFonts w:hint="eastAsia" w:ascii="方正仿宋简体" w:eastAsia="方正仿宋简体"/>
          <w:sz w:val="32"/>
          <w:szCs w:val="32"/>
        </w:rPr>
        <w:t>％，</w:t>
      </w:r>
      <w:r>
        <w:rPr>
          <w:rFonts w:hint="eastAsia" w:ascii="方正仿宋简体" w:eastAsia="方正仿宋简体"/>
          <w:sz w:val="32"/>
          <w:szCs w:val="32"/>
          <w:lang w:eastAsia="zh-CN"/>
        </w:rPr>
        <w:t>增长的</w:t>
      </w:r>
      <w:r>
        <w:rPr>
          <w:rFonts w:hint="eastAsia" w:ascii="方正仿宋简体" w:eastAsia="方正仿宋简体"/>
          <w:sz w:val="32"/>
          <w:szCs w:val="32"/>
        </w:rPr>
        <w:t>主要是</w:t>
      </w:r>
      <w:r>
        <w:rPr>
          <w:rFonts w:hint="eastAsia" w:ascii="方正仿宋简体" w:eastAsia="方正仿宋简体"/>
          <w:sz w:val="32"/>
          <w:szCs w:val="32"/>
          <w:lang w:eastAsia="zh-CN"/>
        </w:rPr>
        <w:t>社会保障和就业支出</w:t>
      </w:r>
      <w:r>
        <w:rPr>
          <w:rFonts w:hint="eastAsia" w:ascii="方正仿宋简体" w:eastAsia="方正仿宋简体"/>
          <w:sz w:val="32"/>
          <w:szCs w:val="32"/>
        </w:rPr>
        <w:t>；20</w:t>
      </w:r>
      <w:r>
        <w:rPr>
          <w:rFonts w:hint="eastAsia" w:ascii="方正仿宋简体" w:eastAsia="方正仿宋简体"/>
          <w:sz w:val="32"/>
          <w:szCs w:val="32"/>
          <w:lang w:val="en-US" w:eastAsia="zh-CN"/>
        </w:rPr>
        <w:t>20</w:t>
      </w:r>
      <w:r>
        <w:rPr>
          <w:rFonts w:hint="eastAsia" w:ascii="方正仿宋简体" w:eastAsia="方正仿宋简体"/>
          <w:sz w:val="32"/>
          <w:szCs w:val="32"/>
        </w:rPr>
        <w:t>年全年预算支出</w:t>
      </w:r>
      <w:r>
        <w:rPr>
          <w:rFonts w:hint="eastAsia" w:ascii="方正仿宋简体" w:eastAsia="方正仿宋简体"/>
          <w:sz w:val="32"/>
          <w:szCs w:val="32"/>
          <w:lang w:val="en-US" w:eastAsia="zh-CN"/>
        </w:rPr>
        <w:t>1477910.78</w:t>
      </w:r>
      <w:r>
        <w:rPr>
          <w:rFonts w:hint="eastAsia" w:ascii="方正仿宋简体" w:eastAsia="方正仿宋简体"/>
          <w:sz w:val="32"/>
          <w:szCs w:val="32"/>
        </w:rPr>
        <w:t>元，比20</w:t>
      </w:r>
      <w:r>
        <w:rPr>
          <w:rFonts w:hint="eastAsia" w:ascii="方正仿宋简体" w:eastAsia="方正仿宋简体"/>
          <w:sz w:val="32"/>
          <w:szCs w:val="32"/>
          <w:lang w:val="en-US" w:eastAsia="zh-CN"/>
        </w:rPr>
        <w:t>19</w:t>
      </w:r>
      <w:r>
        <w:rPr>
          <w:rFonts w:hint="eastAsia" w:ascii="方正仿宋简体" w:eastAsia="方正仿宋简体"/>
          <w:sz w:val="32"/>
          <w:szCs w:val="32"/>
        </w:rPr>
        <w:t>年预算支出</w:t>
      </w:r>
      <w:r>
        <w:rPr>
          <w:rFonts w:hint="eastAsia" w:ascii="方正仿宋简体" w:eastAsia="方正仿宋简体"/>
          <w:sz w:val="32"/>
          <w:szCs w:val="32"/>
          <w:lang w:val="en-US" w:eastAsia="zh-CN"/>
        </w:rPr>
        <w:t>1372585.34</w:t>
      </w:r>
      <w:r>
        <w:rPr>
          <w:rFonts w:hint="eastAsia" w:ascii="方正仿宋简体" w:eastAsia="方正仿宋简体"/>
          <w:sz w:val="32"/>
          <w:szCs w:val="32"/>
        </w:rPr>
        <w:t>元增加</w:t>
      </w:r>
      <w:r>
        <w:rPr>
          <w:rFonts w:hint="eastAsia" w:ascii="方正仿宋简体" w:eastAsia="方正仿宋简体"/>
          <w:sz w:val="32"/>
          <w:szCs w:val="32"/>
          <w:lang w:val="en-US" w:eastAsia="zh-CN"/>
        </w:rPr>
        <w:t>105325.44</w:t>
      </w:r>
      <w:r>
        <w:rPr>
          <w:rFonts w:hint="eastAsia" w:ascii="方正仿宋简体" w:eastAsia="方正仿宋简体"/>
          <w:sz w:val="32"/>
          <w:szCs w:val="32"/>
        </w:rPr>
        <w:t>元，增加</w:t>
      </w:r>
      <w:r>
        <w:rPr>
          <w:rFonts w:hint="eastAsia" w:ascii="方正仿宋简体" w:eastAsia="方正仿宋简体"/>
          <w:sz w:val="32"/>
          <w:szCs w:val="32"/>
          <w:lang w:val="en-US" w:eastAsia="zh-CN"/>
        </w:rPr>
        <w:t>7.67</w:t>
      </w:r>
      <w:r>
        <w:rPr>
          <w:rFonts w:hint="eastAsia" w:ascii="方正仿宋简体" w:eastAsia="方正仿宋简体"/>
          <w:sz w:val="32"/>
          <w:szCs w:val="32"/>
        </w:rPr>
        <w:t>%。主要是</w:t>
      </w:r>
      <w:r>
        <w:rPr>
          <w:rFonts w:hint="eastAsia" w:ascii="方正仿宋简体" w:eastAsia="方正仿宋简体"/>
          <w:sz w:val="32"/>
          <w:szCs w:val="32"/>
          <w:lang w:eastAsia="zh-CN"/>
        </w:rPr>
        <w:t>日常公用经费</w:t>
      </w:r>
      <w:r>
        <w:rPr>
          <w:rFonts w:hint="eastAsia" w:ascii="方正仿宋简体" w:eastAsia="方正仿宋简体"/>
          <w:sz w:val="32"/>
          <w:szCs w:val="32"/>
        </w:rPr>
        <w:t>和调资。</w:t>
      </w:r>
    </w:p>
    <w:p>
      <w:pPr>
        <w:pStyle w:val="3"/>
        <w:rPr>
          <w:rFonts w:eastAsia="方正仿宋简体"/>
        </w:rPr>
      </w:pPr>
      <w:r>
        <w:rPr>
          <w:rFonts w:hint="eastAsia" w:eastAsia="方正仿宋简体"/>
        </w:rPr>
        <w:drawing>
          <wp:inline distT="0" distB="0" distL="114300" distR="114300">
            <wp:extent cx="5441315" cy="1772285"/>
            <wp:effectExtent l="4445" t="4445" r="2159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ind w:firstLine="2530" w:firstLineChars="1200"/>
        <w:rPr>
          <w:rFonts w:eastAsia="方正仿宋简体"/>
          <w:b/>
          <w:bCs/>
        </w:rPr>
      </w:pPr>
      <w:r>
        <w:rPr>
          <w:rFonts w:hint="eastAsia" w:eastAsia="方正仿宋简体"/>
          <w:b/>
          <w:bCs/>
        </w:rPr>
        <w:fldChar w:fldCharType="begin"/>
      </w:r>
      <w:r>
        <w:rPr>
          <w:rFonts w:hint="eastAsia" w:eastAsia="方正仿宋简体"/>
          <w:b/>
          <w:bCs/>
        </w:rPr>
        <w:instrText xml:space="preserve"> SEQ 表 \* ARABIC </w:instrText>
      </w:r>
      <w:r>
        <w:rPr>
          <w:rFonts w:hint="eastAsia" w:eastAsia="方正仿宋简体"/>
          <w:b/>
          <w:bCs/>
        </w:rPr>
        <w:fldChar w:fldCharType="separate"/>
      </w:r>
      <w:r>
        <w:rPr>
          <w:rFonts w:hint="eastAsia" w:eastAsia="方正仿宋简体"/>
          <w:b/>
          <w:bCs/>
        </w:rPr>
        <w:t>2</w:t>
      </w:r>
      <w:r>
        <w:rPr>
          <w:rFonts w:hint="eastAsia" w:eastAsia="方正仿宋简体"/>
          <w:b/>
          <w:bCs/>
        </w:rPr>
        <w:fldChar w:fldCharType="end"/>
      </w:r>
      <w:r>
        <w:rPr>
          <w:rFonts w:hint="eastAsia" w:eastAsia="方正仿宋简体"/>
          <w:b/>
          <w:bCs/>
        </w:rPr>
        <w:t>：收入支出预算执行情况图</w:t>
      </w:r>
    </w:p>
    <w:tbl>
      <w:tblPr>
        <w:tblStyle w:val="7"/>
        <w:tblpPr w:leftFromText="180" w:rightFromText="180" w:vertAnchor="text" w:horzAnchor="page" w:tblpX="4" w:tblpY="268"/>
        <w:tblOverlap w:val="never"/>
        <w:tblW w:w="22440" w:type="dxa"/>
        <w:tblInd w:w="0" w:type="dxa"/>
        <w:tblLayout w:type="fixed"/>
        <w:tblCellMar>
          <w:top w:w="0" w:type="dxa"/>
          <w:left w:w="0" w:type="dxa"/>
          <w:bottom w:w="0" w:type="dxa"/>
          <w:right w:w="0" w:type="dxa"/>
        </w:tblCellMar>
      </w:tblPr>
      <w:tblGrid>
        <w:gridCol w:w="11220"/>
        <w:gridCol w:w="11220"/>
      </w:tblGrid>
      <w:tr>
        <w:tblPrEx>
          <w:tblCellMar>
            <w:top w:w="0" w:type="dxa"/>
            <w:left w:w="0" w:type="dxa"/>
            <w:bottom w:w="0" w:type="dxa"/>
            <w:right w:w="0" w:type="dxa"/>
          </w:tblCellMar>
        </w:tblPrEx>
        <w:trPr>
          <w:trHeight w:val="108" w:hRule="atLeast"/>
        </w:trPr>
        <w:tc>
          <w:tcPr>
            <w:tcW w:w="11220" w:type="dxa"/>
            <w:tcBorders>
              <w:top w:val="nil"/>
              <w:left w:val="nil"/>
              <w:bottom w:val="nil"/>
              <w:right w:val="nil"/>
            </w:tcBorders>
            <w:shd w:val="clear" w:color="auto" w:fill="auto"/>
            <w:noWrap/>
            <w:tcMar>
              <w:top w:w="15" w:type="dxa"/>
              <w:left w:w="15" w:type="dxa"/>
              <w:right w:w="15" w:type="dxa"/>
            </w:tcMar>
            <w:vAlign w:val="center"/>
          </w:tcPr>
          <w:p>
            <w:pPr>
              <w:widowControl/>
              <w:jc w:val="both"/>
              <w:textAlignment w:val="center"/>
              <w:rPr>
                <w:rFonts w:ascii="宋体" w:hAnsi="宋体" w:cs="宋体"/>
                <w:b/>
                <w:color w:val="000000"/>
                <w:sz w:val="32"/>
                <w:szCs w:val="32"/>
              </w:rPr>
            </w:pPr>
          </w:p>
        </w:tc>
        <w:tc>
          <w:tcPr>
            <w:tcW w:w="11220" w:type="dxa"/>
            <w:tcBorders>
              <w:top w:val="nil"/>
              <w:left w:val="nil"/>
              <w:bottom w:val="nil"/>
              <w:right w:val="nil"/>
            </w:tcBorders>
            <w:shd w:val="clear" w:color="auto" w:fill="auto"/>
            <w:noWrap/>
            <w:tcMar>
              <w:top w:w="15" w:type="dxa"/>
              <w:left w:w="15" w:type="dxa"/>
              <w:right w:w="15" w:type="dxa"/>
            </w:tcMar>
            <w:vAlign w:val="center"/>
          </w:tcPr>
          <w:p>
            <w:pPr>
              <w:widowControl/>
              <w:jc w:val="both"/>
              <w:textAlignment w:val="center"/>
              <w:rPr>
                <w:rFonts w:ascii="宋体" w:hAnsi="宋体" w:cs="宋体"/>
                <w:b/>
                <w:color w:val="000000"/>
                <w:sz w:val="32"/>
                <w:szCs w:val="32"/>
              </w:rPr>
            </w:pPr>
          </w:p>
        </w:tc>
      </w:tr>
      <w:tr>
        <w:tblPrEx>
          <w:tblCellMar>
            <w:top w:w="0" w:type="dxa"/>
            <w:left w:w="0" w:type="dxa"/>
            <w:bottom w:w="0" w:type="dxa"/>
            <w:right w:w="0" w:type="dxa"/>
          </w:tblCellMar>
        </w:tblPrEx>
        <w:trPr>
          <w:trHeight w:val="90" w:hRule="atLeast"/>
        </w:trPr>
        <w:tc>
          <w:tcPr>
            <w:tcW w:w="1122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color w:val="000000"/>
                <w:sz w:val="24"/>
              </w:rPr>
            </w:pPr>
          </w:p>
        </w:tc>
        <w:tc>
          <w:tcPr>
            <w:tcW w:w="11220"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color w:val="000000"/>
                <w:sz w:val="24"/>
              </w:rPr>
            </w:pPr>
          </w:p>
        </w:tc>
      </w:tr>
    </w:tbl>
    <w:p>
      <w:pPr>
        <w:pStyle w:val="2"/>
        <w:ind w:firstLine="2520" w:firstLineChars="1200"/>
        <w:rPr>
          <w:rFonts w:eastAsia="方正仿宋简体"/>
        </w:rPr>
      </w:pPr>
    </w:p>
    <w:p>
      <w:pPr>
        <w:numPr>
          <w:ilvl w:val="0"/>
          <w:numId w:val="1"/>
        </w:numPr>
        <w:snapToGrid w:val="0"/>
        <w:spacing w:line="520" w:lineRule="exact"/>
        <w:ind w:firstLine="640" w:firstLineChars="200"/>
        <w:rPr>
          <w:rFonts w:eastAsia="方正仿宋简体"/>
          <w:bCs/>
          <w:sz w:val="32"/>
          <w:szCs w:val="32"/>
        </w:rPr>
      </w:pPr>
      <w:r>
        <w:rPr>
          <w:rFonts w:eastAsia="方正仿宋简体"/>
          <w:bCs/>
          <w:sz w:val="32"/>
          <w:szCs w:val="32"/>
        </w:rPr>
        <w:t>收入支出与预算对比分析。</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（1）预、决算差异情况</w:t>
      </w:r>
    </w:p>
    <w:p>
      <w:pPr>
        <w:ind w:firstLine="800" w:firstLineChars="250"/>
      </w:pPr>
      <w:r>
        <w:rPr>
          <w:rFonts w:hint="eastAsia" w:ascii="方正仿宋简体" w:eastAsia="方正仿宋简体"/>
          <w:sz w:val="32"/>
          <w:szCs w:val="32"/>
        </w:rPr>
        <w:t>决算数预算收入比年初预算减少</w:t>
      </w:r>
      <w:r>
        <w:rPr>
          <w:rFonts w:hint="eastAsia" w:ascii="方正仿宋简体" w:eastAsia="方正仿宋简体"/>
          <w:sz w:val="32"/>
          <w:szCs w:val="32"/>
          <w:lang w:val="en-US" w:eastAsia="zh-CN"/>
        </w:rPr>
        <w:t>170216.22</w:t>
      </w:r>
      <w:r>
        <w:rPr>
          <w:rFonts w:hint="eastAsia" w:ascii="方正仿宋简体" w:eastAsia="方正仿宋简体"/>
          <w:sz w:val="32"/>
          <w:szCs w:val="32"/>
        </w:rPr>
        <w:t>元，其中一般公共服务减少</w:t>
      </w:r>
      <w:r>
        <w:rPr>
          <w:rFonts w:hint="eastAsia" w:ascii="方正仿宋简体" w:eastAsia="方正仿宋简体"/>
          <w:sz w:val="32"/>
          <w:szCs w:val="32"/>
          <w:lang w:val="en-US" w:eastAsia="zh-CN"/>
        </w:rPr>
        <w:t>170216.22</w:t>
      </w:r>
      <w:r>
        <w:rPr>
          <w:rFonts w:hint="eastAsia" w:ascii="方正仿宋简体" w:eastAsia="方正仿宋简体"/>
          <w:sz w:val="32"/>
          <w:szCs w:val="32"/>
        </w:rPr>
        <w:t>元。决算数预算支出比年初预算支出减少</w:t>
      </w:r>
      <w:r>
        <w:rPr>
          <w:rFonts w:hint="eastAsia" w:ascii="方正仿宋简体" w:eastAsia="方正仿宋简体"/>
          <w:sz w:val="32"/>
          <w:szCs w:val="32"/>
          <w:lang w:val="en-US" w:eastAsia="zh-CN"/>
        </w:rPr>
        <w:t>170216.22</w:t>
      </w:r>
      <w:r>
        <w:rPr>
          <w:rFonts w:hint="eastAsia" w:ascii="方正仿宋简体" w:eastAsia="方正仿宋简体"/>
          <w:sz w:val="32"/>
          <w:szCs w:val="32"/>
        </w:rPr>
        <w:t>元。</w:t>
      </w:r>
    </w:p>
    <w:p>
      <w:pPr>
        <w:snapToGrid w:val="0"/>
        <w:spacing w:line="520" w:lineRule="exact"/>
        <w:ind w:firstLine="640" w:firstLineChars="200"/>
        <w:rPr>
          <w:rFonts w:eastAsia="方正仿宋简体"/>
          <w:bCs/>
          <w:sz w:val="32"/>
          <w:szCs w:val="32"/>
        </w:rPr>
      </w:pPr>
      <w:r>
        <w:rPr>
          <w:rFonts w:hint="eastAsia" w:eastAsia="方正仿宋简体"/>
          <w:bCs/>
          <w:sz w:val="32"/>
          <w:szCs w:val="32"/>
        </w:rPr>
        <w:t>2．收入支出结构分析。</w:t>
      </w:r>
    </w:p>
    <w:p>
      <w:pPr>
        <w:snapToGrid w:val="0"/>
        <w:spacing w:line="520" w:lineRule="exact"/>
        <w:ind w:firstLine="640" w:firstLineChars="200"/>
        <w:rPr>
          <w:rFonts w:eastAsia="方正仿宋简体"/>
        </w:rPr>
      </w:pPr>
      <w:r>
        <w:rPr>
          <w:rFonts w:eastAsia="方正仿宋简体"/>
          <w:sz w:val="32"/>
          <w:szCs w:val="32"/>
        </w:rPr>
        <w:t>（1）各项收入占总收入的比重，各项支出占总支出的比重。</w:t>
      </w:r>
    </w:p>
    <w:p>
      <w:pPr>
        <w:pStyle w:val="2"/>
        <w:rPr>
          <w:rFonts w:eastAsia="仿宋_GB2312"/>
        </w:rPr>
      </w:pPr>
      <w:r>
        <w:rPr>
          <w:rFonts w:hint="eastAsia" w:eastAsia="仿宋_GB2312"/>
        </w:rPr>
        <w:drawing>
          <wp:inline distT="0" distB="0" distL="114300" distR="114300">
            <wp:extent cx="5842635" cy="2256155"/>
            <wp:effectExtent l="4445" t="4445" r="7620" b="1270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
        <w:ind w:firstLine="2600" w:firstLineChars="1300"/>
      </w:pPr>
      <w:r>
        <w:t xml:space="preserve">表 </w:t>
      </w:r>
      <w:r>
        <w:fldChar w:fldCharType="begin"/>
      </w:r>
      <w:r>
        <w:instrText xml:space="preserve"> SEQ 表 \* ARABIC </w:instrText>
      </w:r>
      <w:r>
        <w:fldChar w:fldCharType="separate"/>
      </w:r>
      <w:r>
        <w:t>3</w:t>
      </w:r>
      <w:r>
        <w:fldChar w:fldCharType="end"/>
      </w:r>
      <w:r>
        <w:rPr>
          <w:rFonts w:hint="eastAsia"/>
        </w:rPr>
        <w:t>各项收入占总收入比重图</w:t>
      </w:r>
    </w:p>
    <w:p/>
    <w:p>
      <w:pPr>
        <w:pStyle w:val="2"/>
      </w:pPr>
      <w:r>
        <w:rPr>
          <w:rFonts w:hint="eastAsia" w:eastAsia="仿宋_GB2312"/>
        </w:rPr>
        <w:drawing>
          <wp:inline distT="0" distB="0" distL="114300" distR="114300">
            <wp:extent cx="5842635" cy="2256155"/>
            <wp:effectExtent l="4445" t="4445" r="7620" b="1270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
        <w:ind w:firstLine="2200" w:firstLineChars="1100"/>
        <w:rPr>
          <w:rFonts w:eastAsia="宋体"/>
        </w:rPr>
      </w:pPr>
      <w:r>
        <w:t xml:space="preserve">表 </w:t>
      </w:r>
      <w:r>
        <w:fldChar w:fldCharType="begin"/>
      </w:r>
      <w:r>
        <w:instrText xml:space="preserve"> SEQ 表 \* ARABIC </w:instrText>
      </w:r>
      <w:r>
        <w:fldChar w:fldCharType="separate"/>
      </w:r>
      <w:r>
        <w:t>4</w:t>
      </w:r>
      <w:r>
        <w:fldChar w:fldCharType="end"/>
      </w:r>
      <w:r>
        <w:rPr>
          <w:rFonts w:hint="eastAsia"/>
        </w:rPr>
        <w:t>：各项支出占总支出的比重</w:t>
      </w:r>
    </w:p>
    <w:p>
      <w:pPr>
        <w:snapToGrid w:val="0"/>
        <w:spacing w:line="520" w:lineRule="exact"/>
        <w:ind w:firstLine="640" w:firstLineChars="200"/>
        <w:rPr>
          <w:rFonts w:eastAsia="仿宋_GB2312"/>
        </w:rPr>
      </w:pPr>
      <w:r>
        <w:rPr>
          <w:rFonts w:hint="eastAsia" w:eastAsia="方正仿宋简体"/>
          <w:sz w:val="32"/>
          <w:szCs w:val="32"/>
        </w:rPr>
        <w:t>（2）收入支出与上年度对比情况。</w:t>
      </w:r>
    </w:p>
    <w:p>
      <w:pPr>
        <w:pStyle w:val="3"/>
        <w:ind w:firstLine="2800" w:firstLineChars="1400"/>
      </w:pPr>
      <w:r>
        <w:rPr>
          <w:rFonts w:hint="eastAsia" w:eastAsia="仿宋_GB2312"/>
        </w:rPr>
        <w:drawing>
          <wp:anchor distT="0" distB="0" distL="114300" distR="114300" simplePos="0" relativeHeight="251659264" behindDoc="0" locked="0" layoutInCell="1" allowOverlap="1">
            <wp:simplePos x="0" y="0"/>
            <wp:positionH relativeFrom="column">
              <wp:posOffset>-24130</wp:posOffset>
            </wp:positionH>
            <wp:positionV relativeFrom="paragraph">
              <wp:posOffset>108585</wp:posOffset>
            </wp:positionV>
            <wp:extent cx="5536565" cy="2066925"/>
            <wp:effectExtent l="4445" t="4445" r="21590" b="508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t xml:space="preserve">表 </w:t>
      </w:r>
      <w:r>
        <w:fldChar w:fldCharType="begin"/>
      </w:r>
      <w:r>
        <w:instrText xml:space="preserve"> SEQ 表 \* ARABIC </w:instrText>
      </w:r>
      <w:r>
        <w:fldChar w:fldCharType="separate"/>
      </w:r>
      <w:r>
        <w:t>5</w:t>
      </w:r>
      <w:r>
        <w:fldChar w:fldCharType="end"/>
      </w:r>
      <w:r>
        <w:rPr>
          <w:rFonts w:hint="eastAsia"/>
        </w:rPr>
        <w:t>：收入与上年对比情况</w:t>
      </w:r>
    </w:p>
    <w:p>
      <w:pPr>
        <w:pStyle w:val="3"/>
      </w:pPr>
    </w:p>
    <w:p>
      <w:pPr>
        <w:pStyle w:val="3"/>
        <w:ind w:firstLine="2891" w:firstLineChars="900"/>
        <w:rPr>
          <w:rFonts w:ascii="仿宋_GB2312" w:hAnsi="仿宋" w:eastAsia="仿宋_GB2312"/>
          <w:b/>
          <w:sz w:val="32"/>
          <w:szCs w:val="32"/>
        </w:rPr>
      </w:pPr>
      <w:r>
        <w:rPr>
          <w:rFonts w:hint="eastAsia" w:ascii="仿宋_GB2312" w:hAnsi="仿宋" w:eastAsia="仿宋_GB2312"/>
          <w:b/>
          <w:sz w:val="32"/>
          <w:szCs w:val="32"/>
        </w:rPr>
        <w:drawing>
          <wp:anchor distT="0" distB="0" distL="114300" distR="114300" simplePos="0" relativeHeight="251660288" behindDoc="0" locked="0" layoutInCell="1" allowOverlap="1">
            <wp:simplePos x="0" y="0"/>
            <wp:positionH relativeFrom="column">
              <wp:posOffset>-33655</wp:posOffset>
            </wp:positionH>
            <wp:positionV relativeFrom="paragraph">
              <wp:posOffset>160655</wp:posOffset>
            </wp:positionV>
            <wp:extent cx="5316855" cy="2381885"/>
            <wp:effectExtent l="5080" t="4445" r="12065" b="1397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b/>
          <w:bCs/>
        </w:rPr>
        <w:t xml:space="preserve">表 </w:t>
      </w:r>
      <w:r>
        <w:rPr>
          <w:b/>
          <w:bCs/>
        </w:rPr>
        <w:fldChar w:fldCharType="begin"/>
      </w:r>
      <w:r>
        <w:rPr>
          <w:b/>
          <w:bCs/>
        </w:rPr>
        <w:instrText xml:space="preserve"> SEQ 表 \* ARABIC </w:instrText>
      </w:r>
      <w:r>
        <w:rPr>
          <w:b/>
          <w:bCs/>
        </w:rPr>
        <w:fldChar w:fldCharType="separate"/>
      </w:r>
      <w:r>
        <w:rPr>
          <w:b/>
          <w:bCs/>
        </w:rPr>
        <w:t>6</w:t>
      </w:r>
      <w:r>
        <w:rPr>
          <w:b/>
          <w:bCs/>
        </w:rPr>
        <w:fldChar w:fldCharType="end"/>
      </w:r>
      <w:r>
        <w:rPr>
          <w:rFonts w:hint="eastAsia"/>
          <w:b/>
          <w:bCs/>
        </w:rPr>
        <w:t>：支出与上年对比情况</w:t>
      </w:r>
    </w:p>
    <w:p>
      <w:pPr>
        <w:pStyle w:val="3"/>
        <w:ind w:firstLine="2811" w:firstLineChars="1400"/>
        <w:rPr>
          <w:b/>
          <w:bCs/>
        </w:rPr>
      </w:pPr>
    </w:p>
    <w:p>
      <w:pPr>
        <w:snapToGrid w:val="0"/>
        <w:spacing w:line="520" w:lineRule="exact"/>
        <w:ind w:firstLine="640" w:firstLineChars="200"/>
        <w:rPr>
          <w:rFonts w:eastAsia="方正仿宋简体"/>
          <w:bCs/>
          <w:sz w:val="32"/>
          <w:szCs w:val="32"/>
        </w:rPr>
      </w:pPr>
      <w:r>
        <w:rPr>
          <w:rFonts w:eastAsia="方正仿宋简体"/>
          <w:bCs/>
          <w:sz w:val="32"/>
          <w:szCs w:val="32"/>
        </w:rPr>
        <w:t>3．支出按经济分类科目分析。</w:t>
      </w:r>
    </w:p>
    <w:p>
      <w:pPr>
        <w:pStyle w:val="2"/>
        <w:ind w:firstLine="640" w:firstLineChars="200"/>
        <w:rPr>
          <w:rFonts w:eastAsia="方正仿宋简体"/>
          <w:bCs/>
          <w:color w:val="000000"/>
          <w:kern w:val="0"/>
          <w:sz w:val="32"/>
          <w:szCs w:val="32"/>
        </w:rPr>
      </w:pPr>
      <w:r>
        <w:rPr>
          <w:rFonts w:hint="eastAsia" w:eastAsia="方正仿宋简体"/>
          <w:bCs/>
          <w:color w:val="000000"/>
          <w:kern w:val="0"/>
          <w:sz w:val="32"/>
          <w:szCs w:val="32"/>
        </w:rPr>
        <w:t>（1）“三公”经费支出情况：</w:t>
      </w:r>
      <w:r>
        <w:rPr>
          <w:rFonts w:hint="eastAsia" w:ascii="方正仿宋简体" w:eastAsia="方正仿宋简体"/>
          <w:sz w:val="32"/>
          <w:szCs w:val="32"/>
        </w:rPr>
        <w:t>全年支出三公经费</w:t>
      </w:r>
      <w:r>
        <w:rPr>
          <w:rFonts w:hint="eastAsia" w:ascii="方正仿宋简体" w:eastAsia="方正仿宋简体"/>
          <w:sz w:val="32"/>
          <w:szCs w:val="32"/>
          <w:lang w:val="en-US" w:eastAsia="zh-CN"/>
        </w:rPr>
        <w:t>45500</w:t>
      </w:r>
      <w:r>
        <w:rPr>
          <w:rFonts w:hint="eastAsia" w:ascii="方正仿宋简体" w:eastAsia="方正仿宋简体"/>
          <w:sz w:val="32"/>
          <w:szCs w:val="32"/>
        </w:rPr>
        <w:t>元，比上年</w:t>
      </w:r>
      <w:r>
        <w:rPr>
          <w:rFonts w:hint="eastAsia" w:ascii="方正仿宋简体" w:eastAsia="方正仿宋简体"/>
          <w:sz w:val="32"/>
          <w:szCs w:val="32"/>
          <w:lang w:val="en-US" w:eastAsia="zh-CN"/>
        </w:rPr>
        <w:t>49800</w:t>
      </w:r>
      <w:r>
        <w:rPr>
          <w:rFonts w:hint="eastAsia" w:ascii="方正仿宋简体" w:eastAsia="方正仿宋简体"/>
          <w:sz w:val="32"/>
          <w:szCs w:val="32"/>
        </w:rPr>
        <w:t>元减</w:t>
      </w:r>
      <w:r>
        <w:rPr>
          <w:rFonts w:hint="eastAsia" w:ascii="方正仿宋简体" w:eastAsia="方正仿宋简体"/>
          <w:sz w:val="32"/>
          <w:szCs w:val="32"/>
          <w:lang w:val="en-US" w:eastAsia="zh-CN"/>
        </w:rPr>
        <w:t>4300</w:t>
      </w:r>
      <w:r>
        <w:rPr>
          <w:rFonts w:hint="eastAsia" w:ascii="方正仿宋简体" w:eastAsia="方正仿宋简体"/>
          <w:sz w:val="32"/>
          <w:szCs w:val="32"/>
        </w:rPr>
        <w:t>元，减少</w:t>
      </w:r>
      <w:r>
        <w:rPr>
          <w:rFonts w:hint="eastAsia" w:ascii="方正仿宋简体" w:eastAsia="方正仿宋简体"/>
          <w:sz w:val="32"/>
          <w:szCs w:val="32"/>
          <w:lang w:val="en-US" w:eastAsia="zh-CN"/>
        </w:rPr>
        <w:t>8.63</w:t>
      </w:r>
      <w:r>
        <w:rPr>
          <w:rFonts w:hint="eastAsia" w:ascii="方正仿宋简体" w:eastAsia="方正仿宋简体"/>
          <w:sz w:val="32"/>
          <w:szCs w:val="32"/>
        </w:rPr>
        <w:t>％。其中因公出国0元、公务用车</w:t>
      </w:r>
      <w:r>
        <w:rPr>
          <w:rFonts w:hint="eastAsia" w:ascii="方正仿宋简体" w:eastAsia="方正仿宋简体"/>
          <w:sz w:val="32"/>
          <w:szCs w:val="32"/>
          <w:lang w:val="en-US" w:eastAsia="zh-CN"/>
        </w:rPr>
        <w:t>25500</w:t>
      </w:r>
      <w:r>
        <w:rPr>
          <w:rFonts w:hint="eastAsia" w:ascii="方正仿宋简体" w:eastAsia="方正仿宋简体"/>
          <w:sz w:val="32"/>
          <w:szCs w:val="32"/>
        </w:rPr>
        <w:t>元、公务接待费20000元。</w:t>
      </w:r>
    </w:p>
    <w:p>
      <w:pPr>
        <w:pStyle w:val="2"/>
        <w:ind w:firstLine="2880" w:firstLineChars="900"/>
        <w:rPr>
          <w:rFonts w:ascii="Arial" w:hAnsi="Arial" w:eastAsia="黑体"/>
          <w:sz w:val="20"/>
        </w:rPr>
      </w:pPr>
      <w:r>
        <w:rPr>
          <w:rFonts w:hint="eastAsia" w:ascii="仿宋_GB2312" w:hAnsi="仿宋" w:eastAsia="仿宋_GB2312"/>
          <w:sz w:val="32"/>
          <w:szCs w:val="32"/>
        </w:rPr>
        <w:drawing>
          <wp:anchor distT="0" distB="0" distL="114300" distR="114300" simplePos="0" relativeHeight="251661312" behindDoc="0" locked="0" layoutInCell="1" allowOverlap="1">
            <wp:simplePos x="0" y="0"/>
            <wp:positionH relativeFrom="column">
              <wp:posOffset>-55880</wp:posOffset>
            </wp:positionH>
            <wp:positionV relativeFrom="paragraph">
              <wp:posOffset>19050</wp:posOffset>
            </wp:positionV>
            <wp:extent cx="5526405" cy="1848485"/>
            <wp:effectExtent l="4445" t="4445" r="12700" b="1397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Arial" w:hAnsi="Arial" w:eastAsia="黑体"/>
          <w:sz w:val="20"/>
        </w:rPr>
        <w:t xml:space="preserve">表 </w:t>
      </w:r>
      <w:r>
        <w:rPr>
          <w:rFonts w:ascii="Arial" w:hAnsi="Arial" w:eastAsia="黑体"/>
          <w:sz w:val="20"/>
        </w:rPr>
        <w:fldChar w:fldCharType="begin"/>
      </w:r>
      <w:r>
        <w:rPr>
          <w:rFonts w:ascii="Arial" w:hAnsi="Arial" w:eastAsia="黑体"/>
          <w:sz w:val="20"/>
        </w:rPr>
        <w:instrText xml:space="preserve"> SEQ 表 \* ARABIC </w:instrText>
      </w:r>
      <w:r>
        <w:rPr>
          <w:rFonts w:ascii="Arial" w:hAnsi="Arial" w:eastAsia="黑体"/>
          <w:sz w:val="20"/>
        </w:rPr>
        <w:fldChar w:fldCharType="separate"/>
      </w:r>
      <w:r>
        <w:rPr>
          <w:rFonts w:ascii="Arial" w:hAnsi="Arial" w:eastAsia="黑体"/>
          <w:sz w:val="20"/>
        </w:rPr>
        <w:t>7</w:t>
      </w:r>
      <w:r>
        <w:rPr>
          <w:rFonts w:ascii="Arial" w:hAnsi="Arial" w:eastAsia="黑体"/>
          <w:sz w:val="20"/>
        </w:rPr>
        <w:fldChar w:fldCharType="end"/>
      </w:r>
      <w:r>
        <w:rPr>
          <w:rFonts w:hint="eastAsia" w:ascii="Arial" w:hAnsi="Arial" w:eastAsia="黑体"/>
          <w:sz w:val="20"/>
        </w:rPr>
        <w:t>：三公经费上下年对比情况</w:t>
      </w:r>
    </w:p>
    <w:p>
      <w:pPr>
        <w:pStyle w:val="3"/>
        <w:rPr>
          <w:rFonts w:ascii="仿宋_GB2312" w:hAnsi="仿宋" w:eastAsia="宋体"/>
          <w:sz w:val="32"/>
          <w:szCs w:val="32"/>
        </w:rPr>
      </w:pPr>
      <w:r>
        <w:rPr>
          <w:rFonts w:hint="eastAsia" w:ascii="仿宋_GB2312" w:hAnsi="仿宋" w:eastAsia="宋体"/>
          <w:sz w:val="32"/>
          <w:szCs w:val="32"/>
        </w:rPr>
        <w:drawing>
          <wp:inline distT="0" distB="0" distL="114300" distR="114300">
            <wp:extent cx="5506720" cy="1791970"/>
            <wp:effectExtent l="4445" t="4445" r="13335" b="1333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3"/>
        <w:ind w:firstLine="3200" w:firstLineChars="1600"/>
        <w:rPr>
          <w:rFonts w:ascii="仿宋_GB2312" w:hAnsi="仿宋" w:eastAsia="仿宋_GB2312"/>
          <w:sz w:val="32"/>
          <w:szCs w:val="32"/>
        </w:rPr>
      </w:pPr>
      <w:r>
        <w:t xml:space="preserve">表 </w:t>
      </w:r>
      <w:r>
        <w:fldChar w:fldCharType="begin"/>
      </w:r>
      <w:r>
        <w:instrText xml:space="preserve"> SEQ 表 \* ARABIC </w:instrText>
      </w:r>
      <w:r>
        <w:fldChar w:fldCharType="separate"/>
      </w:r>
      <w:r>
        <w:t>8</w:t>
      </w:r>
      <w:r>
        <w:fldChar w:fldCharType="end"/>
      </w:r>
      <w:r>
        <w:rPr>
          <w:rFonts w:hint="eastAsia"/>
        </w:rPr>
        <w:t>：预决算对比情况</w:t>
      </w:r>
    </w:p>
    <w:p>
      <w:pPr>
        <w:numPr>
          <w:ilvl w:val="0"/>
          <w:numId w:val="2"/>
        </w:numPr>
        <w:snapToGrid w:val="0"/>
        <w:spacing w:line="520" w:lineRule="exact"/>
        <w:ind w:firstLine="640" w:firstLineChars="200"/>
        <w:rPr>
          <w:rFonts w:eastAsia="方正仿宋简体"/>
          <w:sz w:val="32"/>
          <w:szCs w:val="32"/>
        </w:rPr>
      </w:pPr>
      <w:r>
        <w:rPr>
          <w:rFonts w:hint="eastAsia" w:eastAsia="方正仿宋简体"/>
          <w:sz w:val="32"/>
          <w:szCs w:val="32"/>
        </w:rPr>
        <w:t>培训费支出情况：</w:t>
      </w:r>
    </w:p>
    <w:p>
      <w:pPr>
        <w:pStyle w:val="2"/>
        <w:rPr>
          <w:rFonts w:hint="eastAsia" w:eastAsia="方正仿宋简体"/>
          <w:sz w:val="32"/>
          <w:szCs w:val="32"/>
          <w:lang w:val="en-US" w:eastAsia="zh-CN"/>
        </w:rPr>
      </w:pPr>
      <w:r>
        <w:rPr>
          <w:rFonts w:hint="eastAsia" w:eastAsia="方正仿宋简体"/>
          <w:sz w:val="32"/>
          <w:szCs w:val="32"/>
          <w:lang w:val="en-US" w:eastAsia="zh-CN"/>
        </w:rPr>
        <w:t xml:space="preserve">     无</w:t>
      </w:r>
    </w:p>
    <w:p>
      <w:pPr>
        <w:pStyle w:val="2"/>
        <w:numPr>
          <w:ilvl w:val="0"/>
          <w:numId w:val="3"/>
        </w:numPr>
        <w:ind w:left="800" w:leftChars="0" w:firstLine="0" w:firstLineChars="0"/>
        <w:rPr>
          <w:rFonts w:hint="eastAsia" w:eastAsia="方正仿宋简体"/>
          <w:sz w:val="32"/>
          <w:szCs w:val="32"/>
          <w:lang w:val="en-US" w:eastAsia="zh-CN"/>
        </w:rPr>
      </w:pPr>
      <w:r>
        <w:rPr>
          <w:rFonts w:hint="eastAsia" w:eastAsia="方正仿宋简体"/>
          <w:sz w:val="32"/>
          <w:szCs w:val="32"/>
          <w:lang w:val="en-US" w:eastAsia="zh-CN"/>
        </w:rPr>
        <w:t>财政拨款收入、支出分析</w:t>
      </w:r>
    </w:p>
    <w:p>
      <w:pPr>
        <w:ind w:firstLine="844" w:firstLineChars="264"/>
        <w:rPr>
          <w:rFonts w:hint="eastAsia" w:ascii="方正仿宋简体" w:eastAsia="方正仿宋简体"/>
          <w:sz w:val="32"/>
          <w:szCs w:val="32"/>
        </w:rPr>
      </w:pPr>
      <w:r>
        <w:rPr>
          <w:rFonts w:hint="eastAsia" w:ascii="方正仿宋简体" w:eastAsia="方正仿宋简体"/>
          <w:sz w:val="32"/>
          <w:szCs w:val="32"/>
        </w:rPr>
        <w:t>全年财政拨款收入</w:t>
      </w:r>
      <w:r>
        <w:rPr>
          <w:rFonts w:hint="eastAsia" w:ascii="方正仿宋简体" w:eastAsia="方正仿宋简体"/>
          <w:sz w:val="32"/>
          <w:szCs w:val="32"/>
          <w:lang w:val="en-US" w:eastAsia="zh-CN"/>
        </w:rPr>
        <w:t>1477910.78</w:t>
      </w:r>
      <w:r>
        <w:rPr>
          <w:rFonts w:hint="eastAsia" w:ascii="方正仿宋简体" w:eastAsia="方正仿宋简体"/>
          <w:sz w:val="32"/>
          <w:szCs w:val="32"/>
        </w:rPr>
        <w:t>元。财政拨款支出</w:t>
      </w:r>
      <w:r>
        <w:rPr>
          <w:rFonts w:hint="eastAsia" w:ascii="方正仿宋简体" w:eastAsia="方正仿宋简体"/>
          <w:sz w:val="32"/>
          <w:szCs w:val="32"/>
          <w:lang w:val="en-US" w:eastAsia="zh-CN"/>
        </w:rPr>
        <w:t>1477910.78</w:t>
      </w:r>
      <w:r>
        <w:rPr>
          <w:rFonts w:hint="eastAsia" w:ascii="方正仿宋简体" w:eastAsia="方正仿宋简体"/>
          <w:sz w:val="32"/>
          <w:szCs w:val="32"/>
        </w:rPr>
        <w:t>元，其中基本支出</w:t>
      </w:r>
      <w:r>
        <w:rPr>
          <w:rFonts w:hint="eastAsia" w:ascii="方正仿宋简体" w:eastAsia="方正仿宋简体"/>
          <w:sz w:val="32"/>
          <w:szCs w:val="32"/>
          <w:lang w:val="en-US" w:eastAsia="zh-CN"/>
        </w:rPr>
        <w:t>1398154.12</w:t>
      </w:r>
      <w:r>
        <w:rPr>
          <w:rFonts w:hint="eastAsia" w:ascii="方正仿宋简体" w:eastAsia="方正仿宋简体"/>
          <w:sz w:val="32"/>
          <w:szCs w:val="32"/>
        </w:rPr>
        <w:t>元</w:t>
      </w:r>
      <w:r>
        <w:rPr>
          <w:rFonts w:hint="eastAsia" w:ascii="方正仿宋简体" w:eastAsia="方正仿宋简体"/>
          <w:sz w:val="32"/>
          <w:szCs w:val="32"/>
          <w:lang w:eastAsia="zh-CN"/>
        </w:rPr>
        <w:t>，</w:t>
      </w:r>
      <w:r>
        <w:rPr>
          <w:rFonts w:hint="eastAsia" w:ascii="方正仿宋简体" w:eastAsia="方正仿宋简体"/>
          <w:sz w:val="32"/>
          <w:szCs w:val="32"/>
        </w:rPr>
        <w:t>占支出的</w:t>
      </w:r>
      <w:r>
        <w:rPr>
          <w:rFonts w:hint="eastAsia" w:ascii="方正仿宋简体" w:eastAsia="方正仿宋简体"/>
          <w:sz w:val="32"/>
          <w:szCs w:val="32"/>
          <w:lang w:val="en-US" w:eastAsia="zh-CN"/>
        </w:rPr>
        <w:t>94.60</w:t>
      </w:r>
      <w:r>
        <w:rPr>
          <w:rFonts w:hint="eastAsia" w:ascii="方正仿宋简体" w:eastAsia="方正仿宋简体"/>
          <w:sz w:val="32"/>
          <w:szCs w:val="32"/>
        </w:rPr>
        <w:t>％</w:t>
      </w:r>
      <w:r>
        <w:rPr>
          <w:rFonts w:hint="eastAsia" w:ascii="方正仿宋简体" w:eastAsia="方正仿宋简体"/>
          <w:sz w:val="32"/>
          <w:szCs w:val="32"/>
          <w:lang w:eastAsia="zh-CN"/>
        </w:rPr>
        <w:t>；公用经费</w:t>
      </w:r>
      <w:r>
        <w:rPr>
          <w:rFonts w:hint="eastAsia" w:ascii="方正仿宋简体" w:eastAsia="方正仿宋简体"/>
          <w:sz w:val="32"/>
          <w:szCs w:val="32"/>
          <w:lang w:val="en-US" w:eastAsia="zh-CN"/>
        </w:rPr>
        <w:t>79756.66元</w:t>
      </w:r>
      <w:r>
        <w:rPr>
          <w:rFonts w:hint="eastAsia" w:ascii="方正仿宋简体" w:eastAsia="方正仿宋简体"/>
          <w:sz w:val="32"/>
          <w:szCs w:val="32"/>
        </w:rPr>
        <w:t>占支出的</w:t>
      </w:r>
      <w:r>
        <w:rPr>
          <w:rFonts w:hint="eastAsia" w:ascii="方正仿宋简体" w:eastAsia="方正仿宋简体"/>
          <w:sz w:val="32"/>
          <w:szCs w:val="32"/>
          <w:lang w:val="en-US" w:eastAsia="zh-CN"/>
        </w:rPr>
        <w:t>5.40</w:t>
      </w:r>
      <w:r>
        <w:rPr>
          <w:rFonts w:hint="eastAsia" w:ascii="方正仿宋简体" w:eastAsia="方正仿宋简体"/>
          <w:sz w:val="32"/>
          <w:szCs w:val="32"/>
        </w:rPr>
        <w:t>％；其中一般公共服务支出</w:t>
      </w:r>
      <w:r>
        <w:rPr>
          <w:rFonts w:hint="eastAsia" w:ascii="方正仿宋简体" w:eastAsia="方正仿宋简体"/>
          <w:sz w:val="32"/>
          <w:szCs w:val="32"/>
          <w:lang w:val="en-US" w:eastAsia="zh-CN"/>
        </w:rPr>
        <w:t>604288.66</w:t>
      </w:r>
      <w:r>
        <w:rPr>
          <w:rFonts w:hint="eastAsia" w:ascii="方正仿宋简体" w:eastAsia="方正仿宋简体"/>
          <w:sz w:val="32"/>
          <w:szCs w:val="32"/>
        </w:rPr>
        <w:t>元占总支出</w:t>
      </w:r>
      <w:r>
        <w:rPr>
          <w:rFonts w:hint="eastAsia" w:ascii="方正仿宋简体" w:eastAsia="方正仿宋简体"/>
          <w:sz w:val="32"/>
          <w:szCs w:val="32"/>
          <w:lang w:val="en-US" w:eastAsia="zh-CN"/>
        </w:rPr>
        <w:t>40.89</w:t>
      </w:r>
      <w:r>
        <w:rPr>
          <w:rFonts w:hint="eastAsia" w:ascii="方正仿宋简体" w:eastAsia="方正仿宋简体"/>
          <w:sz w:val="32"/>
          <w:szCs w:val="32"/>
        </w:rPr>
        <w:t>%、社会保障和就业支出</w:t>
      </w:r>
      <w:r>
        <w:rPr>
          <w:rFonts w:hint="eastAsia" w:ascii="方正仿宋简体" w:eastAsia="方正仿宋简体"/>
          <w:sz w:val="32"/>
          <w:szCs w:val="32"/>
          <w:lang w:val="en-US" w:eastAsia="zh-CN"/>
        </w:rPr>
        <w:t>735535</w:t>
      </w:r>
      <w:r>
        <w:rPr>
          <w:rFonts w:hint="eastAsia" w:ascii="方正仿宋简体" w:eastAsia="方正仿宋简体"/>
          <w:sz w:val="32"/>
          <w:szCs w:val="32"/>
        </w:rPr>
        <w:t>元占总支出的</w:t>
      </w:r>
      <w:r>
        <w:rPr>
          <w:rFonts w:hint="eastAsia" w:ascii="方正仿宋简体" w:eastAsia="方正仿宋简体"/>
          <w:sz w:val="32"/>
          <w:szCs w:val="32"/>
          <w:lang w:val="en-US" w:eastAsia="zh-CN"/>
        </w:rPr>
        <w:t>49.77</w:t>
      </w:r>
      <w:r>
        <w:rPr>
          <w:rFonts w:hint="eastAsia" w:ascii="方正仿宋简体" w:eastAsia="方正仿宋简体"/>
          <w:sz w:val="32"/>
          <w:szCs w:val="32"/>
        </w:rPr>
        <w:t>%、卫生健康支出</w:t>
      </w:r>
      <w:r>
        <w:rPr>
          <w:rFonts w:hint="eastAsia" w:ascii="方正仿宋简体" w:eastAsia="方正仿宋简体"/>
          <w:sz w:val="32"/>
          <w:szCs w:val="32"/>
          <w:lang w:val="en-US" w:eastAsia="zh-CN"/>
        </w:rPr>
        <w:t>33920.12</w:t>
      </w:r>
      <w:r>
        <w:rPr>
          <w:rFonts w:hint="eastAsia" w:ascii="方正仿宋简体" w:eastAsia="方正仿宋简体"/>
          <w:sz w:val="32"/>
          <w:szCs w:val="32"/>
        </w:rPr>
        <w:t>元占总支出</w:t>
      </w:r>
      <w:r>
        <w:rPr>
          <w:rFonts w:hint="eastAsia" w:ascii="方正仿宋简体" w:eastAsia="方正仿宋简体"/>
          <w:sz w:val="32"/>
          <w:szCs w:val="32"/>
          <w:lang w:val="en-US" w:eastAsia="zh-CN"/>
        </w:rPr>
        <w:t>2.28</w:t>
      </w:r>
      <w:r>
        <w:rPr>
          <w:rFonts w:hint="eastAsia" w:ascii="方正仿宋简体" w:eastAsia="方正仿宋简体"/>
          <w:sz w:val="32"/>
          <w:szCs w:val="32"/>
        </w:rPr>
        <w:t>%、</w:t>
      </w:r>
      <w:r>
        <w:rPr>
          <w:rFonts w:hint="eastAsia" w:ascii="方正仿宋简体" w:eastAsia="方正仿宋简体"/>
          <w:sz w:val="32"/>
          <w:szCs w:val="32"/>
          <w:lang w:eastAsia="zh-CN"/>
        </w:rPr>
        <w:t>农林水支出</w:t>
      </w:r>
      <w:r>
        <w:rPr>
          <w:rFonts w:hint="eastAsia" w:ascii="方正仿宋简体" w:eastAsia="方正仿宋简体"/>
          <w:sz w:val="32"/>
          <w:szCs w:val="32"/>
          <w:lang w:val="en-US" w:eastAsia="zh-CN"/>
        </w:rPr>
        <w:t>50600元</w:t>
      </w:r>
      <w:r>
        <w:rPr>
          <w:rFonts w:hint="eastAsia" w:ascii="方正仿宋简体" w:eastAsia="方正仿宋简体"/>
          <w:sz w:val="32"/>
          <w:szCs w:val="32"/>
          <w:lang w:eastAsia="zh-CN"/>
        </w:rPr>
        <w:t>占总支出</w:t>
      </w:r>
      <w:r>
        <w:rPr>
          <w:rFonts w:hint="eastAsia" w:ascii="方正仿宋简体" w:eastAsia="方正仿宋简体"/>
          <w:sz w:val="32"/>
          <w:szCs w:val="32"/>
        </w:rPr>
        <w:t>的</w:t>
      </w:r>
      <w:r>
        <w:rPr>
          <w:rFonts w:hint="eastAsia" w:ascii="方正仿宋简体" w:eastAsia="方正仿宋简体"/>
          <w:sz w:val="32"/>
          <w:szCs w:val="32"/>
          <w:lang w:val="en-US" w:eastAsia="zh-CN"/>
        </w:rPr>
        <w:t>3.42</w:t>
      </w:r>
      <w:r>
        <w:rPr>
          <w:rFonts w:hint="eastAsia" w:ascii="方正仿宋简体" w:eastAsia="方正仿宋简体"/>
          <w:sz w:val="32"/>
          <w:szCs w:val="32"/>
        </w:rPr>
        <w:t>%</w:t>
      </w: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w:t>
      </w:r>
      <w:r>
        <w:rPr>
          <w:rFonts w:hint="eastAsia" w:ascii="方正仿宋简体" w:eastAsia="方正仿宋简体"/>
          <w:sz w:val="32"/>
          <w:szCs w:val="32"/>
        </w:rPr>
        <w:t>住房保障支出</w:t>
      </w:r>
      <w:r>
        <w:rPr>
          <w:rFonts w:hint="eastAsia" w:ascii="方正仿宋简体" w:eastAsia="方正仿宋简体"/>
          <w:sz w:val="32"/>
          <w:szCs w:val="32"/>
          <w:lang w:val="en-US" w:eastAsia="zh-CN"/>
        </w:rPr>
        <w:t>53567</w:t>
      </w:r>
      <w:r>
        <w:rPr>
          <w:rFonts w:hint="eastAsia" w:ascii="方正仿宋简体" w:eastAsia="方正仿宋简体"/>
          <w:sz w:val="32"/>
          <w:szCs w:val="32"/>
        </w:rPr>
        <w:t>元占总支出的</w:t>
      </w:r>
      <w:r>
        <w:rPr>
          <w:rFonts w:hint="eastAsia" w:ascii="方正仿宋简体" w:eastAsia="方正仿宋简体"/>
          <w:sz w:val="32"/>
          <w:szCs w:val="32"/>
          <w:lang w:val="en-US" w:eastAsia="zh-CN"/>
        </w:rPr>
        <w:t>3.64</w:t>
      </w:r>
      <w:r>
        <w:rPr>
          <w:rFonts w:hint="eastAsia" w:ascii="方正仿宋简体" w:eastAsia="方正仿宋简体"/>
          <w:sz w:val="32"/>
          <w:szCs w:val="32"/>
        </w:rPr>
        <w:t>%。</w:t>
      </w:r>
    </w:p>
    <w:p>
      <w:pPr>
        <w:pStyle w:val="2"/>
        <w:numPr>
          <w:ilvl w:val="0"/>
          <w:numId w:val="0"/>
        </w:numPr>
        <w:ind w:left="800" w:leftChars="0"/>
        <w:rPr>
          <w:rFonts w:hint="default" w:eastAsia="方正仿宋简体"/>
          <w:sz w:val="32"/>
          <w:szCs w:val="32"/>
          <w:lang w:val="en-US" w:eastAsia="zh-CN"/>
        </w:rPr>
      </w:pPr>
      <w:r>
        <w:rPr>
          <w:rFonts w:hint="eastAsia" w:eastAsia="仿宋_GB2312"/>
        </w:rPr>
        <w:drawing>
          <wp:inline distT="0" distB="0" distL="114300" distR="114300">
            <wp:extent cx="5434965" cy="3371850"/>
            <wp:effectExtent l="4445" t="4445" r="8890"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autoSpaceDE w:val="0"/>
        <w:autoSpaceDN w:val="0"/>
        <w:spacing w:line="578" w:lineRule="exact"/>
        <w:ind w:firstLine="643" w:firstLineChars="200"/>
        <w:rPr>
          <w:rFonts w:eastAsia="方正楷体简体"/>
          <w:b/>
          <w:sz w:val="32"/>
          <w:szCs w:val="32"/>
        </w:rPr>
      </w:pPr>
      <w:r>
        <w:rPr>
          <w:rFonts w:eastAsia="方正楷体简体"/>
          <w:b/>
          <w:sz w:val="32"/>
          <w:szCs w:val="32"/>
        </w:rPr>
        <w:t>（三）年末结转和结余情况。</w:t>
      </w:r>
    </w:p>
    <w:p>
      <w:pPr>
        <w:pStyle w:val="2"/>
        <w:autoSpaceDE w:val="0"/>
        <w:autoSpaceDN w:val="0"/>
        <w:spacing w:line="578" w:lineRule="exact"/>
        <w:ind w:firstLine="640"/>
        <w:rPr>
          <w:rFonts w:hint="eastAsia" w:eastAsia="方正仿宋简体"/>
          <w:bCs/>
          <w:color w:val="000000"/>
          <w:kern w:val="0"/>
          <w:sz w:val="32"/>
          <w:szCs w:val="32"/>
        </w:rPr>
      </w:pPr>
      <w:r>
        <w:rPr>
          <w:rFonts w:hint="eastAsia" w:eastAsia="方正仿宋简体"/>
          <w:bCs/>
          <w:color w:val="000000"/>
          <w:kern w:val="0"/>
          <w:sz w:val="32"/>
          <w:szCs w:val="32"/>
        </w:rPr>
        <w:t>年末基本支出无结余结转资金。</w:t>
      </w:r>
    </w:p>
    <w:p>
      <w:pPr>
        <w:pStyle w:val="2"/>
        <w:numPr>
          <w:ilvl w:val="0"/>
          <w:numId w:val="4"/>
        </w:numPr>
        <w:autoSpaceDE w:val="0"/>
        <w:autoSpaceDN w:val="0"/>
        <w:spacing w:line="578" w:lineRule="exact"/>
        <w:ind w:firstLine="640"/>
        <w:rPr>
          <w:rFonts w:hint="eastAsia" w:ascii="Times New Roman" w:hAnsi="Times New Roman" w:eastAsia="方正楷体简体" w:cs="Times New Roman"/>
          <w:b/>
          <w:kern w:val="2"/>
          <w:sz w:val="32"/>
          <w:szCs w:val="32"/>
          <w:lang w:val="en-US" w:eastAsia="zh-CN" w:bidi="ar-SA"/>
        </w:rPr>
      </w:pPr>
      <w:r>
        <w:rPr>
          <w:rFonts w:hint="eastAsia" w:ascii="Times New Roman" w:hAnsi="Times New Roman" w:eastAsia="方正楷体简体" w:cs="Times New Roman"/>
          <w:b/>
          <w:kern w:val="2"/>
          <w:sz w:val="32"/>
          <w:szCs w:val="32"/>
          <w:lang w:val="en-US" w:eastAsia="zh-CN" w:bidi="ar-SA"/>
        </w:rPr>
        <w:t>与预算支出相关的其他指标分析</w:t>
      </w:r>
    </w:p>
    <w:p>
      <w:pPr>
        <w:ind w:firstLine="643" w:firstLineChars="200"/>
        <w:rPr>
          <w:rFonts w:hint="default" w:ascii="Times New Roman" w:hAnsi="Times New Roman" w:eastAsia="仿宋_GB2312" w:cs="Times New Roman"/>
          <w:spacing w:val="-20"/>
          <w:sz w:val="32"/>
          <w:szCs w:val="32"/>
        </w:rPr>
      </w:pPr>
      <w:r>
        <w:rPr>
          <w:rFonts w:hint="eastAsia" w:ascii="Times New Roman" w:hAnsi="Times New Roman" w:eastAsia="方正楷体简体" w:cs="Times New Roman"/>
          <w:b/>
          <w:kern w:val="2"/>
          <w:sz w:val="32"/>
          <w:szCs w:val="32"/>
          <w:lang w:val="en-US" w:eastAsia="zh-CN" w:bidi="ar-SA"/>
        </w:rPr>
        <w:t xml:space="preserve"> </w:t>
      </w:r>
      <w:r>
        <w:rPr>
          <w:rFonts w:hint="eastAsia" w:ascii="方正仿宋简体" w:eastAsia="方正仿宋简体"/>
          <w:sz w:val="32"/>
          <w:szCs w:val="32"/>
        </w:rPr>
        <w:t>年末资产总计</w:t>
      </w:r>
      <w:r>
        <w:rPr>
          <w:rFonts w:hint="eastAsia" w:ascii="方正仿宋简体" w:eastAsia="方正仿宋简体"/>
          <w:sz w:val="32"/>
          <w:szCs w:val="32"/>
          <w:lang w:val="en-US" w:eastAsia="zh-CN"/>
        </w:rPr>
        <w:t>612307.08</w:t>
      </w:r>
      <w:r>
        <w:rPr>
          <w:rFonts w:hint="eastAsia" w:ascii="方正仿宋简体" w:eastAsia="方正仿宋简体"/>
          <w:sz w:val="32"/>
          <w:szCs w:val="32"/>
        </w:rPr>
        <w:t>元，比上年</w:t>
      </w:r>
      <w:r>
        <w:rPr>
          <w:rFonts w:hint="eastAsia" w:ascii="方正仿宋简体" w:eastAsia="方正仿宋简体"/>
          <w:sz w:val="32"/>
          <w:szCs w:val="32"/>
          <w:lang w:val="en-US" w:eastAsia="zh-CN"/>
        </w:rPr>
        <w:t>650381.69</w:t>
      </w:r>
      <w:r>
        <w:rPr>
          <w:rFonts w:hint="eastAsia" w:ascii="方正仿宋简体" w:eastAsia="方正仿宋简体"/>
          <w:sz w:val="32"/>
          <w:szCs w:val="32"/>
        </w:rPr>
        <w:t>元，减少</w:t>
      </w:r>
      <w:r>
        <w:rPr>
          <w:rFonts w:hint="eastAsia" w:ascii="方正仿宋简体" w:eastAsia="方正仿宋简体"/>
          <w:sz w:val="32"/>
          <w:szCs w:val="32"/>
          <w:lang w:val="en-US" w:eastAsia="zh-CN"/>
        </w:rPr>
        <w:t>38074.61</w:t>
      </w:r>
      <w:r>
        <w:rPr>
          <w:rFonts w:hint="eastAsia" w:ascii="方正仿宋简体" w:eastAsia="方正仿宋简体"/>
          <w:sz w:val="32"/>
          <w:szCs w:val="32"/>
        </w:rPr>
        <w:t>元，减少5</w:t>
      </w:r>
      <w:r>
        <w:rPr>
          <w:rFonts w:hint="eastAsia" w:ascii="方正仿宋简体" w:eastAsia="方正仿宋简体"/>
          <w:sz w:val="32"/>
          <w:szCs w:val="32"/>
          <w:lang w:val="en-US" w:eastAsia="zh-CN"/>
        </w:rPr>
        <w:t>.85</w:t>
      </w:r>
      <w:r>
        <w:rPr>
          <w:rFonts w:hint="eastAsia" w:ascii="方正仿宋简体" w:eastAsia="方正仿宋简体"/>
          <w:sz w:val="32"/>
          <w:szCs w:val="32"/>
        </w:rPr>
        <w:t>％。减少的主要原因是固定资产原值1396750元20</w:t>
      </w:r>
      <w:r>
        <w:rPr>
          <w:rFonts w:hint="eastAsia" w:ascii="方正仿宋简体" w:eastAsia="方正仿宋简体"/>
          <w:sz w:val="32"/>
          <w:szCs w:val="32"/>
          <w:lang w:val="en-US" w:eastAsia="zh-CN"/>
        </w:rPr>
        <w:t>20</w:t>
      </w:r>
      <w:r>
        <w:rPr>
          <w:rFonts w:hint="eastAsia" w:ascii="方正仿宋简体" w:eastAsia="方正仿宋简体"/>
          <w:sz w:val="32"/>
          <w:szCs w:val="32"/>
        </w:rPr>
        <w:t>年累计折旧</w:t>
      </w:r>
      <w:r>
        <w:rPr>
          <w:rFonts w:hint="eastAsia" w:ascii="方正仿宋简体" w:eastAsia="方正仿宋简体"/>
          <w:sz w:val="32"/>
          <w:szCs w:val="32"/>
          <w:lang w:val="en-US" w:eastAsia="zh-CN"/>
        </w:rPr>
        <w:t>1050088.58</w:t>
      </w:r>
      <w:r>
        <w:rPr>
          <w:rFonts w:hint="eastAsia" w:ascii="方正仿宋简体" w:eastAsia="方正仿宋简体"/>
          <w:sz w:val="32"/>
          <w:szCs w:val="32"/>
        </w:rPr>
        <w:t>元，固定资产净值为</w:t>
      </w:r>
      <w:r>
        <w:rPr>
          <w:rFonts w:hint="eastAsia" w:ascii="方正仿宋简体" w:eastAsia="方正仿宋简体"/>
          <w:sz w:val="32"/>
          <w:szCs w:val="32"/>
          <w:lang w:val="en-US" w:eastAsia="zh-CN"/>
        </w:rPr>
        <w:t>346661.42</w:t>
      </w:r>
      <w:r>
        <w:rPr>
          <w:rFonts w:hint="eastAsia" w:ascii="方正仿宋简体" w:eastAsia="方正仿宋简体"/>
          <w:sz w:val="32"/>
          <w:szCs w:val="32"/>
        </w:rPr>
        <w:t>元。</w:t>
      </w:r>
    </w:p>
    <w:p>
      <w:pPr>
        <w:keepNext w:val="0"/>
        <w:keepLines w:val="0"/>
        <w:pageBreakBefore w:val="0"/>
        <w:wordWrap/>
        <w:topLinePunct w:val="0"/>
        <w:bidi w:val="0"/>
        <w:snapToGrid w:val="0"/>
        <w:spacing w:beforeAutospacing="0" w:afterAutospacing="0" w:line="578" w:lineRule="exact"/>
        <w:ind w:left="0" w:leftChars="0"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kern w:val="2"/>
          <w:sz w:val="32"/>
          <w:szCs w:val="32"/>
          <w:lang w:val="en-US" w:eastAsia="zh-CN" w:bidi="ar-SA"/>
        </w:rPr>
        <w:t>（2）</w:t>
      </w:r>
      <w:r>
        <w:rPr>
          <w:rFonts w:hint="default" w:ascii="Times New Roman" w:hAnsi="Times New Roman" w:eastAsia="楷体_GB2312" w:cs="Times New Roman"/>
          <w:b/>
          <w:sz w:val="32"/>
          <w:szCs w:val="32"/>
        </w:rPr>
        <w:t>负债信息情况</w:t>
      </w:r>
    </w:p>
    <w:p>
      <w:pPr>
        <w:keepNext w:val="0"/>
        <w:keepLines w:val="0"/>
        <w:pageBreakBefore w:val="0"/>
        <w:wordWrap/>
        <w:topLinePunct w:val="0"/>
        <w:bidi w:val="0"/>
        <w:snapToGrid w:val="0"/>
        <w:spacing w:beforeAutospacing="0" w:afterAutospacing="0" w:line="578" w:lineRule="exact"/>
        <w:ind w:left="0" w:leftChars="0" w:firstLine="560" w:firstLineChars="200"/>
        <w:rPr>
          <w:rFonts w:hint="default" w:ascii="Times New Roman" w:hAnsi="Times New Roman" w:eastAsia="仿宋_GB2312" w:cs="Times New Roman"/>
          <w:b/>
          <w:kern w:val="2"/>
          <w:sz w:val="32"/>
          <w:szCs w:val="32"/>
          <w:lang w:val="en-US" w:eastAsia="zh-CN" w:bidi="ar-SA"/>
        </w:rPr>
      </w:pPr>
      <w:r>
        <w:rPr>
          <w:rFonts w:hint="default" w:ascii="Times New Roman" w:hAnsi="Times New Roman" w:eastAsia="仿宋_GB2312" w:cs="Times New Roman"/>
          <w:spacing w:val="-20"/>
          <w:sz w:val="32"/>
          <w:szCs w:val="32"/>
        </w:rPr>
        <w:t>负债总额0元</w:t>
      </w:r>
      <w:r>
        <w:rPr>
          <w:rFonts w:hint="default" w:ascii="Times New Roman" w:hAnsi="Times New Roman" w:eastAsia="仿宋_GB2312" w:cs="Times New Roman"/>
          <w:spacing w:val="-20"/>
          <w:sz w:val="32"/>
          <w:szCs w:val="32"/>
          <w:lang w:eastAsia="zh-CN"/>
        </w:rPr>
        <w:t>。</w:t>
      </w:r>
    </w:p>
    <w:bookmarkEnd w:id="1"/>
    <w:p>
      <w:pPr>
        <w:autoSpaceDE w:val="0"/>
        <w:autoSpaceDN w:val="0"/>
        <w:spacing w:line="578" w:lineRule="exact"/>
        <w:ind w:firstLine="643" w:firstLineChars="200"/>
        <w:rPr>
          <w:rFonts w:eastAsia="方正楷体简体"/>
          <w:b/>
          <w:sz w:val="32"/>
          <w:szCs w:val="32"/>
        </w:rPr>
      </w:pPr>
      <w:bookmarkStart w:id="4" w:name="YS060103"/>
      <w:r>
        <w:rPr>
          <w:rFonts w:hint="eastAsia" w:eastAsia="方正楷体简体"/>
          <w:b/>
          <w:sz w:val="32"/>
          <w:szCs w:val="32"/>
        </w:rPr>
        <w:t>（</w:t>
      </w:r>
      <w:r>
        <w:rPr>
          <w:rFonts w:hint="eastAsia" w:eastAsia="方正楷体简体"/>
          <w:b/>
          <w:sz w:val="32"/>
          <w:szCs w:val="32"/>
          <w:lang w:eastAsia="zh-CN"/>
        </w:rPr>
        <w:t>五</w:t>
      </w:r>
      <w:r>
        <w:rPr>
          <w:rFonts w:hint="eastAsia" w:eastAsia="方正楷体简体"/>
          <w:b/>
          <w:sz w:val="32"/>
          <w:szCs w:val="32"/>
        </w:rPr>
        <w:t>）绩效目标完成情况。</w:t>
      </w:r>
    </w:p>
    <w:p>
      <w:pPr>
        <w:spacing w:line="578" w:lineRule="exact"/>
        <w:ind w:firstLine="640" w:firstLineChars="200"/>
        <w:rPr>
          <w:rFonts w:eastAsia="方正仿宋简体"/>
          <w:bCs/>
          <w:color w:val="000000"/>
          <w:kern w:val="0"/>
          <w:sz w:val="32"/>
          <w:szCs w:val="32"/>
        </w:rPr>
      </w:pPr>
      <w:r>
        <w:rPr>
          <w:rFonts w:eastAsia="方正仿宋简体"/>
          <w:bCs/>
          <w:color w:val="000000"/>
          <w:kern w:val="0"/>
          <w:sz w:val="32"/>
          <w:szCs w:val="32"/>
        </w:rPr>
        <w:t>本年度项目经费</w:t>
      </w:r>
      <w:r>
        <w:rPr>
          <w:rFonts w:hint="eastAsia" w:eastAsia="方正仿宋简体"/>
          <w:bCs/>
          <w:color w:val="000000"/>
          <w:kern w:val="0"/>
          <w:sz w:val="32"/>
          <w:szCs w:val="32"/>
          <w:lang w:val="en-US" w:eastAsia="zh-CN"/>
        </w:rPr>
        <w:t>208900元</w:t>
      </w:r>
      <w:r>
        <w:rPr>
          <w:rFonts w:eastAsia="方正仿宋简体"/>
          <w:bCs/>
          <w:color w:val="000000"/>
          <w:kern w:val="0"/>
          <w:sz w:val="32"/>
          <w:szCs w:val="32"/>
        </w:rPr>
        <w:t>。从2020年部门整体支出绩效自评情况来看,2020年度部门预算用途和目标明确，有执行计划，资金使用严格按照财政有关规定执行。预算决策、管理、执行较为规范，较好地满足了工作需要，取得了良好的经济效益、社会效益和生态效益。</w:t>
      </w:r>
      <w:bookmarkEnd w:id="4"/>
      <w:bookmarkStart w:id="5" w:name="YS060104"/>
    </w:p>
    <w:p>
      <w:pPr>
        <w:autoSpaceDE w:val="0"/>
        <w:autoSpaceDN w:val="0"/>
        <w:spacing w:line="578" w:lineRule="exact"/>
        <w:ind w:firstLine="643" w:firstLineChars="200"/>
        <w:rPr>
          <w:rFonts w:hint="default" w:eastAsia="方正楷体简体"/>
          <w:b/>
          <w:sz w:val="32"/>
          <w:szCs w:val="32"/>
        </w:rPr>
      </w:pPr>
      <w:r>
        <w:rPr>
          <w:rFonts w:hint="default" w:eastAsia="方正楷体简体"/>
          <w:b/>
          <w:sz w:val="32"/>
          <w:szCs w:val="32"/>
        </w:rPr>
        <w:t>（</w:t>
      </w:r>
      <w:r>
        <w:rPr>
          <w:rFonts w:hint="default" w:eastAsia="方正楷体简体"/>
          <w:b/>
          <w:sz w:val="32"/>
          <w:szCs w:val="32"/>
          <w:lang w:val="en-US" w:eastAsia="zh-CN"/>
        </w:rPr>
        <w:t>六</w:t>
      </w:r>
      <w:r>
        <w:rPr>
          <w:rFonts w:hint="default" w:eastAsia="方正楷体简体"/>
          <w:b/>
          <w:sz w:val="32"/>
          <w:szCs w:val="32"/>
        </w:rPr>
        <w:t>）当年预算执行及绩效管理中存在问题、原因及改进措施</w:t>
      </w:r>
    </w:p>
    <w:p>
      <w:pPr>
        <w:keepNext w:val="0"/>
        <w:keepLines w:val="0"/>
        <w:pageBreakBefore w:val="0"/>
        <w:wordWrap/>
        <w:topLinePunct w:val="0"/>
        <w:bidi w:val="0"/>
        <w:snapToGrid w:val="0"/>
        <w:spacing w:beforeAutospacing="0" w:afterAutospacing="0" w:line="578" w:lineRule="exact"/>
        <w:ind w:left="0" w:leftChars="0"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存在问题及原因：一是预算管理意识不强，单位对预算管理没有给予充分重视，预算在执行过程中力度不强，从而制约了预算执行效果及目标的达成。二是预算编制水平不高，预算编制简单划归到财务管理部门的职能，编制时间也极为有限，使得行政单位预算编制过于简单化，无法全面系统地反映本单位财务活动整体状况。</w:t>
      </w:r>
    </w:p>
    <w:p>
      <w:pPr>
        <w:keepNext w:val="0"/>
        <w:keepLines w:val="0"/>
        <w:pageBreakBefore w:val="0"/>
        <w:wordWrap/>
        <w:topLinePunct w:val="0"/>
        <w:bidi w:val="0"/>
        <w:snapToGrid w:val="0"/>
        <w:spacing w:beforeAutospacing="0" w:afterAutospacing="0" w:line="578" w:lineRule="exact"/>
        <w:ind w:left="0" w:leftChars="0" w:firstLine="640" w:firstLineChars="200"/>
        <w:jc w:val="left"/>
        <w:rPr>
          <w:rFonts w:hint="eastAsia" w:ascii="方正黑体简体" w:hAnsi="方正黑体简体" w:eastAsia="方正黑体简体" w:cs="方正黑体简体"/>
          <w:sz w:val="32"/>
          <w:szCs w:val="32"/>
        </w:rPr>
      </w:pPr>
      <w:r>
        <w:rPr>
          <w:rFonts w:hint="default" w:ascii="Times New Roman" w:hAnsi="Times New Roman" w:eastAsia="方正仿宋简体" w:cs="Times New Roman"/>
          <w:sz w:val="32"/>
          <w:szCs w:val="32"/>
        </w:rPr>
        <w:t>改进措施：第一，针对本单位的各个</w:t>
      </w:r>
      <w:r>
        <w:rPr>
          <w:rFonts w:hint="eastAsia" w:eastAsia="方正仿宋简体" w:cs="Times New Roman"/>
          <w:sz w:val="32"/>
          <w:szCs w:val="32"/>
          <w:lang w:eastAsia="zh-CN"/>
        </w:rPr>
        <w:t>股室</w:t>
      </w:r>
      <w:r>
        <w:rPr>
          <w:rFonts w:hint="default" w:ascii="Times New Roman" w:hAnsi="Times New Roman" w:eastAsia="方正仿宋简体" w:cs="Times New Roman"/>
          <w:sz w:val="32"/>
          <w:szCs w:val="32"/>
        </w:rPr>
        <w:t>，将预算指标加以分解并落实，从而使预算执行流程更加清晰。第二，完善各</w:t>
      </w:r>
      <w:r>
        <w:rPr>
          <w:rFonts w:hint="eastAsia" w:eastAsia="方正仿宋简体" w:cs="Times New Roman"/>
          <w:sz w:val="32"/>
          <w:szCs w:val="32"/>
          <w:lang w:eastAsia="zh-CN"/>
        </w:rPr>
        <w:t>股室</w:t>
      </w:r>
      <w:r>
        <w:rPr>
          <w:rFonts w:hint="default" w:ascii="Times New Roman" w:hAnsi="Times New Roman" w:eastAsia="方正仿宋简体" w:cs="Times New Roman"/>
          <w:sz w:val="32"/>
          <w:szCs w:val="32"/>
        </w:rPr>
        <w:t>间财务预算执行的制度规定，做好预算执行过程的监督和控制，从源头上杜绝预算资金被私自挪移占用的现象。</w:t>
      </w:r>
    </w:p>
    <w:p>
      <w:pPr>
        <w:spacing w:line="578"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三、本年度部门决算等财务工作开展情况</w:t>
      </w:r>
    </w:p>
    <w:bookmarkEnd w:id="5"/>
    <w:p>
      <w:pPr>
        <w:ind w:firstLine="643" w:firstLineChars="200"/>
        <w:rPr>
          <w:rFonts w:hint="eastAsia" w:ascii="方正仿宋简体" w:eastAsia="方正仿宋简体"/>
          <w:b/>
          <w:sz w:val="32"/>
          <w:szCs w:val="32"/>
        </w:rPr>
      </w:pPr>
      <w:r>
        <w:rPr>
          <w:rFonts w:hint="eastAsia" w:ascii="方正仿宋简体" w:eastAsia="方正仿宋简体"/>
          <w:b/>
          <w:sz w:val="32"/>
          <w:szCs w:val="32"/>
        </w:rPr>
        <w:t>（一）部门财务管理、决算组织、编报、审核情况。</w:t>
      </w:r>
    </w:p>
    <w:p>
      <w:pPr>
        <w:ind w:firstLine="800" w:firstLineChars="250"/>
        <w:rPr>
          <w:rFonts w:hint="eastAsia" w:ascii="方正仿宋简体" w:eastAsia="方正仿宋简体"/>
          <w:sz w:val="32"/>
          <w:szCs w:val="32"/>
        </w:rPr>
      </w:pPr>
      <w:r>
        <w:rPr>
          <w:rFonts w:hint="eastAsia" w:ascii="方正仿宋简体" w:eastAsia="方正仿宋简体"/>
          <w:sz w:val="32"/>
          <w:szCs w:val="32"/>
        </w:rPr>
        <w:t>本单位财务管理规范，严格按照《会计法》和《预算法》办事，严控“三公”经费开支，做到厉行节约、科学理财、依法理财。决算工作本单位领导高度重视，从人力物力上得到了保障，要求决算报表真实、做好帐务对帐、帐务调整等工作，财务人员1-3日值班完善帐务，从4号具体做决算编报工作，按财政局的要求按时、按质完成了决算的编报、审核工作。</w:t>
      </w:r>
    </w:p>
    <w:p>
      <w:pPr>
        <w:ind w:firstLine="640" w:firstLineChars="200"/>
        <w:rPr>
          <w:rFonts w:hint="eastAsia" w:ascii="方正仿宋简体" w:eastAsia="方正仿宋简体"/>
          <w:sz w:val="32"/>
          <w:szCs w:val="32"/>
        </w:rPr>
      </w:pPr>
      <w:r>
        <w:rPr>
          <w:rFonts w:hint="eastAsia" w:ascii="方正仿宋简体" w:eastAsia="方正仿宋简体"/>
          <w:sz w:val="32"/>
          <w:szCs w:val="32"/>
        </w:rPr>
        <w:t>（二）本部门决算公开工作、主管部门对所属单位按规定批复决算工作开展情况,本单位按上级要求及时在政府门户网站公开了本单位的预算和决算情况，上级主管部门按规定对我单位的决算出文进行了决算批复。</w:t>
      </w:r>
    </w:p>
    <w:p>
      <w:pPr>
        <w:rPr>
          <w:rFonts w:ascii="方正仿宋简体" w:eastAsia="方正仿宋简体"/>
          <w:sz w:val="32"/>
          <w:szCs w:val="32"/>
        </w:rPr>
      </w:pPr>
      <w:r>
        <w:rPr>
          <w:rFonts w:ascii="方正仿宋简体" w:eastAsia="方正仿宋简体"/>
          <w:sz w:val="32"/>
          <w:szCs w:val="32"/>
        </w:rPr>
        <w:t xml:space="preserve"> </w:t>
      </w:r>
    </w:p>
    <w:p>
      <w:pPr>
        <w:rPr>
          <w:rFonts w:ascii="方正仿宋简体" w:eastAsia="方正仿宋简体"/>
          <w:sz w:val="32"/>
          <w:szCs w:val="32"/>
        </w:rPr>
      </w:pPr>
      <w:r>
        <w:rPr>
          <w:rFonts w:ascii="方正仿宋简体" w:eastAsia="方正仿宋简体"/>
          <w:sz w:val="32"/>
          <w:szCs w:val="32"/>
        </w:rPr>
        <w:t xml:space="preserve"> </w:t>
      </w:r>
    </w:p>
    <w:p>
      <w:pPr>
        <w:rPr>
          <w:rFonts w:eastAsia="方正仿宋简体"/>
          <w:sz w:val="32"/>
          <w:szCs w:val="32"/>
        </w:rPr>
      </w:pPr>
      <w:r>
        <w:rPr>
          <w:rFonts w:ascii="方正仿宋简体" w:eastAsia="方正仿宋简体"/>
          <w:sz w:val="32"/>
          <w:szCs w:val="32"/>
        </w:rPr>
        <w:t xml:space="preserve"> </w:t>
      </w:r>
    </w:p>
    <w:p>
      <w:pPr>
        <w:pStyle w:val="2"/>
        <w:jc w:val="center"/>
        <w:rPr>
          <w:rFonts w:eastAsia="方正仿宋简体"/>
          <w:sz w:val="32"/>
          <w:szCs w:val="32"/>
        </w:rPr>
      </w:pPr>
      <w:r>
        <w:rPr>
          <w:rFonts w:hint="eastAsia" w:eastAsia="方正仿宋简体"/>
          <w:sz w:val="32"/>
          <w:szCs w:val="32"/>
          <w:lang w:val="en-US" w:eastAsia="zh-CN"/>
        </w:rPr>
        <w:t xml:space="preserve">                      中共</w:t>
      </w:r>
      <w:r>
        <w:rPr>
          <w:rFonts w:hint="eastAsia" w:eastAsia="方正仿宋简体"/>
          <w:sz w:val="32"/>
          <w:szCs w:val="32"/>
          <w:lang w:eastAsia="zh-CN"/>
        </w:rPr>
        <w:t>万源市委老干部局</w:t>
      </w:r>
      <w:r>
        <w:rPr>
          <w:rFonts w:hint="eastAsia" w:eastAsia="方正仿宋简体"/>
          <w:sz w:val="32"/>
          <w:szCs w:val="32"/>
        </w:rPr>
        <w:t xml:space="preserve">    </w:t>
      </w:r>
    </w:p>
    <w:p>
      <w:pPr>
        <w:pStyle w:val="2"/>
        <w:wordWrap w:val="0"/>
        <w:ind w:firstLine="4800" w:firstLineChars="1500"/>
        <w:jc w:val="both"/>
        <w:rPr>
          <w:rFonts w:eastAsia="方正仿宋简体"/>
          <w:sz w:val="32"/>
          <w:szCs w:val="32"/>
        </w:rPr>
      </w:pPr>
      <w:r>
        <w:rPr>
          <w:rFonts w:hint="eastAsia" w:eastAsia="方正仿宋简体"/>
          <w:sz w:val="32"/>
          <w:szCs w:val="32"/>
        </w:rPr>
        <w:t xml:space="preserve">2021年1月14日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15532"/>
    <w:multiLevelType w:val="singleLevel"/>
    <w:tmpl w:val="DAB15532"/>
    <w:lvl w:ilvl="0" w:tentative="0">
      <w:start w:val="4"/>
      <w:numFmt w:val="chineseCounting"/>
      <w:suff w:val="nothing"/>
      <w:lvlText w:val="（%1）"/>
      <w:lvlJc w:val="left"/>
      <w:rPr>
        <w:rFonts w:hint="eastAsia"/>
      </w:rPr>
    </w:lvl>
  </w:abstractNum>
  <w:abstractNum w:abstractNumId="1">
    <w:nsid w:val="EFC4D4E8"/>
    <w:multiLevelType w:val="singleLevel"/>
    <w:tmpl w:val="EFC4D4E8"/>
    <w:lvl w:ilvl="0" w:tentative="0">
      <w:start w:val="4"/>
      <w:numFmt w:val="decimal"/>
      <w:lvlText w:val="%1."/>
      <w:lvlJc w:val="left"/>
      <w:pPr>
        <w:tabs>
          <w:tab w:val="left" w:pos="312"/>
        </w:tabs>
        <w:ind w:left="800" w:leftChars="0" w:firstLine="0" w:firstLineChars="0"/>
      </w:pPr>
    </w:lvl>
  </w:abstractNum>
  <w:abstractNum w:abstractNumId="2">
    <w:nsid w:val="3EB856BE"/>
    <w:multiLevelType w:val="singleLevel"/>
    <w:tmpl w:val="3EB856BE"/>
    <w:lvl w:ilvl="0" w:tentative="0">
      <w:start w:val="1"/>
      <w:numFmt w:val="decimal"/>
      <w:suff w:val="nothing"/>
      <w:lvlText w:val="%1．"/>
      <w:lvlJc w:val="left"/>
    </w:lvl>
  </w:abstractNum>
  <w:abstractNum w:abstractNumId="3">
    <w:nsid w:val="60865FF5"/>
    <w:multiLevelType w:val="singleLevel"/>
    <w:tmpl w:val="60865FF5"/>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CF6E43"/>
    <w:rsid w:val="000132CC"/>
    <w:rsid w:val="00017FE1"/>
    <w:rsid w:val="000559D0"/>
    <w:rsid w:val="00274A5B"/>
    <w:rsid w:val="00325D76"/>
    <w:rsid w:val="003B3DCA"/>
    <w:rsid w:val="00561B19"/>
    <w:rsid w:val="0057762C"/>
    <w:rsid w:val="00637E19"/>
    <w:rsid w:val="00650662"/>
    <w:rsid w:val="00705ED5"/>
    <w:rsid w:val="00765D30"/>
    <w:rsid w:val="00776C63"/>
    <w:rsid w:val="007C7D02"/>
    <w:rsid w:val="00994F4B"/>
    <w:rsid w:val="009A55D4"/>
    <w:rsid w:val="009D3573"/>
    <w:rsid w:val="00A2222A"/>
    <w:rsid w:val="00A26508"/>
    <w:rsid w:val="00B8664E"/>
    <w:rsid w:val="00B87441"/>
    <w:rsid w:val="00BF0374"/>
    <w:rsid w:val="00C73B7C"/>
    <w:rsid w:val="00C95BBD"/>
    <w:rsid w:val="00DD6653"/>
    <w:rsid w:val="00E910E2"/>
    <w:rsid w:val="00F30CF6"/>
    <w:rsid w:val="00F46AF3"/>
    <w:rsid w:val="00FA3DBF"/>
    <w:rsid w:val="01522937"/>
    <w:rsid w:val="02584354"/>
    <w:rsid w:val="0EAD1DBC"/>
    <w:rsid w:val="0FE949D7"/>
    <w:rsid w:val="10AA289E"/>
    <w:rsid w:val="14C970F4"/>
    <w:rsid w:val="19387134"/>
    <w:rsid w:val="1C097199"/>
    <w:rsid w:val="20F45D64"/>
    <w:rsid w:val="215A1CF6"/>
    <w:rsid w:val="21D85358"/>
    <w:rsid w:val="29513116"/>
    <w:rsid w:val="2A7E4C27"/>
    <w:rsid w:val="2BBB0357"/>
    <w:rsid w:val="304D6D39"/>
    <w:rsid w:val="31E95C60"/>
    <w:rsid w:val="324E0400"/>
    <w:rsid w:val="370D5F6B"/>
    <w:rsid w:val="3BCF6E43"/>
    <w:rsid w:val="3BE6371B"/>
    <w:rsid w:val="416B6A17"/>
    <w:rsid w:val="4B6A71C0"/>
    <w:rsid w:val="4E5F0EF9"/>
    <w:rsid w:val="54B5762C"/>
    <w:rsid w:val="55787CF3"/>
    <w:rsid w:val="561F2C8F"/>
    <w:rsid w:val="56FD53A8"/>
    <w:rsid w:val="5CD85BA0"/>
    <w:rsid w:val="5DE91BE6"/>
    <w:rsid w:val="614A3F15"/>
    <w:rsid w:val="614E055F"/>
    <w:rsid w:val="668D6D3A"/>
    <w:rsid w:val="66A76607"/>
    <w:rsid w:val="69044A3C"/>
    <w:rsid w:val="6D247FB7"/>
    <w:rsid w:val="70DC7B2B"/>
    <w:rsid w:val="72363574"/>
    <w:rsid w:val="739E22AB"/>
    <w:rsid w:val="73BF57F1"/>
    <w:rsid w:val="7E245B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caption"/>
    <w:basedOn w:val="1"/>
    <w:next w:val="1"/>
    <w:semiHidden/>
    <w:unhideWhenUsed/>
    <w:qFormat/>
    <w:uiPriority w:val="0"/>
    <w:rPr>
      <w:rFonts w:ascii="Arial" w:hAnsi="Arial" w:eastAsia="黑体"/>
      <w:sz w:val="20"/>
    </w:rPr>
  </w:style>
  <w:style w:type="paragraph" w:styleId="4">
    <w:name w:val="Balloon Text"/>
    <w:basedOn w:val="1"/>
    <w:link w:val="11"/>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9820993842188"/>
          <c:y val="0.142098273572377"/>
          <c:w val="0.891364742947156"/>
          <c:h val="0.692802124833997"/>
        </c:manualLayout>
      </c:layout>
      <c:barChart>
        <c:barDir val="col"/>
        <c:grouping val="clustered"/>
        <c:varyColors val="0"/>
        <c:ser>
          <c:idx val="0"/>
          <c:order val="0"/>
          <c:tx>
            <c:strRef>
              <c:f>Sheet1!$B$1</c:f>
              <c:strCache>
                <c:ptCount val="1"/>
                <c:pt idx="0">
                  <c:v>金额：万元</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2019年</c:v>
                </c:pt>
                <c:pt idx="1">
                  <c:v>2020年</c:v>
                </c:pt>
                <c:pt idx="2">
                  <c:v>增加额</c:v>
                </c:pt>
              </c:strCache>
            </c:strRef>
          </c:cat>
          <c:val>
            <c:numRef>
              <c:f>Sheet1!$B$2:$B$4</c:f>
              <c:numCache>
                <c:formatCode>General</c:formatCode>
                <c:ptCount val="3"/>
                <c:pt idx="0">
                  <c:v>148.76</c:v>
                </c:pt>
                <c:pt idx="1">
                  <c:v>164.81</c:v>
                </c:pt>
                <c:pt idx="2">
                  <c:v>16.05</c:v>
                </c:pt>
              </c:numCache>
            </c:numRef>
          </c:val>
        </c:ser>
        <c:dLbls>
          <c:showLegendKey val="0"/>
          <c:showVal val="0"/>
          <c:showCatName val="0"/>
          <c:showSerName val="0"/>
          <c:showPercent val="0"/>
          <c:showBubbleSize val="0"/>
        </c:dLbls>
        <c:gapWidth val="200"/>
        <c:overlap val="27"/>
        <c:axId val="117645696"/>
        <c:axId val="117659904"/>
      </c:barChart>
      <c:catAx>
        <c:axId val="1176456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659904"/>
        <c:crosses val="autoZero"/>
        <c:auto val="1"/>
        <c:lblAlgn val="ctr"/>
        <c:lblOffset val="100"/>
        <c:noMultiLvlLbl val="0"/>
      </c:catAx>
      <c:valAx>
        <c:axId val="1176599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645696"/>
        <c:crosses val="autoZero"/>
        <c:crossBetween val="between"/>
      </c:valAx>
      <c:spPr>
        <a:noFill/>
        <a:ln>
          <a:noFill/>
        </a:ln>
        <a:effectLst/>
      </c:spPr>
    </c:plotArea>
    <c:legend>
      <c:legendPos val="b"/>
      <c:layout>
        <c:manualLayout>
          <c:xMode val="edge"/>
          <c:yMode val="edge"/>
          <c:x val="0.691536588858656"/>
          <c:y val="0.0406374501992032"/>
          <c:w val="0.265501933266504"/>
          <c:h val="0.1243027888446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03273980471"/>
          <c:y val="0.219092331768388"/>
          <c:w val="0.891068351522114"/>
          <c:h val="0.638622848200313"/>
        </c:manualLayout>
      </c:layout>
      <c:barChart>
        <c:barDir val="col"/>
        <c:grouping val="clustered"/>
        <c:varyColors val="0"/>
        <c:ser>
          <c:idx val="0"/>
          <c:order val="0"/>
          <c:tx>
            <c:strRef>
              <c:f>Sheet1!$B$1</c:f>
              <c:strCache>
                <c:ptCount val="1"/>
                <c:pt idx="0">
                  <c:v>金额：万元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本年收入</c:v>
                </c:pt>
                <c:pt idx="1">
                  <c:v>本年支出</c:v>
                </c:pt>
              </c:strCache>
            </c:strRef>
          </c:cat>
          <c:val>
            <c:numRef>
              <c:f>Sheet1!$B$2:$B$3</c:f>
              <c:numCache>
                <c:formatCode>General</c:formatCode>
                <c:ptCount val="2"/>
                <c:pt idx="0">
                  <c:v>147.79</c:v>
                </c:pt>
                <c:pt idx="1">
                  <c:v>147.79</c:v>
                </c:pt>
              </c:numCache>
            </c:numRef>
          </c:val>
        </c:ser>
        <c:dLbls>
          <c:showLegendKey val="0"/>
          <c:showVal val="1"/>
          <c:showCatName val="0"/>
          <c:showSerName val="0"/>
          <c:showPercent val="0"/>
          <c:showBubbleSize val="0"/>
        </c:dLbls>
        <c:gapWidth val="219"/>
        <c:overlap val="-27"/>
        <c:axId val="120381824"/>
        <c:axId val="123432320"/>
      </c:barChart>
      <c:catAx>
        <c:axId val="12038182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432320"/>
        <c:crosses val="autoZero"/>
        <c:auto val="1"/>
        <c:lblAlgn val="ctr"/>
        <c:lblOffset val="100"/>
        <c:noMultiLvlLbl val="0"/>
      </c:catAx>
      <c:valAx>
        <c:axId val="1234323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0381824"/>
        <c:crosses val="autoZero"/>
        <c:crossBetween val="between"/>
      </c:valAx>
      <c:spPr>
        <a:noFill/>
        <a:ln>
          <a:noFill/>
        </a:ln>
        <a:effectLst/>
      </c:spPr>
    </c:plotArea>
    <c:legend>
      <c:legendPos val="b"/>
      <c:layout>
        <c:manualLayout>
          <c:xMode val="edge"/>
          <c:yMode val="edge"/>
          <c:x val="0.741721410376727"/>
          <c:y val="0.066346153846153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一般公共服务收入</c:v>
                </c:pt>
                <c:pt idx="1">
                  <c:v>卫生健康收入</c:v>
                </c:pt>
                <c:pt idx="2">
                  <c:v>社会保障和就业收入</c:v>
                </c:pt>
                <c:pt idx="3">
                  <c:v>农林水收入</c:v>
                </c:pt>
                <c:pt idx="4">
                  <c:v>商业服务业的部分收入</c:v>
                </c:pt>
                <c:pt idx="5">
                  <c:v>住房保障收入</c:v>
                </c:pt>
              </c:strCache>
            </c:strRef>
          </c:cat>
          <c:val>
            <c:numRef>
              <c:f>Sheet1!$B$2:$B$7</c:f>
              <c:numCache>
                <c:formatCode>General</c:formatCode>
                <c:ptCount val="6"/>
                <c:pt idx="0">
                  <c:v>578788.66</c:v>
                </c:pt>
                <c:pt idx="1">
                  <c:v>33920.12</c:v>
                </c:pt>
                <c:pt idx="2">
                  <c:v>735535</c:v>
                </c:pt>
                <c:pt idx="3">
                  <c:v>50600</c:v>
                </c:pt>
                <c:pt idx="4">
                  <c:v>25500</c:v>
                </c:pt>
                <c:pt idx="5">
                  <c:v>80283</c:v>
                </c:pt>
              </c:numCache>
            </c:numRef>
          </c:val>
        </c:ser>
        <c:dLbls>
          <c:showLegendKey val="1"/>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一般公共服务支出</c:v>
                </c:pt>
                <c:pt idx="1">
                  <c:v>卫生健康支出</c:v>
                </c:pt>
                <c:pt idx="2">
                  <c:v>社会保障和就业支出</c:v>
                </c:pt>
                <c:pt idx="3">
                  <c:v>农林水支出</c:v>
                </c:pt>
                <c:pt idx="4">
                  <c:v>商业服务业的部分支出</c:v>
                </c:pt>
                <c:pt idx="5">
                  <c:v>住房保障收入</c:v>
                </c:pt>
              </c:strCache>
            </c:strRef>
          </c:cat>
          <c:val>
            <c:numRef>
              <c:f>Sheet1!$B$2:$B$7</c:f>
              <c:numCache>
                <c:formatCode>General</c:formatCode>
                <c:ptCount val="6"/>
                <c:pt idx="0">
                  <c:v>578788.66</c:v>
                </c:pt>
                <c:pt idx="1">
                  <c:v>33920.12</c:v>
                </c:pt>
                <c:pt idx="2">
                  <c:v>735535</c:v>
                </c:pt>
                <c:pt idx="3">
                  <c:v>50600</c:v>
                </c:pt>
                <c:pt idx="4">
                  <c:v>25500</c:v>
                </c:pt>
                <c:pt idx="5">
                  <c:v>80283</c:v>
                </c:pt>
              </c:numCache>
            </c:numRef>
          </c:val>
        </c:ser>
        <c:dLbls>
          <c:showLegendKey val="1"/>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44921552436004"/>
          <c:y val="0.228857890148213"/>
          <c:w val="0.901651527663089"/>
          <c:h val="0.590845684394072"/>
        </c:manualLayout>
      </c:layout>
      <c:barChart>
        <c:barDir val="col"/>
        <c:grouping val="clustered"/>
        <c:varyColors val="0"/>
        <c:ser>
          <c:idx val="0"/>
          <c:order val="0"/>
          <c:tx>
            <c:strRef>
              <c:f>Sheet1!$B$1</c:f>
              <c:strCache>
                <c:ptCount val="1"/>
                <c:pt idx="0">
                  <c:v>金额：万元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2019年</c:v>
                </c:pt>
                <c:pt idx="1">
                  <c:v>2020年</c:v>
                </c:pt>
                <c:pt idx="2">
                  <c:v>增加额</c:v>
                </c:pt>
              </c:strCache>
            </c:strRef>
          </c:cat>
          <c:val>
            <c:numRef>
              <c:f>Sheet1!$B$2:$B$4</c:f>
              <c:numCache>
                <c:formatCode>General</c:formatCode>
                <c:ptCount val="3"/>
                <c:pt idx="0">
                  <c:v>137.79</c:v>
                </c:pt>
                <c:pt idx="1">
                  <c:v>147.79</c:v>
                </c:pt>
                <c:pt idx="2">
                  <c:v>10</c:v>
                </c:pt>
              </c:numCache>
            </c:numRef>
          </c:val>
        </c:ser>
        <c:dLbls>
          <c:showLegendKey val="0"/>
          <c:showVal val="1"/>
          <c:showCatName val="0"/>
          <c:showSerName val="0"/>
          <c:showPercent val="0"/>
          <c:showBubbleSize val="0"/>
        </c:dLbls>
        <c:gapWidth val="219"/>
        <c:overlap val="-27"/>
        <c:axId val="128470400"/>
        <c:axId val="128494592"/>
      </c:barChart>
      <c:catAx>
        <c:axId val="12847040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494592"/>
        <c:crosses val="autoZero"/>
        <c:auto val="1"/>
        <c:lblAlgn val="ctr"/>
        <c:lblOffset val="100"/>
        <c:noMultiLvlLbl val="0"/>
      </c:catAx>
      <c:valAx>
        <c:axId val="1284945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470400"/>
        <c:crosses val="autoZero"/>
        <c:crossBetween val="between"/>
      </c:valAx>
      <c:spPr>
        <a:noFill/>
        <a:ln>
          <a:noFill/>
        </a:ln>
        <a:effectLst/>
      </c:spPr>
    </c:plotArea>
    <c:legend>
      <c:legendPos val="b"/>
      <c:layout>
        <c:manualLayout>
          <c:xMode val="edge"/>
          <c:yMode val="edge"/>
          <c:x val="0.765895953757225"/>
          <c:y val="0.025283347863993"/>
          <c:w val="0.154830718414533"/>
          <c:h val="0.17698343504795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5674137317681"/>
          <c:y val="0.18644596647332"/>
          <c:w val="0.907250275094755"/>
          <c:h val="0.664477611940299"/>
        </c:manualLayout>
      </c:layout>
      <c:barChart>
        <c:barDir val="col"/>
        <c:grouping val="clustered"/>
        <c:varyColors val="0"/>
        <c:ser>
          <c:idx val="0"/>
          <c:order val="0"/>
          <c:tx>
            <c:strRef>
              <c:f>Sheet1!$B$1</c:f>
              <c:strCache>
                <c:ptCount val="1"/>
                <c:pt idx="0">
                  <c:v>金额：万元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2019</c:v>
                </c:pt>
                <c:pt idx="1">
                  <c:v>2020</c:v>
                </c:pt>
                <c:pt idx="2">
                  <c:v>增加额</c:v>
                </c:pt>
              </c:strCache>
            </c:strRef>
          </c:cat>
          <c:val>
            <c:numRef>
              <c:f>Sheet1!$B$2:$B$4</c:f>
              <c:numCache>
                <c:formatCode>General</c:formatCode>
                <c:ptCount val="3"/>
                <c:pt idx="0">
                  <c:v>137.26</c:v>
                </c:pt>
                <c:pt idx="1">
                  <c:v>147.79</c:v>
                </c:pt>
                <c:pt idx="2">
                  <c:v>10.53</c:v>
                </c:pt>
              </c:numCache>
            </c:numRef>
          </c:val>
        </c:ser>
        <c:dLbls>
          <c:showLegendKey val="0"/>
          <c:showVal val="1"/>
          <c:showCatName val="0"/>
          <c:showSerName val="0"/>
          <c:showPercent val="0"/>
          <c:showBubbleSize val="0"/>
        </c:dLbls>
        <c:gapWidth val="219"/>
        <c:overlap val="-27"/>
        <c:axId val="131377024"/>
        <c:axId val="131406464"/>
      </c:barChart>
      <c:catAx>
        <c:axId val="13137702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406464"/>
        <c:crosses val="autoZero"/>
        <c:auto val="1"/>
        <c:lblAlgn val="ctr"/>
        <c:lblOffset val="100"/>
        <c:noMultiLvlLbl val="0"/>
      </c:catAx>
      <c:valAx>
        <c:axId val="1314064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377024"/>
        <c:crosses val="autoZero"/>
        <c:crossBetween val="between"/>
      </c:valAx>
      <c:spPr>
        <a:noFill/>
        <a:ln>
          <a:noFill/>
        </a:ln>
        <a:effectLst/>
      </c:spPr>
    </c:plotArea>
    <c:legend>
      <c:legendPos val="b"/>
      <c:layout>
        <c:manualLayout>
          <c:xMode val="edge"/>
          <c:yMode val="edge"/>
          <c:x val="0.775461547866487"/>
          <c:y val="0.053731343283582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47177700348432"/>
          <c:y val="0.225083308088458"/>
          <c:w val="0.881588850174216"/>
          <c:h val="0.649621326870645"/>
        </c:manualLayout>
      </c:layout>
      <c:barChart>
        <c:barDir val="col"/>
        <c:grouping val="clustered"/>
        <c:varyColors val="0"/>
        <c:ser>
          <c:idx val="0"/>
          <c:order val="0"/>
          <c:tx>
            <c:strRef>
              <c:f>Sheet1!$B$1</c:f>
              <c:strCache>
                <c:ptCount val="1"/>
                <c:pt idx="0">
                  <c:v>金额：元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2019年</c:v>
                </c:pt>
                <c:pt idx="1">
                  <c:v>2020年</c:v>
                </c:pt>
                <c:pt idx="2">
                  <c:v>下降额</c:v>
                </c:pt>
              </c:strCache>
            </c:strRef>
          </c:cat>
          <c:val>
            <c:numRef>
              <c:f>Sheet1!$B$2:$B$4</c:f>
              <c:numCache>
                <c:formatCode>General</c:formatCode>
                <c:ptCount val="3"/>
                <c:pt idx="0">
                  <c:v>49800</c:v>
                </c:pt>
                <c:pt idx="1">
                  <c:v>45500</c:v>
                </c:pt>
                <c:pt idx="2">
                  <c:v>4300</c:v>
                </c:pt>
              </c:numCache>
            </c:numRef>
          </c:val>
        </c:ser>
        <c:dLbls>
          <c:showLegendKey val="0"/>
          <c:showVal val="1"/>
          <c:showCatName val="0"/>
          <c:showSerName val="0"/>
          <c:showPercent val="0"/>
          <c:showBubbleSize val="0"/>
        </c:dLbls>
        <c:gapWidth val="219"/>
        <c:overlap val="-27"/>
        <c:axId val="128062208"/>
        <c:axId val="128063744"/>
      </c:barChart>
      <c:catAx>
        <c:axId val="1280622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063744"/>
        <c:crosses val="autoZero"/>
        <c:auto val="1"/>
        <c:lblAlgn val="ctr"/>
        <c:lblOffset val="100"/>
        <c:noMultiLvlLbl val="0"/>
      </c:catAx>
      <c:valAx>
        <c:axId val="1280637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062208"/>
        <c:crosses val="autoZero"/>
        <c:crossBetween val="between"/>
      </c:valAx>
      <c:spPr>
        <a:noFill/>
        <a:ln>
          <a:noFill/>
        </a:ln>
        <a:effectLst/>
      </c:spPr>
    </c:plotArea>
    <c:legend>
      <c:legendPos val="b"/>
      <c:layout>
        <c:manualLayout>
          <c:xMode val="edge"/>
          <c:yMode val="edge"/>
          <c:x val="0.755470383275261"/>
          <c:y val="0.076643441381399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41445990885577"/>
          <c:y val="0.291948579161028"/>
          <c:w val="0.895356571006281"/>
          <c:h val="0.609404600811908"/>
        </c:manualLayout>
      </c:layout>
      <c:barChart>
        <c:barDir val="col"/>
        <c:grouping val="clustered"/>
        <c:varyColors val="0"/>
        <c:ser>
          <c:idx val="0"/>
          <c:order val="0"/>
          <c:tx>
            <c:strRef>
              <c:f>Sheet1!$B$1</c:f>
              <c:strCache>
                <c:ptCount val="1"/>
                <c:pt idx="0">
                  <c:v>金额：元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预算</c:v>
                </c:pt>
                <c:pt idx="1">
                  <c:v>决算</c:v>
                </c:pt>
                <c:pt idx="2">
                  <c:v>降低</c:v>
                </c:pt>
              </c:strCache>
            </c:strRef>
          </c:cat>
          <c:val>
            <c:numRef>
              <c:f>Sheet1!$B$2:$B$4</c:f>
              <c:numCache>
                <c:formatCode>General</c:formatCode>
                <c:ptCount val="3"/>
                <c:pt idx="0">
                  <c:v>50000</c:v>
                </c:pt>
                <c:pt idx="1">
                  <c:v>45500</c:v>
                </c:pt>
                <c:pt idx="2">
                  <c:v>4500</c:v>
                </c:pt>
              </c:numCache>
            </c:numRef>
          </c:val>
        </c:ser>
        <c:dLbls>
          <c:showLegendKey val="0"/>
          <c:showVal val="1"/>
          <c:showCatName val="0"/>
          <c:showSerName val="0"/>
          <c:showPercent val="0"/>
          <c:showBubbleSize val="0"/>
        </c:dLbls>
        <c:gapWidth val="219"/>
        <c:overlap val="-27"/>
        <c:axId val="141043584"/>
        <c:axId val="141045120"/>
      </c:barChart>
      <c:catAx>
        <c:axId val="1410435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045120"/>
        <c:crosses val="autoZero"/>
        <c:auto val="1"/>
        <c:lblAlgn val="ctr"/>
        <c:lblOffset val="100"/>
        <c:noMultiLvlLbl val="0"/>
      </c:catAx>
      <c:valAx>
        <c:axId val="1410451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043584"/>
        <c:crosses val="autoZero"/>
        <c:crossBetween val="between"/>
      </c:valAx>
      <c:spPr>
        <a:noFill/>
        <a:ln>
          <a:noFill/>
        </a:ln>
        <a:effectLst/>
      </c:spPr>
    </c:plotArea>
    <c:legend>
      <c:legendPos val="b"/>
      <c:layout>
        <c:manualLayout>
          <c:xMode val="edge"/>
          <c:yMode val="edge"/>
          <c:x val="0.781253848996182"/>
          <c:y val="0.0923545331529094"/>
          <c:w val="0.111220593669171"/>
          <c:h val="0.12618403247631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一般公共服务收入</c:v>
                </c:pt>
                <c:pt idx="1">
                  <c:v>卫生健康收入</c:v>
                </c:pt>
                <c:pt idx="2">
                  <c:v>社会保障和就业收入</c:v>
                </c:pt>
                <c:pt idx="3">
                  <c:v>农林水收入</c:v>
                </c:pt>
                <c:pt idx="4">
                  <c:v>住房保障收入</c:v>
                </c:pt>
              </c:strCache>
            </c:strRef>
          </c:cat>
          <c:val>
            <c:numRef>
              <c:f>Sheet1!$B$2:$B$6</c:f>
              <c:numCache>
                <c:formatCode>General</c:formatCode>
                <c:ptCount val="5"/>
                <c:pt idx="0">
                  <c:v>604288.66</c:v>
                </c:pt>
                <c:pt idx="1">
                  <c:v>33920.12</c:v>
                </c:pt>
                <c:pt idx="2">
                  <c:v>735535</c:v>
                </c:pt>
                <c:pt idx="3">
                  <c:v>50600</c:v>
                </c:pt>
                <c:pt idx="4">
                  <c:v>80283</c:v>
                </c:pt>
              </c:numCache>
            </c:numRef>
          </c:val>
        </c:ser>
        <c:dLbls>
          <c:showLegendKey val="1"/>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904</Words>
  <Characters>5153</Characters>
  <Lines>42</Lines>
  <Paragraphs>12</Paragraphs>
  <TotalTime>2</TotalTime>
  <ScaleCrop>false</ScaleCrop>
  <LinksUpToDate>false</LinksUpToDate>
  <CharactersWithSpaces>6045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2021-01-11T01:18:00Z</dcterms:created>
  <dc:creator>大哒！</dc:creator>
  <cp:lastModifiedBy>Administrator</cp:lastModifiedBy>
  <dcterms:modified xsi:type="dcterms:W3CDTF">2022-01-13T12:02:37Z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407101178_btnclosed</vt:lpwstr>
  </property>
  <property fmtid="{D5CDD505-2E9C-101B-9397-08002B2CF9AE}" pid="4" name="ICV">
    <vt:lpwstr>32EE87D9808F46D0B4B6981DFAFDB429</vt:lpwstr>
  </property>
</Properties>
</file>