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黑体"/>
          <w:color w:val="000000"/>
          <w:sz w:val="36"/>
          <w:szCs w:val="32"/>
          <w:lang w:eastAsia="zh-CN"/>
        </w:rPr>
      </w:pPr>
      <w:r>
        <w:rPr>
          <w:rFonts w:hint="eastAsia" w:ascii="华文中宋" w:hAnsi="华文中宋" w:eastAsia="华文中宋" w:cs="黑体"/>
          <w:color w:val="000000"/>
          <w:sz w:val="36"/>
          <w:szCs w:val="32"/>
          <w:lang w:eastAsia="zh-CN"/>
        </w:rPr>
        <w:t>中共万源市委老干部局</w:t>
      </w:r>
    </w:p>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2020年度部门决算报表填报说明</w:t>
      </w:r>
    </w:p>
    <w:p>
      <w:pPr>
        <w:rPr>
          <w:rFonts w:hint="eastAsia" w:ascii="黑体" w:hAnsi="黑体" w:eastAsia="黑体" w:cs="黑体"/>
          <w:color w:val="000000"/>
          <w:sz w:val="32"/>
          <w:szCs w:val="32"/>
          <w:lang w:eastAsia="zh-CN"/>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一、决算汇编基本情况</w:t>
      </w:r>
    </w:p>
    <w:p>
      <w:pPr>
        <w:ind w:firstLine="643" w:firstLineChars="200"/>
        <w:rPr>
          <w:rFonts w:ascii="楷体_GB2312" w:hAnsi="Times New Roman" w:eastAsia="楷体_GB2312" w:cs="Times New Roman"/>
          <w:b/>
          <w:color w:val="000000"/>
          <w:sz w:val="32"/>
          <w:szCs w:val="32"/>
        </w:rPr>
      </w:pPr>
      <w:r>
        <w:rPr>
          <w:rFonts w:hint="eastAsia" w:ascii="楷体_GB2312" w:hAnsi="仿宋" w:eastAsia="楷体_GB2312" w:cs="仿宋"/>
          <w:b/>
          <w:color w:val="000000"/>
          <w:sz w:val="32"/>
          <w:szCs w:val="32"/>
        </w:rPr>
        <w:t>（一）部门机构情况说明</w:t>
      </w:r>
    </w:p>
    <w:p>
      <w:pPr>
        <w:ind w:firstLine="640" w:firstLineChars="200"/>
        <w:rPr>
          <w:rFonts w:ascii="仿宋_GB2312" w:hAnsi="仿宋" w:eastAsia="仿宋_GB2312" w:cs="Times New Roman"/>
          <w:color w:val="000000"/>
          <w:sz w:val="32"/>
          <w:szCs w:val="32"/>
        </w:rPr>
      </w:pPr>
      <w:r>
        <w:rPr>
          <w:rFonts w:hint="eastAsia" w:ascii="仿宋_GB2312" w:eastAsia="仿宋_GB2312" w:cs="Times New Roman"/>
          <w:color w:val="000000"/>
          <w:sz w:val="32"/>
          <w:szCs w:val="32"/>
          <w:u w:val="single"/>
          <w:lang w:val="en-US" w:eastAsia="zh-CN"/>
        </w:rPr>
        <w:t>2020</w:t>
      </w:r>
      <w:r>
        <w:rPr>
          <w:rFonts w:hint="eastAsia" w:ascii="仿宋_GB2312" w:hAnsi="仿宋" w:eastAsia="仿宋_GB2312" w:cs="仿宋"/>
          <w:color w:val="000000"/>
          <w:sz w:val="32"/>
          <w:szCs w:val="32"/>
        </w:rPr>
        <w:t>年度，纳入本部门决算汇编范围的独立核算单位共</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个，比上年增减</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个，分类说明如下：</w:t>
      </w:r>
    </w:p>
    <w:tbl>
      <w:tblPr>
        <w:tblStyle w:val="3"/>
        <w:tblW w:w="8528" w:type="dxa"/>
        <w:tblInd w:w="2" w:type="dxa"/>
        <w:tblLayout w:type="fixed"/>
        <w:tblCellMar>
          <w:top w:w="0" w:type="dxa"/>
          <w:left w:w="0" w:type="dxa"/>
          <w:bottom w:w="0" w:type="dxa"/>
          <w:right w:w="0" w:type="dxa"/>
        </w:tblCellMar>
      </w:tblPr>
      <w:tblGrid>
        <w:gridCol w:w="2928"/>
        <w:gridCol w:w="1034"/>
        <w:gridCol w:w="1106"/>
        <w:gridCol w:w="3460"/>
      </w:tblGrid>
      <w:tr>
        <w:tblPrEx>
          <w:tblCellMar>
            <w:top w:w="0" w:type="dxa"/>
            <w:left w:w="0" w:type="dxa"/>
            <w:bottom w:w="0" w:type="dxa"/>
            <w:right w:w="0" w:type="dxa"/>
          </w:tblCellMar>
        </w:tblPrEx>
        <w:trPr>
          <w:trHeight w:val="70" w:hRule="atLeast"/>
        </w:trPr>
        <w:tc>
          <w:tcPr>
            <w:tcW w:w="2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项目</w:t>
            </w:r>
          </w:p>
        </w:tc>
        <w:tc>
          <w:tcPr>
            <w:tcW w:w="1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数量</w:t>
            </w:r>
          </w:p>
        </w:tc>
        <w:tc>
          <w:tcPr>
            <w:tcW w:w="1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比上年增减</w:t>
            </w:r>
          </w:p>
        </w:tc>
        <w:tc>
          <w:tcPr>
            <w:tcW w:w="34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变动原因说明</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合</w:t>
            </w:r>
            <w:r>
              <w:rPr>
                <w:rFonts w:hint="eastAsia" w:ascii="仿宋_GB2312" w:hAnsi="Times New Roman" w:eastAsia="仿宋_GB2312" w:cs="Times New Roman"/>
                <w:color w:val="000000"/>
                <w:sz w:val="24"/>
                <w:szCs w:val="32"/>
              </w:rPr>
              <w:t>    </w:t>
            </w:r>
            <w:r>
              <w:rPr>
                <w:rFonts w:hint="eastAsia" w:ascii="仿宋_GB2312" w:hAnsi="仿宋" w:eastAsia="仿宋_GB2312" w:cs="仿宋_GB2312"/>
                <w:color w:val="000000"/>
                <w:sz w:val="24"/>
                <w:szCs w:val="32"/>
              </w:rPr>
              <w:t>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r>
      <w:tr>
        <w:tblPrEx>
          <w:tblCellMar>
            <w:top w:w="0" w:type="dxa"/>
            <w:left w:w="0" w:type="dxa"/>
            <w:bottom w:w="0" w:type="dxa"/>
            <w:right w:w="0" w:type="dxa"/>
          </w:tblCellMar>
        </w:tblPrEx>
        <w:trPr>
          <w:trHeight w:val="39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一、按单位基本性质</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行政单位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lang w:val="en-US" w:eastAsia="zh-CN"/>
              </w:rPr>
              <w:t>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lang w:val="en-US" w:eastAsia="zh-CN"/>
              </w:rPr>
              <w:t>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lang w:val="en-US" w:eastAsia="zh-CN"/>
              </w:rPr>
              <w:t>无变动</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事业单位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二、按执行会计制度</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政府</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b/>
                <w:bCs/>
                <w:sz w:val="24"/>
                <w:szCs w:val="28"/>
              </w:rPr>
            </w:pPr>
            <w:r>
              <w:rPr>
                <w:rFonts w:hint="eastAsia" w:ascii="仿宋_GB2312" w:hAnsi="仿宋" w:eastAsia="仿宋_GB2312" w:cs="仿宋_GB2312"/>
                <w:b/>
                <w:bCs/>
                <w:color w:val="000000"/>
                <w:sz w:val="24"/>
                <w:szCs w:val="28"/>
                <w:lang w:val="en-US" w:eastAsia="zh-CN"/>
              </w:rPr>
              <w:t>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sz w:val="24"/>
                <w:szCs w:val="28"/>
                <w:lang w:val="en-US" w:eastAsia="zh-CN"/>
              </w:rPr>
            </w:pPr>
            <w:r>
              <w:rPr>
                <w:rFonts w:hint="eastAsia" w:ascii="仿宋_GB2312" w:hAnsi="仿宋" w:eastAsia="仿宋_GB2312" w:cs="仿宋_GB2312"/>
                <w:color w:val="000000"/>
                <w:sz w:val="24"/>
                <w:szCs w:val="28"/>
                <w:lang w:val="en-US" w:eastAsia="zh-CN"/>
              </w:rPr>
              <w:t>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lang w:val="en-US" w:eastAsia="zh-CN"/>
              </w:rPr>
              <w:t>无变动</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240" w:firstLineChars="100"/>
              <w:rPr>
                <w:rFonts w:ascii="仿宋_GB2312" w:hAnsi="仿宋" w:eastAsia="仿宋_GB2312" w:cs="Times New Roman"/>
                <w:sz w:val="24"/>
                <w:szCs w:val="28"/>
              </w:rPr>
            </w:pPr>
            <w:r>
              <w:rPr>
                <w:rFonts w:hint="eastAsia" w:ascii="仿宋_GB2312" w:hAnsi="仿宋" w:eastAsia="仿宋_GB2312" w:cs="仿宋_GB2312"/>
                <w:color w:val="000000"/>
                <w:sz w:val="24"/>
                <w:szCs w:val="28"/>
              </w:rPr>
              <w:t>民间非营利组织</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b/>
                <w:bCs/>
                <w:sz w:val="24"/>
                <w:szCs w:val="28"/>
              </w:rPr>
            </w:pPr>
            <w:r>
              <w:rPr>
                <w:rFonts w:hint="eastAsia" w:ascii="仿宋_GB2312" w:hAnsi="仿宋" w:eastAsia="仿宋_GB2312" w:cs="仿宋_GB2312"/>
                <w:b/>
                <w:bCs/>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w:t>
            </w:r>
            <w:r>
              <w:rPr>
                <w:rFonts w:hint="eastAsia" w:ascii="仿宋_GB2312" w:hAnsi="仿宋" w:eastAsia="仿宋_GB2312" w:cs="仿宋_GB2312"/>
                <w:color w:val="000000"/>
                <w:sz w:val="24"/>
                <w:szCs w:val="28"/>
              </w:rPr>
              <w:t>企业</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三、按单位预算级次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一级预算单位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仿宋_GB2312"/>
                <w:color w:val="000000"/>
                <w:sz w:val="24"/>
                <w:szCs w:val="28"/>
                <w:lang w:val="en-US" w:eastAsia="zh-CN"/>
              </w:rPr>
            </w:pPr>
            <w:r>
              <w:rPr>
                <w:rFonts w:hint="eastAsia" w:ascii="仿宋_GB2312" w:hAnsi="仿宋" w:eastAsia="仿宋_GB2312" w:cs="仿宋_GB2312"/>
                <w:color w:val="000000"/>
                <w:sz w:val="24"/>
                <w:szCs w:val="28"/>
                <w:lang w:val="en-US" w:eastAsia="zh-CN"/>
              </w:rPr>
              <w:t>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仿宋_GB2312" w:hAnsi="仿宋" w:eastAsia="仿宋_GB2312" w:cs="仿宋_GB2312"/>
                <w:color w:val="000000"/>
                <w:sz w:val="24"/>
                <w:szCs w:val="28"/>
                <w:lang w:val="en-US" w:eastAsia="zh-CN"/>
              </w:rPr>
            </w:pPr>
            <w:r>
              <w:rPr>
                <w:rFonts w:hint="eastAsia" w:ascii="仿宋_GB2312" w:hAnsi="仿宋" w:eastAsia="仿宋_GB2312" w:cs="仿宋_GB2312"/>
                <w:color w:val="000000"/>
                <w:sz w:val="24"/>
                <w:szCs w:val="28"/>
                <w:lang w:val="en-US" w:eastAsia="zh-CN"/>
              </w:rPr>
              <w:t>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仿宋_GB2312"/>
                <w:color w:val="000000"/>
                <w:sz w:val="24"/>
                <w:szCs w:val="28"/>
                <w:lang w:val="en-US" w:eastAsia="zh-CN"/>
              </w:rPr>
            </w:pPr>
            <w:r>
              <w:rPr>
                <w:rFonts w:hint="eastAsia" w:ascii="仿宋_GB2312" w:hAnsi="仿宋" w:eastAsia="仿宋_GB2312" w:cs="仿宋_GB2312"/>
                <w:color w:val="000000"/>
                <w:sz w:val="24"/>
                <w:szCs w:val="28"/>
                <w:lang w:val="en-US" w:eastAsia="zh-CN"/>
              </w:rPr>
              <w:t>无变动</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二级预算单位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三级预算单位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四、按事业单位分类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行政类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公益一类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公益二类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生产经营类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暂未明确类别</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bl>
    <w:p>
      <w:pPr>
        <w:ind w:firstLine="567"/>
        <w:rPr>
          <w:rFonts w:ascii="仿宋_GB2312" w:hAnsi="仿宋" w:eastAsia="仿宋_GB2312" w:cs="仿宋"/>
          <w:b/>
          <w:color w:val="000000"/>
          <w:sz w:val="32"/>
          <w:szCs w:val="32"/>
        </w:rPr>
      </w:pPr>
      <w:r>
        <w:rPr>
          <w:rFonts w:hint="eastAsia" w:ascii="楷体_GB2312" w:hAnsi="仿宋" w:eastAsia="楷体_GB2312" w:cs="仿宋"/>
          <w:b/>
          <w:color w:val="000000"/>
          <w:sz w:val="32"/>
          <w:szCs w:val="32"/>
        </w:rPr>
        <w:t>（二）部门录入户数说明</w:t>
      </w:r>
      <w:r>
        <w:rPr>
          <w:rFonts w:hint="eastAsia" w:ascii="仿宋_GB2312" w:hAnsi="仿宋" w:eastAsia="仿宋_GB2312" w:cs="仿宋"/>
          <w:b/>
          <w:color w:val="000000"/>
          <w:sz w:val="32"/>
          <w:szCs w:val="32"/>
        </w:rPr>
        <w:t>。</w:t>
      </w:r>
    </w:p>
    <w:p>
      <w:pPr>
        <w:ind w:firstLine="567"/>
        <w:rPr>
          <w:rFonts w:ascii="仿宋_GB2312" w:hAnsi="仿宋" w:eastAsia="仿宋_GB2312" w:cs="仿宋"/>
          <w:b/>
          <w:color w:val="000000"/>
          <w:sz w:val="32"/>
          <w:szCs w:val="32"/>
        </w:rPr>
      </w:pPr>
      <w:r>
        <w:rPr>
          <w:rFonts w:hint="eastAsia" w:ascii="仿宋_GB2312" w:eastAsia="仿宋_GB2312" w:cs="Times New Roman"/>
          <w:color w:val="000000"/>
          <w:sz w:val="32"/>
          <w:szCs w:val="32"/>
          <w:u w:val="single"/>
          <w:lang w:val="en-US" w:eastAsia="zh-CN"/>
        </w:rPr>
        <w:t>2020</w:t>
      </w:r>
      <w:r>
        <w:rPr>
          <w:rFonts w:hint="eastAsia" w:ascii="仿宋_GB2312" w:hAnsi="仿宋" w:eastAsia="仿宋_GB2312" w:cs="仿宋"/>
          <w:color w:val="000000"/>
          <w:sz w:val="32"/>
          <w:szCs w:val="32"/>
        </w:rPr>
        <w:t>年度，本部门决算汇编户数共</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个，比上年增减</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个，分类说明如下：</w:t>
      </w:r>
    </w:p>
    <w:tbl>
      <w:tblPr>
        <w:tblStyle w:val="3"/>
        <w:tblW w:w="8646" w:type="dxa"/>
        <w:tblInd w:w="2" w:type="dxa"/>
        <w:tblLayout w:type="fixed"/>
        <w:tblCellMar>
          <w:top w:w="0" w:type="dxa"/>
          <w:left w:w="0" w:type="dxa"/>
          <w:bottom w:w="0" w:type="dxa"/>
          <w:right w:w="0" w:type="dxa"/>
        </w:tblCellMar>
      </w:tblPr>
      <w:tblGrid>
        <w:gridCol w:w="3602"/>
        <w:gridCol w:w="1082"/>
        <w:gridCol w:w="1092"/>
        <w:gridCol w:w="2870"/>
      </w:tblGrid>
      <w:tr>
        <w:tblPrEx>
          <w:tblCellMar>
            <w:top w:w="0" w:type="dxa"/>
            <w:left w:w="0" w:type="dxa"/>
            <w:bottom w:w="0" w:type="dxa"/>
            <w:right w:w="0" w:type="dxa"/>
          </w:tblCellMar>
        </w:tblPrEx>
        <w:trPr>
          <w:trHeight w:val="60" w:hRule="atLeast"/>
          <w:tblHeader/>
        </w:trPr>
        <w:tc>
          <w:tcPr>
            <w:tcW w:w="3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项目</w:t>
            </w:r>
          </w:p>
        </w:tc>
        <w:tc>
          <w:tcPr>
            <w:tcW w:w="108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数量</w:t>
            </w:r>
          </w:p>
        </w:tc>
        <w:tc>
          <w:tcPr>
            <w:tcW w:w="109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比上年增减</w:t>
            </w:r>
          </w:p>
        </w:tc>
        <w:tc>
          <w:tcPr>
            <w:tcW w:w="287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变动原因说明</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合</w:t>
            </w: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计</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一、单户表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lang w:val="en-US" w:eastAsia="zh-CN"/>
              </w:rPr>
              <w:t>1</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lang w:val="en-US" w:eastAsia="zh-CN"/>
              </w:rPr>
              <w:t>0</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lang w:val="en-US" w:eastAsia="zh-CN"/>
              </w:rPr>
              <w:t>无变动</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二、行政单位汇总录入表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三、事业单位汇总录入表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四、</w:t>
            </w:r>
            <w:r>
              <w:rPr>
                <w:rFonts w:hint="eastAsia" w:ascii="仿宋_GB2312" w:hAnsi="仿宋" w:eastAsia="仿宋_GB2312" w:cs="仿宋_GB2312"/>
                <w:color w:val="000000"/>
                <w:sz w:val="22"/>
                <w:szCs w:val="24"/>
              </w:rPr>
              <w:t>经费自理事业单位汇总录入表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五、乡镇汇总录入表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六、其他单位汇总录入表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七、经费差额表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八、调整表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九、叠加汇总表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bl>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二、基础数据核对情况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（1）本部门本年度实际收到的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仿宋"/>
          <w:color w:val="000000"/>
          <w:sz w:val="32"/>
          <w:szCs w:val="32"/>
          <w:lang w:val="en-US" w:eastAsia="zh-CN"/>
        </w:rPr>
        <w:t>147.79</w:t>
      </w:r>
      <w:r>
        <w:rPr>
          <w:rFonts w:hint="eastAsia" w:ascii="仿宋_GB2312" w:hAnsi="仿宋" w:eastAsia="仿宋_GB2312" w:cs="仿宋"/>
          <w:color w:val="000000"/>
          <w:sz w:val="32"/>
          <w:szCs w:val="32"/>
        </w:rPr>
        <w:t>万元，财政部门拨款对账单</w:t>
      </w:r>
      <w:r>
        <w:rPr>
          <w:rFonts w:hint="eastAsia" w:ascii="仿宋_GB2312" w:hAnsi="仿宋" w:eastAsia="仿宋_GB2312" w:cs="仿宋"/>
          <w:color w:val="000000"/>
          <w:sz w:val="32"/>
          <w:szCs w:val="32"/>
          <w:lang w:val="en-US" w:eastAsia="zh-CN"/>
        </w:rPr>
        <w:t>147.79</w:t>
      </w:r>
      <w:r>
        <w:rPr>
          <w:rFonts w:hint="eastAsia" w:ascii="仿宋_GB2312" w:hAnsi="仿宋" w:eastAsia="仿宋_GB2312" w:cs="仿宋"/>
          <w:color w:val="000000"/>
          <w:sz w:val="32"/>
          <w:szCs w:val="32"/>
        </w:rPr>
        <w:t>万元，差额</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（2）本部门本年度政府性基金预算财政拨款收入</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万元，财政部门拨款对账单</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b/>
          <w:color w:val="000000"/>
          <w:sz w:val="32"/>
          <w:szCs w:val="32"/>
        </w:rPr>
      </w:pPr>
      <w:r>
        <w:rPr>
          <w:rFonts w:hint="eastAsia" w:ascii="仿宋_GB2312" w:hAnsi="仿宋" w:eastAsia="仿宋_GB2312" w:cs="仿宋"/>
          <w:b/>
          <w:color w:val="000000"/>
          <w:sz w:val="32"/>
          <w:szCs w:val="32"/>
        </w:rPr>
        <w:t>2．其他需要说明的情况</w:t>
      </w:r>
    </w:p>
    <w:p>
      <w:pPr>
        <w:spacing w:line="578" w:lineRule="exact"/>
        <w:ind w:firstLine="709"/>
        <w:rPr>
          <w:rFonts w:ascii="仿宋_GB2312" w:hAnsi="仿宋" w:eastAsia="仿宋_GB2312" w:cs="Times New Roman"/>
          <w:b/>
          <w:color w:val="000000"/>
          <w:sz w:val="32"/>
          <w:szCs w:val="32"/>
        </w:rPr>
      </w:pPr>
      <w:r>
        <w:rPr>
          <w:rFonts w:hint="eastAsia" w:ascii="仿宋_GB2312" w:hAnsi="仿宋" w:eastAsia="仿宋_GB2312" w:cs="仿宋"/>
          <w:color w:val="000000"/>
          <w:sz w:val="32"/>
          <w:szCs w:val="32"/>
        </w:rPr>
        <w:t>无其他需要说明的情况</w:t>
      </w:r>
      <w:bookmarkStart w:id="0" w:name="_GoBack"/>
      <w:bookmarkEnd w:id="0"/>
    </w:p>
    <w:p>
      <w:pPr>
        <w:ind w:firstLine="643" w:firstLineChars="200"/>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spacing w:line="578" w:lineRule="exact"/>
        <w:ind w:firstLine="640" w:firstLineChars="200"/>
        <w:rPr>
          <w:rFonts w:ascii="方正仿宋简体" w:eastAsia="方正仿宋简体"/>
          <w:color w:val="C00000"/>
        </w:rPr>
      </w:pPr>
      <w:r>
        <w:rPr>
          <w:rFonts w:hint="eastAsia" w:ascii="方正仿宋简体" w:hAnsi="仿宋" w:eastAsia="方正仿宋简体" w:cs="仿宋"/>
          <w:color w:val="000000"/>
          <w:sz w:val="32"/>
          <w:szCs w:val="32"/>
        </w:rPr>
        <w:t>1．全口径、</w:t>
      </w:r>
      <w:r>
        <w:rPr>
          <w:rFonts w:hint="eastAsia" w:ascii="方正仿宋简体" w:hAnsi="仿宋" w:eastAsia="方正仿宋简体" w:cs="仿宋"/>
          <w:bCs/>
          <w:color w:val="000000"/>
          <w:sz w:val="32"/>
          <w:szCs w:val="32"/>
        </w:rPr>
        <w:t>一般</w:t>
      </w:r>
      <w:r>
        <w:rPr>
          <w:rFonts w:hint="eastAsia" w:ascii="方正仿宋简体" w:hAnsi="仿宋" w:eastAsia="方正仿宋简体" w:cs="仿宋"/>
          <w:color w:val="000000"/>
          <w:sz w:val="32"/>
          <w:szCs w:val="32"/>
        </w:rPr>
        <w:t>公共预算财政拨款和政府性基金预算财政拨款的结转和结余资金本年年初数与上年年末数不一致的</w:t>
      </w:r>
      <w:r>
        <w:rPr>
          <w:rFonts w:hint="eastAsia" w:ascii="方正仿宋简体" w:hAnsi="仿宋" w:eastAsia="方正仿宋简体" w:cs="仿宋"/>
          <w:sz w:val="32"/>
          <w:szCs w:val="32"/>
        </w:rPr>
        <w:t>情况说明，包括会计</w:t>
      </w:r>
      <w:r>
        <w:rPr>
          <w:rFonts w:hint="eastAsia" w:ascii="方正仿宋简体" w:hAnsi="仿宋" w:eastAsia="方正仿宋简体" w:cs="仿宋"/>
          <w:bCs/>
          <w:sz w:val="32"/>
          <w:szCs w:val="32"/>
        </w:rPr>
        <w:t>差错更正、收回以前年度支出</w:t>
      </w:r>
      <w:r>
        <w:rPr>
          <w:rFonts w:hint="eastAsia" w:ascii="方正仿宋简体" w:hAnsi="仿宋" w:eastAsia="方正仿宋简体" w:cs="仿宋"/>
          <w:sz w:val="32"/>
          <w:szCs w:val="32"/>
        </w:rPr>
        <w:t>、归集调入、归集调出、归集上缴和缴回资金及单位内部调剂等情况（附表</w:t>
      </w:r>
      <w:r>
        <w:rPr>
          <w:rFonts w:hint="eastAsia" w:ascii="方正仿宋简体" w:hAnsi="仿宋" w:eastAsia="方正仿宋简体" w:cs="仿宋"/>
          <w:bCs/>
          <w:sz w:val="32"/>
          <w:szCs w:val="32"/>
        </w:rPr>
        <w:t>1</w:t>
      </w:r>
      <w:r>
        <w:rPr>
          <w:rFonts w:hint="eastAsia" w:ascii="方正仿宋简体" w:hAnsi="仿宋" w:eastAsia="方正仿宋简体" w:cs="仿宋"/>
          <w:sz w:val="32"/>
          <w:szCs w:val="32"/>
        </w:rPr>
        <w:t>）。因新旧会计制度转换，按照法定会计政策变更追溯调整形成的差异，在“其他”栏目填列并在备注予以说明。</w:t>
      </w:r>
    </w:p>
    <w:p>
      <w:pPr>
        <w:spacing w:line="578" w:lineRule="exact"/>
        <w:ind w:firstLine="709"/>
        <w:rPr>
          <w:rFonts w:ascii="方正仿宋简体" w:hAnsi="仿宋" w:eastAsia="方正仿宋简体" w:cs="Times New Roman"/>
          <w:color w:val="000000"/>
          <w:sz w:val="32"/>
          <w:szCs w:val="32"/>
        </w:rPr>
      </w:pPr>
      <w:r>
        <w:rPr>
          <w:rFonts w:hint="eastAsia" w:ascii="方正仿宋简体" w:hAnsi="仿宋" w:eastAsia="方正仿宋简体" w:cs="仿宋"/>
          <w:color w:val="000000"/>
          <w:sz w:val="32"/>
          <w:szCs w:val="32"/>
        </w:rPr>
        <w:t>2．主要指标上下年变动幅度超过20%，其中机构人员指标上下年有变动的，应具体核实并说明原因（附表</w:t>
      </w:r>
      <w:r>
        <w:rPr>
          <w:rFonts w:hint="eastAsia" w:ascii="方正仿宋简体" w:hAnsi="仿宋" w:eastAsia="方正仿宋简体" w:cs="仿宋"/>
          <w:bCs/>
          <w:color w:val="000000"/>
          <w:sz w:val="32"/>
          <w:szCs w:val="32"/>
        </w:rPr>
        <w:t>2</w:t>
      </w:r>
      <w:r>
        <w:rPr>
          <w:rFonts w:hint="eastAsia" w:ascii="方正仿宋简体" w:hAnsi="仿宋" w:eastAsia="方正仿宋简体" w:cs="仿宋"/>
          <w:color w:val="000000"/>
          <w:sz w:val="32"/>
          <w:szCs w:val="32"/>
        </w:rPr>
        <w:t>）。</w:t>
      </w:r>
    </w:p>
    <w:p>
      <w:pPr>
        <w:ind w:firstLine="709"/>
        <w:rPr>
          <w:rFonts w:ascii="黑体" w:hAnsi="黑体" w:eastAsia="黑体" w:cs="Times New Roman"/>
          <w:color w:val="000000"/>
          <w:sz w:val="32"/>
          <w:szCs w:val="32"/>
        </w:rPr>
      </w:pPr>
      <w:r>
        <w:rPr>
          <w:rFonts w:hint="eastAsia" w:ascii="黑体" w:hAnsi="黑体" w:eastAsia="黑体" w:cs="黑体"/>
          <w:color w:val="000000"/>
          <w:sz w:val="32"/>
          <w:szCs w:val="32"/>
        </w:rPr>
        <w:t>三、报表审核情况</w:t>
      </w:r>
    </w:p>
    <w:p>
      <w:pPr>
        <w:ind w:firstLine="709"/>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（一）审核情况</w:t>
      </w:r>
    </w:p>
    <w:p>
      <w:pPr>
        <w:spacing w:line="578" w:lineRule="exact"/>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spacing w:line="578" w:lineRule="exact"/>
        <w:ind w:firstLine="709"/>
        <w:rPr>
          <w:rFonts w:ascii="方正仿宋简体" w:hAnsi="仿宋" w:eastAsia="方正仿宋简体" w:cs="仿宋"/>
          <w:color w:val="000000"/>
          <w:sz w:val="32"/>
          <w:szCs w:val="32"/>
        </w:rPr>
      </w:pPr>
      <w:r>
        <w:rPr>
          <w:rFonts w:hint="eastAsia" w:ascii="方正仿宋简体" w:hAnsi="仿宋" w:eastAsia="方正仿宋简体" w:cs="仿宋"/>
          <w:color w:val="000000"/>
          <w:sz w:val="32"/>
          <w:szCs w:val="32"/>
        </w:rPr>
        <w:t>审核公式共提示0条。其中：</w:t>
      </w:r>
    </w:p>
    <w:p>
      <w:pPr>
        <w:spacing w:line="578" w:lineRule="exact"/>
        <w:ind w:left="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（1）表间公式共0条</w:t>
      </w:r>
      <w:r>
        <w:rPr>
          <w:rFonts w:hint="eastAsia" w:ascii="仿宋_GB2312" w:hAnsi="仿宋" w:eastAsia="仿宋_GB2312" w:cs="仿宋"/>
          <w:b/>
          <w:bCs/>
          <w:color w:val="000000"/>
          <w:sz w:val="32"/>
          <w:szCs w:val="32"/>
        </w:rPr>
        <w:tab/>
      </w:r>
    </w:p>
    <w:p>
      <w:pPr>
        <w:spacing w:line="578" w:lineRule="exact"/>
        <w:ind w:left="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（2）表内公式共0条</w:t>
      </w:r>
    </w:p>
    <w:p>
      <w:pPr>
        <w:spacing w:line="578" w:lineRule="exact"/>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2．审核模板</w:t>
      </w:r>
    </w:p>
    <w:p>
      <w:pPr>
        <w:spacing w:line="578" w:lineRule="exact"/>
        <w:ind w:firstLine="709"/>
        <w:rPr>
          <w:rFonts w:ascii="仿宋_GB2312" w:hAnsi="仿宋" w:eastAsia="仿宋_GB2312" w:cs="仿宋"/>
          <w:b/>
          <w:bCs/>
          <w:color w:val="000000"/>
          <w:sz w:val="32"/>
          <w:szCs w:val="32"/>
        </w:rPr>
      </w:pPr>
      <w:r>
        <w:rPr>
          <w:rFonts w:hint="eastAsia" w:ascii="仿宋_GB2312" w:hAnsi="仿宋" w:eastAsia="仿宋_GB2312" w:cs="仿宋"/>
          <w:color w:val="000000"/>
          <w:sz w:val="32"/>
          <w:szCs w:val="32"/>
        </w:rPr>
        <w:t>本部门无审核模板说明项</w:t>
      </w:r>
      <w:r>
        <w:rPr>
          <w:rFonts w:hint="eastAsia" w:ascii="仿宋_GB2312" w:hAnsi="仿宋" w:eastAsia="仿宋_GB2312" w:cs="仿宋"/>
          <w:b/>
          <w:bCs/>
          <w:color w:val="000000"/>
          <w:sz w:val="32"/>
          <w:szCs w:val="32"/>
        </w:rPr>
        <w:t>。</w:t>
      </w:r>
    </w:p>
    <w:p>
      <w:pPr>
        <w:ind w:firstLine="0"/>
        <w:rPr>
          <w:rFonts w:ascii="楷体_GB2312" w:hAnsi="Times New Roman" w:eastAsia="楷体_GB2312" w:cs="Times New Roman"/>
          <w:b/>
          <w:color w:val="000000"/>
          <w:sz w:val="32"/>
          <w:szCs w:val="32"/>
        </w:rPr>
      </w:pPr>
      <w:r>
        <w:rPr>
          <w:rFonts w:hint="eastAsia" w:ascii="楷体_GB2312" w:hAnsi="仿宋" w:eastAsia="楷体_GB2312" w:cs="仿宋"/>
          <w:b/>
          <w:color w:val="000000"/>
          <w:sz w:val="32"/>
          <w:szCs w:val="32"/>
          <w:lang w:val="en-US" w:eastAsia="zh-CN"/>
        </w:rPr>
        <w:t xml:space="preserve">   </w:t>
      </w:r>
      <w:r>
        <w:rPr>
          <w:rFonts w:hint="eastAsia" w:ascii="楷体_GB2312" w:hAnsi="仿宋" w:eastAsia="楷体_GB2312" w:cs="仿宋"/>
          <w:b/>
          <w:color w:val="000000"/>
          <w:sz w:val="32"/>
          <w:szCs w:val="32"/>
        </w:rPr>
        <w:t>（二）对报表指标、审核公式和审核模板的设置建议。</w:t>
      </w:r>
    </w:p>
    <w:p>
      <w:pPr>
        <w:spacing w:line="578" w:lineRule="exact"/>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本部门对报表指标、审核公式和审核模板的设置没有任何异议。</w:t>
      </w:r>
    </w:p>
    <w:p>
      <w:pPr>
        <w:ind w:firstLine="709"/>
        <w:rPr>
          <w:rFonts w:ascii="黑体" w:hAnsi="黑体" w:eastAsia="黑体" w:cs="Times New Roman"/>
          <w:color w:val="000000"/>
          <w:sz w:val="32"/>
          <w:szCs w:val="32"/>
        </w:rPr>
      </w:pPr>
      <w:r>
        <w:rPr>
          <w:rFonts w:hint="eastAsia" w:ascii="黑体" w:hAnsi="黑体" w:eastAsia="黑体" w:cs="黑体"/>
          <w:color w:val="000000"/>
          <w:sz w:val="32"/>
          <w:szCs w:val="32"/>
        </w:rPr>
        <w:t>四、决算数据其他需要说明的情况</w:t>
      </w:r>
    </w:p>
    <w:p>
      <w:pPr>
        <w:spacing w:line="578" w:lineRule="exact"/>
        <w:ind w:firstLine="709"/>
        <w:rPr>
          <w:rFonts w:ascii="仿宋_GB2312" w:hAnsi="仿宋" w:eastAsia="仿宋_GB2312" w:cs="仿宋"/>
          <w:sz w:val="32"/>
          <w:szCs w:val="32"/>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z w:val="32"/>
          <w:szCs w:val="32"/>
        </w:rPr>
        <w:t>说明单位从同级财政以外的同级政府部门取得的横向转拨财政款、从上级或下级政府（包括政府财政和政府部门）取得的各类财政款，纳入单位预算管理的投资收益、利息收入、捐赠收入、事业单位固定资产出租收入等情况（附表</w:t>
      </w:r>
      <w:r>
        <w:rPr>
          <w:rFonts w:hint="eastAsia" w:ascii="仿宋_GB2312" w:hAnsi="仿宋" w:eastAsia="仿宋_GB2312" w:cs="仿宋"/>
          <w:bCs/>
          <w:sz w:val="32"/>
          <w:szCs w:val="32"/>
        </w:rPr>
        <w:t>3</w:t>
      </w:r>
      <w:r>
        <w:rPr>
          <w:rFonts w:hint="eastAsia" w:ascii="仿宋_GB2312" w:hAnsi="仿宋" w:eastAsia="仿宋_GB2312" w:cs="仿宋"/>
          <w:sz w:val="32"/>
          <w:szCs w:val="32"/>
        </w:rPr>
        <w:t>）。</w:t>
      </w:r>
    </w:p>
    <w:p>
      <w:pPr>
        <w:spacing w:line="578" w:lineRule="exact"/>
        <w:ind w:firstLine="709"/>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color w:val="000000"/>
          <w:sz w:val="32"/>
          <w:szCs w:val="32"/>
        </w:rPr>
        <w:t>年末结转和结余为负数的原因说明，包括单位财政拨款结转和结余、其他资金结转结余为负数的情况。</w:t>
      </w:r>
    </w:p>
    <w:p>
      <w:pPr>
        <w:spacing w:line="578" w:lineRule="exact"/>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3．“项目支出决算明细表”中列支“工资福利支出”和“对个人和家庭的补助”的依据及说明。</w:t>
      </w:r>
    </w:p>
    <w:p>
      <w:pPr>
        <w:spacing w:line="578" w:lineRule="exact"/>
        <w:ind w:firstLine="709"/>
        <w:rPr>
          <w:rFonts w:ascii="仿宋_GB2312" w:hAnsi="仿宋" w:eastAsia="仿宋_GB2312" w:cs="Times New Roman"/>
          <w:color w:val="FF0000"/>
          <w:sz w:val="32"/>
          <w:szCs w:val="32"/>
        </w:rPr>
      </w:pPr>
      <w:r>
        <w:rPr>
          <w:rFonts w:hint="eastAsia" w:ascii="仿宋_GB2312" w:hAnsi="仿宋" w:eastAsia="仿宋_GB2312" w:cs="仿宋"/>
          <w:color w:val="000000"/>
          <w:sz w:val="32"/>
          <w:szCs w:val="32"/>
        </w:rPr>
        <w:t>4.“三公”经费总额及分项金额与年初预算数、上年决算数对比变动的原因说明，以及相关的公务用车购置及保有量、因公出国（境）团组数及人数和公务接待批次及人数等情况。</w:t>
      </w:r>
    </w:p>
    <w:p>
      <w:pPr>
        <w:spacing w:line="578" w:lineRule="exact"/>
        <w:ind w:firstLine="709"/>
        <w:rPr>
          <w:rFonts w:ascii="仿宋_GB2312" w:hAnsi="仿宋" w:eastAsia="仿宋_GB2312" w:cs="仿宋"/>
          <w:bCs/>
          <w:sz w:val="32"/>
          <w:szCs w:val="32"/>
        </w:rPr>
      </w:pPr>
      <w:r>
        <w:rPr>
          <w:rFonts w:hint="eastAsia" w:ascii="仿宋_GB2312" w:hAnsi="仿宋" w:eastAsia="仿宋_GB2312" w:cs="仿宋"/>
          <w:bCs/>
          <w:color w:val="000000"/>
          <w:sz w:val="32"/>
          <w:szCs w:val="32"/>
        </w:rPr>
        <w:t>5.行</w:t>
      </w:r>
      <w:r>
        <w:rPr>
          <w:rFonts w:hint="eastAsia" w:ascii="仿宋_GB2312" w:hAnsi="仿宋" w:eastAsia="仿宋_GB2312" w:cs="仿宋"/>
          <w:bCs/>
          <w:sz w:val="32"/>
          <w:szCs w:val="32"/>
        </w:rPr>
        <w:t>政单位、参照公务员法管理的事业单位机关运行经费支出情况，以及与上年数对比变动原因说明。</w:t>
      </w:r>
    </w:p>
    <w:p>
      <w:pPr>
        <w:spacing w:line="578" w:lineRule="exact"/>
        <w:ind w:firstLine="709"/>
        <w:rPr>
          <w:rFonts w:ascii="仿宋_GB2312" w:hAnsi="仿宋" w:eastAsia="仿宋_GB2312" w:cs="仿宋"/>
          <w:sz w:val="32"/>
          <w:szCs w:val="32"/>
        </w:rPr>
      </w:pPr>
      <w:r>
        <w:rPr>
          <w:rFonts w:hint="eastAsia" w:ascii="仿宋_GB2312" w:hAnsi="仿宋" w:eastAsia="仿宋_GB2312" w:cs="仿宋"/>
          <w:bCs/>
          <w:sz w:val="32"/>
          <w:szCs w:val="32"/>
        </w:rPr>
        <w:t>6.政府采购支出情况，包括采购类型、采购规模和授予中小企业合同金额等。</w:t>
      </w:r>
    </w:p>
    <w:p>
      <w:pPr>
        <w:spacing w:line="578" w:lineRule="exact"/>
        <w:ind w:firstLine="709"/>
        <w:rPr>
          <w:rFonts w:ascii="仿宋_GB2312" w:hAnsi="仿宋" w:eastAsia="仿宋_GB2312" w:cs="仿宋"/>
          <w:bCs/>
          <w:sz w:val="32"/>
          <w:szCs w:val="32"/>
        </w:rPr>
      </w:pPr>
      <w:r>
        <w:rPr>
          <w:rFonts w:hint="eastAsia" w:ascii="仿宋_GB2312" w:hAnsi="仿宋" w:eastAsia="仿宋_GB2312" w:cs="仿宋"/>
          <w:bCs/>
          <w:sz w:val="32"/>
          <w:szCs w:val="32"/>
        </w:rPr>
        <w:t>7.中央单位财政拨款结转和结余情况（附表4）。</w:t>
      </w:r>
    </w:p>
    <w:p>
      <w:pPr>
        <w:spacing w:line="578" w:lineRule="exact"/>
        <w:ind w:firstLine="709"/>
        <w:rPr>
          <w:rFonts w:ascii="仿宋_GB2312" w:hAnsi="仿宋" w:eastAsia="仿宋_GB2312" w:cs="仿宋"/>
          <w:bCs/>
          <w:sz w:val="32"/>
          <w:szCs w:val="32"/>
        </w:rPr>
      </w:pPr>
      <w:r>
        <w:rPr>
          <w:rFonts w:hint="eastAsia" w:ascii="仿宋_GB2312" w:hAnsi="仿宋" w:eastAsia="仿宋_GB2312" w:cs="仿宋"/>
          <w:bCs/>
          <w:sz w:val="32"/>
          <w:szCs w:val="32"/>
        </w:rPr>
        <w:t>8.中央单位驻外机构有关情况（附表5、6）。</w:t>
      </w:r>
    </w:p>
    <w:p>
      <w:pPr>
        <w:spacing w:line="578" w:lineRule="exact"/>
        <w:ind w:firstLine="709"/>
        <w:rPr>
          <w:rFonts w:ascii="仿宋_GB2312" w:hAnsi="仿宋" w:eastAsia="仿宋_GB2312" w:cs="仿宋"/>
          <w:bCs/>
          <w:sz w:val="32"/>
          <w:szCs w:val="32"/>
        </w:rPr>
      </w:pPr>
      <w:r>
        <w:rPr>
          <w:rFonts w:hint="eastAsia" w:ascii="仿宋_GB2312" w:hAnsi="仿宋" w:eastAsia="仿宋_GB2312" w:cs="仿宋"/>
          <w:bCs/>
          <w:sz w:val="32"/>
          <w:szCs w:val="32"/>
        </w:rPr>
        <w:t>9.住房公积金管理中心住房公积金业务收支情况（附表7）。</w:t>
      </w:r>
    </w:p>
    <w:p>
      <w:pPr>
        <w:spacing w:line="578" w:lineRule="exact"/>
        <w:ind w:firstLine="709"/>
        <w:rPr>
          <w:rFonts w:ascii="仿宋_GB2312" w:hAnsi="仿宋" w:eastAsia="仿宋_GB2312" w:cs="仿宋"/>
          <w:color w:val="000000"/>
          <w:sz w:val="32"/>
          <w:szCs w:val="32"/>
        </w:rPr>
      </w:pPr>
      <w:r>
        <w:rPr>
          <w:rFonts w:hint="eastAsia" w:ascii="仿宋_GB2312" w:hAnsi="仿宋" w:eastAsia="仿宋_GB2312" w:cs="仿宋"/>
          <w:bCs/>
          <w:sz w:val="32"/>
          <w:szCs w:val="32"/>
        </w:rPr>
        <w:t>10.“收入支出决算总表”中如调</w:t>
      </w:r>
      <w:r>
        <w:rPr>
          <w:rFonts w:hint="eastAsia" w:ascii="仿宋_GB2312" w:hAnsi="仿宋" w:eastAsia="仿宋_GB2312" w:cs="仿宋"/>
          <w:bCs/>
          <w:color w:val="000000"/>
          <w:sz w:val="32"/>
          <w:szCs w:val="32"/>
        </w:rPr>
        <w:t>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spacing w:line="578" w:lineRule="exact"/>
        <w:ind w:firstLine="709"/>
        <w:rPr>
          <w:rFonts w:ascii="仿宋_GB2312" w:hAnsi="仿宋" w:eastAsia="仿宋_GB2312" w:cs="仿宋"/>
          <w:sz w:val="32"/>
          <w:szCs w:val="32"/>
        </w:rPr>
      </w:pPr>
      <w:r>
        <w:rPr>
          <w:rFonts w:hint="eastAsia" w:ascii="仿宋_GB2312" w:hAnsi="仿宋" w:eastAsia="仿宋_GB2312" w:cs="仿宋"/>
          <w:bCs/>
          <w:sz w:val="32"/>
          <w:szCs w:val="32"/>
        </w:rPr>
        <w:t>11.深化党和国家机构改革对决算编报相关方面的影响。</w:t>
      </w:r>
    </w:p>
    <w:p>
      <w:pPr>
        <w:spacing w:line="578" w:lineRule="exact"/>
        <w:ind w:firstLine="709"/>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12.</w:t>
      </w:r>
      <w:r>
        <w:rPr>
          <w:rFonts w:hint="eastAsia" w:ascii="仿宋_GB2312" w:hAnsi="仿宋" w:eastAsia="仿宋_GB2312" w:cs="仿宋"/>
          <w:color w:val="000000"/>
          <w:sz w:val="32"/>
          <w:szCs w:val="32"/>
        </w:rPr>
        <w:t>其他需要说明的问题。</w:t>
      </w:r>
    </w:p>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E5F"/>
    <w:rsid w:val="19DA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2021-01-19T07:34:00Z</dcterms:created>
  <dc:creator>陈先生</dc:creator>
  <cp:lastModifiedBy>陈先生</cp:lastModifiedBy>
  <dcterms:modified xsi:type="dcterms:W3CDTF">2021-01-19T07:39:52Z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407101178_btnclosed</vt:lpwstr>
  </property>
</Properties>
</file>