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A1F5F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center"/>
        <w:rPr>
          <w:rFonts w:hint="eastAsia" w:ascii="Times New Roman" w:hAnsi="Times New Roman" w:eastAsia="方正小标宋简体" w:cs="Times New Roman"/>
          <w:b/>
          <w:bCs/>
          <w:color w:val="000000" w:themeColor="text1"/>
          <w:sz w:val="36"/>
          <w:szCs w:val="36"/>
          <w:shd w:val="clear" w:color="auto" w:fill="FFFFFF"/>
          <w:lang w:eastAsia="zh-CN"/>
        </w:rPr>
      </w:pPr>
      <w:r>
        <w:rPr>
          <w:rFonts w:hint="default" w:ascii="Times New Roman" w:hAnsi="Times New Roman" w:eastAsia="方正小标宋简体" w:cs="Times New Roman"/>
          <w:color w:val="auto"/>
          <w:kern w:val="0"/>
          <w:sz w:val="36"/>
          <w:szCs w:val="36"/>
        </w:rPr>
        <w:t>关于</w:t>
      </w:r>
      <w:r>
        <w:rPr>
          <w:rFonts w:hint="default" w:ascii="Times New Roman" w:hAnsi="Times New Roman" w:eastAsia="方正小标宋简体" w:cs="Times New Roman"/>
          <w:color w:val="auto"/>
          <w:kern w:val="0"/>
          <w:sz w:val="36"/>
          <w:szCs w:val="36"/>
          <w:lang w:eastAsia="zh-CN"/>
        </w:rPr>
        <w:t>调整</w:t>
      </w:r>
      <w:r>
        <w:rPr>
          <w:rFonts w:hint="default" w:ascii="Times New Roman" w:hAnsi="Times New Roman" w:eastAsia="方正小标宋简体" w:cs="Times New Roman"/>
          <w:color w:val="auto"/>
          <w:kern w:val="0"/>
          <w:sz w:val="36"/>
          <w:szCs w:val="36"/>
        </w:rPr>
        <w:t>高排放非道路移动机械禁止使用区的通告</w:t>
      </w:r>
    </w:p>
    <w:p w14:paraId="15B32B2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default" w:ascii="Times New Roman" w:hAnsi="Times New Roman" w:cs="Times New Roman"/>
          <w:color w:val="333333"/>
          <w:sz w:val="28"/>
          <w:szCs w:val="28"/>
        </w:rPr>
      </w:pPr>
      <w:r>
        <w:rPr>
          <w:rFonts w:hint="eastAsia" w:ascii="仿宋_GB2312" w:hAnsi="宋体" w:eastAsia="仿宋_GB2312" w:cs="宋体"/>
          <w:color w:val="auto"/>
          <w:kern w:val="0"/>
          <w:sz w:val="32"/>
          <w:szCs w:val="32"/>
          <w:lang w:eastAsia="zh-CN"/>
        </w:rPr>
        <w:t>（征求意见稿）</w:t>
      </w:r>
    </w:p>
    <w:p w14:paraId="22BBCCFE">
      <w:pPr>
        <w:pStyle w:val="2"/>
        <w:keepNext w:val="0"/>
        <w:keepLines w:val="0"/>
        <w:pageBreakBefore w:val="0"/>
        <w:widowControl/>
        <w:shd w:val="clear" w:color="auto" w:fill="FFFFFF"/>
        <w:kinsoku/>
        <w:wordWrap/>
        <w:overflowPunct/>
        <w:topLinePunct w:val="0"/>
        <w:autoSpaceDE/>
        <w:autoSpaceDN/>
        <w:bidi w:val="0"/>
        <w:adjustRightInd/>
        <w:snapToGrid/>
        <w:spacing w:before="313" w:beforeLines="100" w:beforeAutospacing="0" w:after="0" w:afterAutospacing="0" w:line="420" w:lineRule="atLeast"/>
        <w:ind w:firstLine="459"/>
        <w:jc w:val="both"/>
        <w:textAlignment w:val="auto"/>
        <w:rPr>
          <w:rFonts w:hint="default"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为有效减少非道路移动机械污染排放，改善环境空气质量，保障人民群众的身体健康，根据《中华人民共和国大气污染防治法》有关规定，</w:t>
      </w:r>
      <w:r>
        <w:rPr>
          <w:rFonts w:hint="default" w:ascii="Times New Roman" w:hAnsi="Times New Roman" w:eastAsia="仿宋_GB2312" w:cs="Times New Roman"/>
          <w:color w:val="auto"/>
          <w:kern w:val="0"/>
          <w:sz w:val="32"/>
          <w:szCs w:val="32"/>
        </w:rPr>
        <w:t>结合实际</w:t>
      </w:r>
      <w:r>
        <w:rPr>
          <w:rFonts w:hint="default"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lang w:val="en-US" w:eastAsia="zh-CN" w:bidi="ar-SA"/>
        </w:rPr>
        <w:t>决定调整万源</w:t>
      </w:r>
      <w:bookmarkStart w:id="0" w:name="_GoBack"/>
      <w:bookmarkEnd w:id="0"/>
      <w:r>
        <w:rPr>
          <w:rFonts w:hint="default" w:ascii="Times New Roman" w:hAnsi="Times New Roman" w:eastAsia="仿宋_GB2312" w:cs="Times New Roman"/>
          <w:color w:val="auto"/>
          <w:kern w:val="0"/>
          <w:sz w:val="32"/>
          <w:szCs w:val="32"/>
          <w:lang w:val="en-US" w:eastAsia="zh-CN" w:bidi="ar-SA"/>
        </w:rPr>
        <w:t>市高排放非道路移动机械禁止使用区（以下简称：禁用区）。现将有关事项通告如下：</w:t>
      </w:r>
    </w:p>
    <w:p w14:paraId="2AC46960">
      <w:pPr>
        <w:pStyle w:val="2"/>
        <w:keepNext w:val="0"/>
        <w:keepLines w:val="0"/>
        <w:pageBreakBefore w:val="0"/>
        <w:widowControl/>
        <w:numPr>
          <w:ilvl w:val="0"/>
          <w:numId w:val="1"/>
        </w:numPr>
        <w:shd w:val="clear" w:color="auto" w:fill="FFFFFF"/>
        <w:kinsoku/>
        <w:wordWrap/>
        <w:overflowPunct/>
        <w:topLinePunct w:val="0"/>
        <w:autoSpaceDE/>
        <w:autoSpaceDN/>
        <w:bidi w:val="0"/>
        <w:adjustRightInd/>
        <w:snapToGrid/>
        <w:spacing w:before="0" w:beforeAutospacing="0" w:after="0" w:afterAutospacing="0" w:line="420" w:lineRule="atLeast"/>
        <w:ind w:firstLine="640" w:firstLineChars="200"/>
        <w:jc w:val="both"/>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color w:val="auto"/>
          <w:kern w:val="0"/>
          <w:sz w:val="32"/>
          <w:szCs w:val="32"/>
          <w:lang w:val="en-US" w:eastAsia="zh-CN" w:bidi="ar-SA"/>
        </w:rPr>
        <w:t>禁用区调整范围</w:t>
      </w:r>
      <w:r>
        <w:rPr>
          <w:rFonts w:hint="default" w:ascii="Times New Roman" w:hAnsi="Times New Roman" w:eastAsia="仿宋_GB2312" w:cs="Times New Roman"/>
          <w:color w:val="auto"/>
          <w:kern w:val="0"/>
          <w:sz w:val="32"/>
          <w:szCs w:val="32"/>
        </w:rPr>
        <w:t>为《万源市国土空间总体规划（</w:t>
      </w:r>
      <w:r>
        <w:rPr>
          <w:rFonts w:hint="default" w:ascii="Times New Roman" w:hAnsi="Times New Roman" w:eastAsia="宋体" w:cs="Times New Roman"/>
          <w:color w:val="auto"/>
          <w:kern w:val="0"/>
          <w:sz w:val="32"/>
          <w:szCs w:val="32"/>
        </w:rPr>
        <w:t>2021—2035</w:t>
      </w:r>
      <w:r>
        <w:rPr>
          <w:rFonts w:hint="default" w:ascii="Times New Roman" w:hAnsi="Times New Roman" w:eastAsia="仿宋_GB2312" w:cs="Times New Roman"/>
          <w:color w:val="auto"/>
          <w:kern w:val="0"/>
          <w:sz w:val="32"/>
          <w:szCs w:val="32"/>
        </w:rPr>
        <w:t>年）》城市规划范围主要区域。具体范围是：北至210国道观音峡取水点，南至大岩窝210国道与殡仪馆出口道路交汇处，西至庙沟文家院子，东至万白路与物流园道路交汇口四点连线所形成闭合区域内的所有区域。</w:t>
      </w:r>
    </w:p>
    <w:p w14:paraId="27403C90">
      <w:pPr>
        <w:pStyle w:val="2"/>
        <w:keepNext w:val="0"/>
        <w:keepLines w:val="0"/>
        <w:pageBreakBefore w:val="0"/>
        <w:widowControl/>
        <w:numPr>
          <w:ilvl w:val="0"/>
          <w:numId w:val="1"/>
        </w:numPr>
        <w:shd w:val="clear" w:color="auto" w:fill="FFFFFF"/>
        <w:kinsoku/>
        <w:wordWrap/>
        <w:overflowPunct/>
        <w:topLinePunct w:val="0"/>
        <w:autoSpaceDE/>
        <w:autoSpaceDN/>
        <w:bidi w:val="0"/>
        <w:adjustRightInd/>
        <w:snapToGrid/>
        <w:spacing w:before="0" w:beforeAutospacing="0" w:after="0" w:afterAutospacing="0" w:line="420" w:lineRule="atLeast"/>
        <w:ind w:firstLine="640" w:firstLineChars="200"/>
        <w:jc w:val="both"/>
        <w:textAlignment w:val="auto"/>
        <w:rPr>
          <w:rFonts w:hint="default"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高排放非道路移动机械类型：在禁用区内，禁止使用排放污染物限值标准国I（含）及以下装用柴油机的在用工程类非道路移动机械，包括但不限于装载机、挖掘机、推土机、压路机、沥青摊铺机、叉车、非公路用卡车等。</w:t>
      </w:r>
    </w:p>
    <w:p w14:paraId="4F04A2F0">
      <w:pPr>
        <w:pStyle w:val="2"/>
        <w:keepNext w:val="0"/>
        <w:keepLines w:val="0"/>
        <w:pageBreakBefore w:val="0"/>
        <w:widowControl/>
        <w:numPr>
          <w:ilvl w:val="0"/>
          <w:numId w:val="1"/>
        </w:numPr>
        <w:shd w:val="clear" w:color="auto" w:fill="FFFFFF"/>
        <w:kinsoku/>
        <w:wordWrap/>
        <w:overflowPunct/>
        <w:topLinePunct w:val="0"/>
        <w:autoSpaceDE/>
        <w:autoSpaceDN/>
        <w:bidi w:val="0"/>
        <w:adjustRightInd/>
        <w:snapToGrid/>
        <w:spacing w:before="0" w:beforeAutospacing="0" w:after="0" w:afterAutospacing="0" w:line="420" w:lineRule="atLeast"/>
        <w:ind w:firstLine="640" w:firstLineChars="200"/>
        <w:jc w:val="both"/>
        <w:textAlignment w:val="auto"/>
        <w:rPr>
          <w:rFonts w:hint="default"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对违反本通告规定的，由相关部门依据《中华人民共和国大气污染防治法》等法律法规规定予以处罚。</w:t>
      </w:r>
    </w:p>
    <w:p w14:paraId="78EEB416">
      <w:pPr>
        <w:pStyle w:val="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420" w:lineRule="atLeast"/>
        <w:ind w:firstLine="462"/>
        <w:jc w:val="both"/>
        <w:textAlignment w:val="auto"/>
        <w:rPr>
          <w:rFonts w:hint="default" w:ascii="Times New Roman" w:hAnsi="Times New Roman" w:eastAsia="仿宋_GB2312" w:cs="Times New Roman"/>
          <w:color w:val="auto"/>
          <w:kern w:val="0"/>
          <w:sz w:val="32"/>
          <w:szCs w:val="32"/>
          <w:lang w:val="en-US" w:eastAsia="zh-CN" w:bidi="ar-SA"/>
        </w:rPr>
      </w:pPr>
      <w:r>
        <w:rPr>
          <w:rFonts w:hint="default" w:ascii="Times New Roman" w:hAnsi="Times New Roman" w:eastAsia="仿宋_GB2312" w:cs="Times New Roman"/>
          <w:color w:val="auto"/>
          <w:kern w:val="0"/>
          <w:sz w:val="32"/>
          <w:szCs w:val="32"/>
          <w:lang w:val="en-US" w:eastAsia="zh-CN" w:bidi="ar-SA"/>
        </w:rPr>
        <w:t>四、本通告自2025年9月1日起施行，有效期5年。</w:t>
      </w:r>
    </w:p>
    <w:p w14:paraId="5541E2BA">
      <w:pPr>
        <w:pStyle w:val="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420" w:lineRule="atLeast"/>
        <w:jc w:val="right"/>
        <w:textAlignment w:val="auto"/>
        <w:rPr>
          <w:rFonts w:hint="default" w:ascii="Times New Roman" w:hAnsi="Times New Roman" w:cs="Times New Roman"/>
          <w:color w:val="333333"/>
          <w:sz w:val="28"/>
          <w:szCs w:val="28"/>
        </w:rPr>
      </w:pPr>
      <w:r>
        <w:rPr>
          <w:rFonts w:hint="eastAsia" w:ascii="Times New Roman" w:hAnsi="Times New Roman" w:eastAsia="仿宋_GB2312" w:cs="Times New Roman"/>
          <w:color w:val="auto"/>
          <w:kern w:val="0"/>
          <w:sz w:val="32"/>
          <w:szCs w:val="32"/>
          <w:lang w:val="en-US" w:eastAsia="zh-CN" w:bidi="ar-SA"/>
        </w:rPr>
        <w:t xml:space="preserve">                               </w:t>
      </w:r>
    </w:p>
    <w:p w14:paraId="5B8A5161">
      <w:pPr>
        <w:rPr>
          <w:rFonts w:hint="default" w:ascii="Times New Roman" w:hAnsi="Times New Roman"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D4BD27"/>
    <w:multiLevelType w:val="singleLevel"/>
    <w:tmpl w:val="98D4BD2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31EA2"/>
    <w:rsid w:val="00031EA2"/>
    <w:rsid w:val="00BB7B1E"/>
    <w:rsid w:val="09EF7D0F"/>
    <w:rsid w:val="141D3890"/>
    <w:rsid w:val="2177398C"/>
    <w:rsid w:val="29D50668"/>
    <w:rsid w:val="62E91215"/>
    <w:rsid w:val="6EA268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Pages>
  <Words>416</Words>
  <Characters>431</Characters>
  <Lines>2</Lines>
  <Paragraphs>1</Paragraphs>
  <TotalTime>0</TotalTime>
  <ScaleCrop>false</ScaleCrop>
  <LinksUpToDate>false</LinksUpToDate>
  <CharactersWithSpaces>462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2025-05-21T01:15:00Z</dcterms:created>
  <dc:creator>China</dc:creator>
  <cp:lastModifiedBy>程斌</cp:lastModifiedBy>
  <dcterms:modified xsi:type="dcterms:W3CDTF">2025-05-22T04:50:48Z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eyJoZGlkIjoiYmNlYzE5NTYzZGZhNzFlZWZmMzNmMzllZGFjYjc2M2QiLCJ1c2VySWQiOiIxNjY3MDIwMTY0In0=</vt:lpwstr>
  </property>
  <property fmtid="{D5CDD505-2E9C-101B-9397-08002B2CF9AE}" pid="3" name="KSOProductBuildVer">
    <vt:lpwstr>2052-12.1.0.20784</vt:lpwstr>
  </property>
  <property fmtid="{D5CDD505-2E9C-101B-9397-08002B2CF9AE}" pid="4" name="ICV">
    <vt:lpwstr>2BD421F82D804F23B44B18F89324C64D_12</vt:lpwstr>
  </property>
</Properties>
</file>