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96597"/>
      <w:bookmarkStart w:id="2" w:name="_Toc15377193"/>
      <w:bookmarkStart w:id="3" w:name="_Toc15396475"/>
      <w:bookmarkStart w:id="4" w:name="_Toc15377425"/>
      <w:bookmarkStart w:id="5" w:name="_Toc15378441"/>
      <w:r>
        <w:rPr>
          <w:rFonts w:ascii="黑体" w:hAnsi="黑体" w:eastAsia="黑体"/>
          <w:color w:val="000000"/>
          <w:sz w:val="72"/>
          <w:szCs w:val="72"/>
        </w:rPr>
        <w:t>2018</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78442"/>
      <w:bookmarkStart w:id="7" w:name="_Toc15396476"/>
      <w:bookmarkStart w:id="8" w:name="_Toc15396598"/>
      <w:bookmarkStart w:id="9" w:name="_Toc15377194"/>
      <w:bookmarkStart w:id="10" w:name="_Toc15377426"/>
      <w:r>
        <w:rPr>
          <w:rFonts w:hint="eastAsia" w:ascii="方正小标宋简体" w:hAnsi="宋体" w:eastAsia="方正小标宋简体"/>
          <w:color w:val="000000"/>
          <w:sz w:val="72"/>
          <w:szCs w:val="72"/>
        </w:rPr>
        <w:t>四川省万源市</w:t>
      </w:r>
      <w:bookmarkEnd w:id="0"/>
      <w:bookmarkStart w:id="11" w:name="_Toc15306268"/>
      <w:r>
        <w:rPr>
          <w:rFonts w:hint="eastAsia" w:ascii="方正小标宋简体" w:hAnsi="宋体" w:eastAsia="方正小标宋简体"/>
          <w:color w:val="000000"/>
          <w:sz w:val="72"/>
          <w:szCs w:val="72"/>
          <w:lang w:eastAsia="zh-CN"/>
        </w:rPr>
        <w:t>巡察办</w:t>
      </w:r>
      <w:r>
        <w:rPr>
          <w:rFonts w:hint="eastAsia" w:ascii="方正小标宋简体" w:hAnsi="宋体" w:eastAsia="方正小标宋简体"/>
          <w:color w:val="000000"/>
          <w:sz w:val="72"/>
          <w:szCs w:val="72"/>
        </w:rPr>
        <w:t>部门决算</w:t>
      </w:r>
      <w:bookmarkEnd w:id="6"/>
      <w:bookmarkEnd w:id="7"/>
      <w:bookmarkEnd w:id="8"/>
      <w:bookmarkEnd w:id="9"/>
      <w:bookmarkEnd w:id="10"/>
      <w:bookmarkEnd w:id="11"/>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sz w:val="28"/>
          <w:szCs w:val="28"/>
        </w:rPr>
      </w:pPr>
      <w:r>
        <w:rPr>
          <w:rFonts w:ascii="黑体" w:hAnsi="黑体" w:eastAsia="黑体"/>
          <w:color w:val="000000"/>
          <w:sz w:val="48"/>
          <w:szCs w:val="48"/>
        </w:rPr>
        <w:fldChar w:fldCharType="begin"/>
      </w:r>
      <w:r>
        <w:rPr>
          <w:rFonts w:ascii="黑体" w:hAnsi="黑体" w:eastAsia="黑体"/>
          <w:color w:val="000000"/>
          <w:sz w:val="48"/>
          <w:szCs w:val="48"/>
        </w:rPr>
        <w:instrText xml:space="preserve"> TOC \o "1-2" \h \z \u </w:instrText>
      </w:r>
      <w:r>
        <w:rPr>
          <w:rFonts w:ascii="黑体" w:hAnsi="黑体" w:eastAsia="黑体"/>
          <w:color w:val="000000"/>
          <w:sz w:val="48"/>
          <w:szCs w:val="48"/>
        </w:rPr>
        <w:fldChar w:fldCharType="separate"/>
      </w:r>
    </w:p>
    <w:p>
      <w:pPr>
        <w:pStyle w:val="10"/>
      </w:pPr>
      <w:r>
        <w:rPr>
          <w:rFonts w:hint="eastAsia"/>
        </w:rPr>
        <w:t>公开时间：</w:t>
      </w:r>
      <w:r>
        <w:t>2019</w:t>
      </w:r>
      <w:r>
        <w:rPr>
          <w:rFonts w:hint="eastAsia"/>
        </w:rPr>
        <w:t>年</w:t>
      </w:r>
      <w:r>
        <w:rPr>
          <w:rFonts w:hint="eastAsia"/>
          <w:lang w:val="en-US" w:eastAsia="zh-CN"/>
        </w:rPr>
        <w:t>8</w:t>
      </w:r>
      <w:r>
        <w:rPr>
          <w:rFonts w:hint="eastAsia"/>
        </w:rPr>
        <w:t>月</w:t>
      </w:r>
      <w:r>
        <w:rPr>
          <w:rFonts w:hint="eastAsia"/>
          <w:lang w:val="en-US" w:eastAsia="zh-CN"/>
        </w:rPr>
        <w:t>28</w:t>
      </w:r>
      <w:r>
        <w:rPr>
          <w:rFonts w:hint="eastAsia"/>
        </w:rPr>
        <w:t>日</w:t>
      </w:r>
    </w:p>
    <w:p/>
    <w:p>
      <w:pPr>
        <w:pStyle w:val="10"/>
      </w:pPr>
      <w:r>
        <w:fldChar w:fldCharType="begin"/>
      </w:r>
      <w:r>
        <w:instrText xml:space="preserve"> HYPERLINK \l "_Toc15396599" </w:instrText>
      </w:r>
      <w:r>
        <w:fldChar w:fldCharType="separate"/>
      </w:r>
      <w:r>
        <w:rPr>
          <w:rStyle w:val="15"/>
          <w:rFonts w:hint="eastAsia"/>
        </w:rPr>
        <w:t>第一部分</w:t>
      </w:r>
      <w:r>
        <w:rPr>
          <w:rStyle w:val="15"/>
        </w:rPr>
        <w:t xml:space="preserve"> </w:t>
      </w:r>
      <w:r>
        <w:rPr>
          <w:rStyle w:val="15"/>
          <w:rFonts w:hint="eastAsia"/>
        </w:rPr>
        <w:t>部门概况</w:t>
      </w:r>
      <w:r>
        <w:tab/>
      </w:r>
      <w:r>
        <w:t>4</w:t>
      </w:r>
      <w:r>
        <w:fldChar w:fldCharType="end"/>
      </w:r>
    </w:p>
    <w:p>
      <w:pPr>
        <w:pStyle w:val="11"/>
        <w:ind w:left="31680"/>
        <w:rPr>
          <w:rFonts w:ascii="仿宋" w:hAnsi="仿宋" w:eastAsia="仿宋"/>
          <w:sz w:val="28"/>
          <w:szCs w:val="28"/>
        </w:rPr>
      </w:pPr>
      <w:r>
        <w:fldChar w:fldCharType="begin"/>
      </w:r>
      <w:r>
        <w:instrText xml:space="preserve"> HYPERLINK \l "_Toc15396600" </w:instrText>
      </w:r>
      <w:r>
        <w:fldChar w:fldCharType="separate"/>
      </w:r>
      <w:r>
        <w:rPr>
          <w:rStyle w:val="15"/>
          <w:rFonts w:hint="eastAsia" w:ascii="仿宋" w:hAnsi="仿宋" w:eastAsia="仿宋"/>
          <w:sz w:val="28"/>
          <w:szCs w:val="28"/>
        </w:rPr>
        <w:t>一、基本职能及主要工作</w:t>
      </w:r>
      <w:r>
        <w:rPr>
          <w:rFonts w:ascii="仿宋" w:hAnsi="仿宋" w:eastAsia="仿宋"/>
          <w:sz w:val="28"/>
          <w:szCs w:val="28"/>
        </w:rPr>
        <w:tab/>
      </w:r>
      <w:r>
        <w:rPr>
          <w:rFonts w:ascii="仿宋" w:hAnsi="仿宋" w:eastAsia="仿宋"/>
          <w:sz w:val="28"/>
          <w:szCs w:val="28"/>
        </w:rPr>
        <w:t>4</w:t>
      </w:r>
      <w:r>
        <w:rPr>
          <w:rFonts w:ascii="仿宋" w:hAnsi="仿宋" w:eastAsia="仿宋"/>
          <w:sz w:val="28"/>
          <w:szCs w:val="28"/>
        </w:rPr>
        <w:fldChar w:fldCharType="end"/>
      </w:r>
    </w:p>
    <w:p>
      <w:pPr>
        <w:pStyle w:val="11"/>
        <w:ind w:left="31680"/>
        <w:rPr>
          <w:rFonts w:ascii="仿宋" w:hAnsi="仿宋" w:eastAsia="仿宋"/>
          <w:sz w:val="28"/>
          <w:szCs w:val="28"/>
        </w:rPr>
      </w:pPr>
      <w:r>
        <w:fldChar w:fldCharType="begin"/>
      </w:r>
      <w:r>
        <w:instrText xml:space="preserve"> HYPERLINK \l "_Toc15396601" </w:instrText>
      </w:r>
      <w:r>
        <w:fldChar w:fldCharType="separate"/>
      </w:r>
      <w:r>
        <w:rPr>
          <w:rStyle w:val="15"/>
          <w:rFonts w:hint="eastAsia" w:ascii="仿宋" w:hAnsi="仿宋" w:eastAsia="仿宋"/>
          <w:sz w:val="28"/>
          <w:szCs w:val="28"/>
        </w:rPr>
        <w:t>二、机构设置</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_Toc15396601 \h </w:instrText>
      </w:r>
      <w:r>
        <w:rPr>
          <w:rFonts w:ascii="仿宋" w:hAnsi="仿宋" w:eastAsia="仿宋"/>
          <w:sz w:val="28"/>
          <w:szCs w:val="28"/>
        </w:rPr>
        <w:fldChar w:fldCharType="separate"/>
      </w:r>
      <w:r>
        <w:rPr>
          <w:rFonts w:ascii="仿宋" w:hAnsi="仿宋" w:eastAsia="仿宋"/>
          <w:sz w:val="28"/>
          <w:szCs w:val="28"/>
        </w:rPr>
        <w:t>- 4 -</w:t>
      </w:r>
      <w:r>
        <w:rPr>
          <w:rFonts w:ascii="仿宋" w:hAnsi="仿宋" w:eastAsia="仿宋"/>
          <w:sz w:val="28"/>
          <w:szCs w:val="28"/>
        </w:rPr>
        <w:fldChar w:fldCharType="end"/>
      </w:r>
      <w:r>
        <w:rPr>
          <w:rFonts w:ascii="仿宋" w:hAnsi="仿宋" w:eastAsia="仿宋"/>
          <w:sz w:val="28"/>
          <w:szCs w:val="28"/>
        </w:rPr>
        <w:fldChar w:fldCharType="end"/>
      </w:r>
    </w:p>
    <w:p>
      <w:pPr>
        <w:pStyle w:val="10"/>
      </w:pPr>
      <w:r>
        <w:fldChar w:fldCharType="begin"/>
      </w:r>
      <w:r>
        <w:instrText xml:space="preserve"> HYPERLINK \l "_Toc15396602" </w:instrText>
      </w:r>
      <w:r>
        <w:fldChar w:fldCharType="separate"/>
      </w:r>
      <w:r>
        <w:rPr>
          <w:rStyle w:val="15"/>
          <w:rFonts w:hint="eastAsia"/>
        </w:rPr>
        <w:t>第二部分</w:t>
      </w:r>
      <w:r>
        <w:rPr>
          <w:rStyle w:val="15"/>
        </w:rPr>
        <w:t xml:space="preserve"> 2018</w:t>
      </w:r>
      <w:r>
        <w:rPr>
          <w:rStyle w:val="15"/>
          <w:rFonts w:hint="eastAsia"/>
        </w:rPr>
        <w:t>年度部门决算情况说明</w:t>
      </w:r>
      <w:r>
        <w:tab/>
      </w:r>
      <w:r>
        <w:fldChar w:fldCharType="begin"/>
      </w:r>
      <w:r>
        <w:instrText xml:space="preserve"> PAGEREF _Toc15396602 \h </w:instrText>
      </w:r>
      <w:r>
        <w:fldChar w:fldCharType="separate"/>
      </w:r>
      <w:r>
        <w:t>- 10 -</w:t>
      </w:r>
      <w:r>
        <w:fldChar w:fldCharType="end"/>
      </w:r>
      <w:r>
        <w:fldChar w:fldCharType="end"/>
      </w:r>
    </w:p>
    <w:p>
      <w:pPr>
        <w:pStyle w:val="11"/>
        <w:ind w:left="31680"/>
        <w:rPr>
          <w:rFonts w:ascii="仿宋" w:hAnsi="仿宋" w:eastAsia="仿宋"/>
          <w:sz w:val="28"/>
          <w:szCs w:val="28"/>
        </w:rPr>
      </w:pPr>
      <w:r>
        <w:fldChar w:fldCharType="begin"/>
      </w:r>
      <w:r>
        <w:instrText xml:space="preserve"> HYPERLINK \l "_Toc15396603" </w:instrText>
      </w:r>
      <w:r>
        <w:fldChar w:fldCharType="separate"/>
      </w:r>
      <w:r>
        <w:rPr>
          <w:rStyle w:val="15"/>
          <w:rFonts w:hint="eastAsia" w:ascii="仿宋" w:hAnsi="仿宋" w:eastAsia="仿宋"/>
          <w:bCs/>
          <w:sz w:val="28"/>
          <w:szCs w:val="28"/>
        </w:rPr>
        <w:t>一、</w:t>
      </w:r>
      <w:r>
        <w:rPr>
          <w:rStyle w:val="15"/>
          <w:rFonts w:hint="eastAsia" w:ascii="仿宋" w:hAnsi="仿宋" w:eastAsia="仿宋"/>
          <w:sz w:val="28"/>
          <w:szCs w:val="28"/>
        </w:rPr>
        <w:t>收</w:t>
      </w:r>
      <w:r>
        <w:rPr>
          <w:rStyle w:val="15"/>
          <w:rFonts w:hint="eastAsia" w:ascii="仿宋" w:hAnsi="仿宋" w:eastAsia="仿宋"/>
          <w:bCs/>
          <w:sz w:val="28"/>
          <w:szCs w:val="28"/>
        </w:rPr>
        <w:t>入支出决算总体情况说明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_Toc15396603 \h </w:instrText>
      </w:r>
      <w:r>
        <w:rPr>
          <w:rFonts w:ascii="仿宋" w:hAnsi="仿宋" w:eastAsia="仿宋"/>
          <w:sz w:val="28"/>
          <w:szCs w:val="28"/>
        </w:rPr>
        <w:fldChar w:fldCharType="separate"/>
      </w:r>
      <w:r>
        <w:rPr>
          <w:rFonts w:ascii="仿宋" w:hAnsi="仿宋" w:eastAsia="仿宋"/>
          <w:sz w:val="28"/>
          <w:szCs w:val="28"/>
        </w:rPr>
        <w:t>- 10 -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fldChar w:fldCharType="begin"/>
      </w:r>
      <w:r>
        <w:instrText xml:space="preserve"> HYPERLINK \l "_Toc15396604" </w:instrText>
      </w:r>
      <w:r>
        <w:fldChar w:fldCharType="separate"/>
      </w:r>
      <w:r>
        <w:rPr>
          <w:rStyle w:val="15"/>
          <w:rFonts w:hint="eastAsia" w:ascii="仿宋" w:hAnsi="仿宋" w:eastAsia="仿宋"/>
          <w:bCs/>
          <w:sz w:val="28"/>
          <w:szCs w:val="28"/>
        </w:rPr>
        <w:t>二、</w:t>
      </w:r>
      <w:r>
        <w:rPr>
          <w:rStyle w:val="15"/>
          <w:rFonts w:hint="eastAsia" w:ascii="仿宋" w:hAnsi="仿宋" w:eastAsia="仿宋"/>
          <w:sz w:val="28"/>
          <w:szCs w:val="28"/>
        </w:rPr>
        <w:t>收</w:t>
      </w:r>
      <w:r>
        <w:rPr>
          <w:rStyle w:val="15"/>
          <w:rFonts w:hint="eastAsia" w:ascii="仿宋" w:hAnsi="仿宋" w:eastAsia="仿宋"/>
          <w:bCs/>
          <w:sz w:val="28"/>
          <w:szCs w:val="28"/>
        </w:rPr>
        <w:t>入决算情况说明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_Toc15396604 \h </w:instrText>
      </w:r>
      <w:r>
        <w:rPr>
          <w:rFonts w:ascii="仿宋" w:hAnsi="仿宋" w:eastAsia="仿宋"/>
          <w:sz w:val="28"/>
          <w:szCs w:val="28"/>
        </w:rPr>
        <w:fldChar w:fldCharType="separate"/>
      </w:r>
      <w:r>
        <w:rPr>
          <w:rFonts w:ascii="仿宋" w:hAnsi="仿宋" w:eastAsia="仿宋"/>
          <w:sz w:val="28"/>
          <w:szCs w:val="28"/>
        </w:rPr>
        <w:t>- 10 -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fldChar w:fldCharType="begin"/>
      </w:r>
      <w:r>
        <w:instrText xml:space="preserve"> HYPERLINK \l "_Toc15396605" </w:instrText>
      </w:r>
      <w:r>
        <w:fldChar w:fldCharType="separate"/>
      </w:r>
      <w:r>
        <w:rPr>
          <w:rStyle w:val="15"/>
          <w:rFonts w:hint="eastAsia" w:ascii="仿宋" w:hAnsi="仿宋" w:eastAsia="仿宋"/>
          <w:bCs/>
          <w:sz w:val="28"/>
          <w:szCs w:val="28"/>
        </w:rPr>
        <w:t>三、</w:t>
      </w:r>
      <w:r>
        <w:rPr>
          <w:rStyle w:val="15"/>
          <w:rFonts w:hint="eastAsia" w:ascii="仿宋" w:hAnsi="仿宋" w:eastAsia="仿宋"/>
          <w:sz w:val="28"/>
          <w:szCs w:val="28"/>
        </w:rPr>
        <w:t>支</w:t>
      </w:r>
      <w:r>
        <w:rPr>
          <w:rStyle w:val="15"/>
          <w:rFonts w:hint="eastAsia" w:ascii="仿宋" w:hAnsi="仿宋" w:eastAsia="仿宋"/>
          <w:bCs/>
          <w:sz w:val="28"/>
          <w:szCs w:val="28"/>
        </w:rPr>
        <w:t>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_Toc15396605 \h </w:instrText>
      </w:r>
      <w:r>
        <w:rPr>
          <w:rFonts w:ascii="仿宋" w:hAnsi="仿宋" w:eastAsia="仿宋"/>
          <w:sz w:val="28"/>
          <w:szCs w:val="28"/>
        </w:rPr>
        <w:fldChar w:fldCharType="separate"/>
      </w:r>
      <w:r>
        <w:rPr>
          <w:rFonts w:ascii="仿宋" w:hAnsi="仿宋" w:eastAsia="仿宋"/>
          <w:sz w:val="28"/>
          <w:szCs w:val="28"/>
        </w:rPr>
        <w:t>- 11 -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fldChar w:fldCharType="begin"/>
      </w:r>
      <w:r>
        <w:instrText xml:space="preserve"> HYPERLINK \l "_Toc15396606" </w:instrText>
      </w:r>
      <w:r>
        <w:fldChar w:fldCharType="separate"/>
      </w:r>
      <w:r>
        <w:rPr>
          <w:rStyle w:val="15"/>
          <w:rFonts w:hint="eastAsia" w:ascii="仿宋" w:hAnsi="仿宋" w:eastAsia="仿宋"/>
          <w:sz w:val="28"/>
          <w:szCs w:val="28"/>
        </w:rPr>
        <w:t>四、财</w:t>
      </w:r>
      <w:r>
        <w:rPr>
          <w:rStyle w:val="15"/>
          <w:rFonts w:hint="eastAsia" w:ascii="仿宋" w:hAnsi="仿宋" w:eastAsia="仿宋"/>
          <w:bCs/>
          <w:sz w:val="28"/>
          <w:szCs w:val="28"/>
        </w:rPr>
        <w:t>政拨款收入支出决算总体情况说明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_Toc15396606 \h </w:instrText>
      </w:r>
      <w:r>
        <w:rPr>
          <w:rFonts w:ascii="仿宋" w:hAnsi="仿宋" w:eastAsia="仿宋"/>
          <w:sz w:val="28"/>
          <w:szCs w:val="28"/>
        </w:rPr>
        <w:fldChar w:fldCharType="separate"/>
      </w:r>
      <w:r>
        <w:rPr>
          <w:rFonts w:ascii="仿宋" w:hAnsi="仿宋" w:eastAsia="仿宋"/>
          <w:sz w:val="28"/>
          <w:szCs w:val="28"/>
        </w:rPr>
        <w:t>- 12 -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fldChar w:fldCharType="begin"/>
      </w:r>
      <w:r>
        <w:instrText xml:space="preserve"> HYPERLINK \l "_Toc15396607" </w:instrText>
      </w:r>
      <w:r>
        <w:fldChar w:fldCharType="separate"/>
      </w:r>
      <w:r>
        <w:rPr>
          <w:rStyle w:val="15"/>
          <w:rFonts w:hint="eastAsia" w:ascii="仿宋" w:hAnsi="仿宋" w:eastAsia="仿宋"/>
          <w:sz w:val="28"/>
          <w:szCs w:val="28"/>
        </w:rPr>
        <w:t>五、一</w:t>
      </w:r>
      <w:r>
        <w:rPr>
          <w:rStyle w:val="15"/>
          <w:rFonts w:hint="eastAsia" w:ascii="仿宋" w:hAnsi="仿宋" w:eastAsia="仿宋"/>
          <w:bCs/>
          <w:sz w:val="28"/>
          <w:szCs w:val="28"/>
        </w:rPr>
        <w:t>般公共预算财政拨款支出决算情况说明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_Toc15396607 \h </w:instrText>
      </w:r>
      <w:r>
        <w:rPr>
          <w:rFonts w:ascii="仿宋" w:hAnsi="仿宋" w:eastAsia="仿宋"/>
          <w:sz w:val="28"/>
          <w:szCs w:val="28"/>
        </w:rPr>
        <w:fldChar w:fldCharType="separate"/>
      </w:r>
      <w:r>
        <w:rPr>
          <w:rFonts w:ascii="仿宋" w:hAnsi="仿宋" w:eastAsia="仿宋"/>
          <w:sz w:val="28"/>
          <w:szCs w:val="28"/>
        </w:rPr>
        <w:t>- 13 -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fldChar w:fldCharType="begin"/>
      </w:r>
      <w:r>
        <w:instrText xml:space="preserve"> HYPERLINK \l "_Toc15396608" </w:instrText>
      </w:r>
      <w:r>
        <w:fldChar w:fldCharType="separate"/>
      </w:r>
      <w:r>
        <w:rPr>
          <w:rStyle w:val="15"/>
          <w:rFonts w:hint="eastAsia" w:ascii="仿宋" w:hAnsi="仿宋" w:eastAsia="仿宋"/>
          <w:sz w:val="28"/>
          <w:szCs w:val="28"/>
        </w:rPr>
        <w:t>六、一</w:t>
      </w:r>
      <w:r>
        <w:rPr>
          <w:rStyle w:val="15"/>
          <w:rFonts w:hint="eastAsia" w:ascii="仿宋" w:hAnsi="仿宋" w:eastAsia="仿宋"/>
          <w:bCs/>
          <w:sz w:val="28"/>
          <w:szCs w:val="28"/>
        </w:rPr>
        <w:t>般公共预算财政拨款基本支出决算情况说明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_Toc15396608 \h </w:instrText>
      </w:r>
      <w:r>
        <w:rPr>
          <w:rFonts w:ascii="仿宋" w:hAnsi="仿宋" w:eastAsia="仿宋"/>
          <w:sz w:val="28"/>
          <w:szCs w:val="28"/>
        </w:rPr>
        <w:fldChar w:fldCharType="separate"/>
      </w:r>
      <w:r>
        <w:rPr>
          <w:rFonts w:ascii="仿宋" w:hAnsi="仿宋" w:eastAsia="仿宋"/>
          <w:sz w:val="28"/>
          <w:szCs w:val="28"/>
        </w:rPr>
        <w:t>- 15 -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fldChar w:fldCharType="begin"/>
      </w:r>
      <w:r>
        <w:instrText xml:space="preserve"> HYPERLINK \l "_Toc15396609" </w:instrText>
      </w:r>
      <w:r>
        <w:fldChar w:fldCharType="separate"/>
      </w:r>
      <w:r>
        <w:rPr>
          <w:rStyle w:val="15"/>
          <w:rFonts w:hint="eastAsia" w:ascii="仿宋" w:hAnsi="仿宋" w:eastAsia="仿宋"/>
          <w:sz w:val="28"/>
          <w:szCs w:val="28"/>
        </w:rPr>
        <w:t>七、“</w:t>
      </w:r>
      <w:r>
        <w:rPr>
          <w:rStyle w:val="15"/>
          <w:rFonts w:hint="eastAsia" w:ascii="仿宋" w:hAnsi="仿宋" w:eastAsia="仿宋"/>
          <w:bCs/>
          <w:sz w:val="28"/>
          <w:szCs w:val="28"/>
        </w:rPr>
        <w:t>三公”经费财政拨款支出决算情况说明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_Toc15396609 \h </w:instrText>
      </w:r>
      <w:r>
        <w:rPr>
          <w:rFonts w:ascii="仿宋" w:hAnsi="仿宋" w:eastAsia="仿宋"/>
          <w:sz w:val="28"/>
          <w:szCs w:val="28"/>
        </w:rPr>
        <w:fldChar w:fldCharType="separate"/>
      </w:r>
      <w:r>
        <w:rPr>
          <w:rFonts w:ascii="仿宋" w:hAnsi="仿宋" w:eastAsia="仿宋"/>
          <w:sz w:val="28"/>
          <w:szCs w:val="28"/>
        </w:rPr>
        <w:t>- 15 -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fldChar w:fldCharType="begin"/>
      </w:r>
      <w:r>
        <w:instrText xml:space="preserve"> HYPERLINK \l "_Toc15396610" </w:instrText>
      </w:r>
      <w:r>
        <w:fldChar w:fldCharType="separate"/>
      </w:r>
      <w:r>
        <w:rPr>
          <w:rStyle w:val="15"/>
          <w:rFonts w:hint="eastAsia" w:ascii="仿宋" w:hAnsi="仿宋" w:eastAsia="仿宋"/>
          <w:sz w:val="28"/>
          <w:szCs w:val="28"/>
        </w:rPr>
        <w:t>八、</w:t>
      </w:r>
      <w:r>
        <w:rPr>
          <w:rStyle w:val="15"/>
          <w:rFonts w:hint="eastAsia" w:ascii="仿宋" w:hAnsi="仿宋" w:eastAsia="仿宋"/>
          <w:bCs/>
          <w:sz w:val="28"/>
          <w:szCs w:val="28"/>
        </w:rPr>
        <w:t>政府性基金预算支出决算情况说明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_Toc15396610 \h </w:instrText>
      </w:r>
      <w:r>
        <w:rPr>
          <w:rFonts w:ascii="仿宋" w:hAnsi="仿宋" w:eastAsia="仿宋"/>
          <w:sz w:val="28"/>
          <w:szCs w:val="28"/>
        </w:rPr>
        <w:fldChar w:fldCharType="separate"/>
      </w:r>
      <w:r>
        <w:rPr>
          <w:rFonts w:ascii="仿宋" w:hAnsi="仿宋" w:eastAsia="仿宋"/>
          <w:sz w:val="28"/>
          <w:szCs w:val="28"/>
        </w:rPr>
        <w:t>- 17 -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fldChar w:fldCharType="begin"/>
      </w:r>
      <w:r>
        <w:instrText xml:space="preserve"> HYPERLINK \l "_Toc15396611" </w:instrText>
      </w:r>
      <w:r>
        <w:fldChar w:fldCharType="separate"/>
      </w:r>
      <w:r>
        <w:rPr>
          <w:rStyle w:val="15"/>
          <w:rFonts w:hint="eastAsia" w:ascii="仿宋" w:hAnsi="仿宋" w:eastAsia="仿宋"/>
          <w:bCs/>
          <w:sz w:val="28"/>
          <w:szCs w:val="28"/>
        </w:rPr>
        <w:t>九、</w:t>
      </w:r>
      <w:r>
        <w:rPr>
          <w:rStyle w:val="15"/>
          <w:rFonts w:ascii="仿宋" w:hAnsi="仿宋" w:eastAsia="仿宋"/>
          <w:sz w:val="28"/>
          <w:szCs w:val="28"/>
        </w:rPr>
        <w:t xml:space="preserve"> </w:t>
      </w:r>
      <w:r>
        <w:rPr>
          <w:rStyle w:val="15"/>
          <w:rFonts w:hint="eastAsia" w:ascii="仿宋" w:hAnsi="仿宋" w:eastAsia="仿宋"/>
          <w:sz w:val="28"/>
          <w:szCs w:val="28"/>
        </w:rPr>
        <w:t>国</w:t>
      </w:r>
      <w:r>
        <w:rPr>
          <w:rStyle w:val="15"/>
          <w:rFonts w:hint="eastAsia" w:ascii="仿宋" w:hAnsi="仿宋" w:eastAsia="仿宋"/>
          <w:bCs/>
          <w:sz w:val="28"/>
          <w:szCs w:val="28"/>
        </w:rPr>
        <w:t>有资本经营预算支出决算情况说明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_Toc15396611 \h </w:instrText>
      </w:r>
      <w:r>
        <w:rPr>
          <w:rFonts w:ascii="仿宋" w:hAnsi="仿宋" w:eastAsia="仿宋"/>
          <w:sz w:val="28"/>
          <w:szCs w:val="28"/>
        </w:rPr>
        <w:fldChar w:fldCharType="separate"/>
      </w:r>
      <w:r>
        <w:rPr>
          <w:rFonts w:ascii="仿宋" w:hAnsi="仿宋" w:eastAsia="仿宋"/>
          <w:sz w:val="28"/>
          <w:szCs w:val="28"/>
        </w:rPr>
        <w:t>- 17 -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fldChar w:fldCharType="begin"/>
      </w:r>
      <w:r>
        <w:instrText xml:space="preserve"> HYPERLINK \l "_Toc15396612" </w:instrText>
      </w:r>
      <w:r>
        <w:fldChar w:fldCharType="separate"/>
      </w:r>
      <w:r>
        <w:rPr>
          <w:rStyle w:val="15"/>
          <w:rFonts w:hint="eastAsia" w:ascii="仿宋" w:hAnsi="仿宋" w:eastAsia="仿宋"/>
          <w:sz w:val="28"/>
          <w:szCs w:val="28"/>
        </w:rPr>
        <w:t>十</w:t>
      </w:r>
      <w:r>
        <w:rPr>
          <w:rStyle w:val="15"/>
          <w:rFonts w:hint="eastAsia" w:ascii="仿宋" w:hAnsi="仿宋" w:eastAsia="仿宋"/>
          <w:bCs/>
          <w:sz w:val="28"/>
          <w:szCs w:val="28"/>
        </w:rPr>
        <w:t>一、其他重要事项的情况说明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_Toc15396612 \h </w:instrText>
      </w:r>
      <w:r>
        <w:rPr>
          <w:rFonts w:ascii="仿宋" w:hAnsi="仿宋" w:eastAsia="仿宋"/>
          <w:sz w:val="28"/>
          <w:szCs w:val="28"/>
        </w:rPr>
        <w:fldChar w:fldCharType="separate"/>
      </w:r>
      <w:r>
        <w:rPr>
          <w:rFonts w:ascii="仿宋" w:hAnsi="仿宋" w:eastAsia="仿宋"/>
          <w:sz w:val="28"/>
          <w:szCs w:val="28"/>
        </w:rPr>
        <w:t>- 18 -</w:t>
      </w:r>
      <w:r>
        <w:rPr>
          <w:rFonts w:ascii="仿宋" w:hAnsi="仿宋" w:eastAsia="仿宋"/>
          <w:sz w:val="28"/>
          <w:szCs w:val="28"/>
        </w:rPr>
        <w:fldChar w:fldCharType="end"/>
      </w:r>
      <w:r>
        <w:rPr>
          <w:rFonts w:ascii="仿宋" w:hAnsi="仿宋" w:eastAsia="仿宋"/>
          <w:sz w:val="28"/>
          <w:szCs w:val="28"/>
        </w:rPr>
        <w:fldChar w:fldCharType="end"/>
      </w:r>
    </w:p>
    <w:p>
      <w:pPr>
        <w:pStyle w:val="10"/>
      </w:pPr>
      <w:r>
        <w:fldChar w:fldCharType="begin"/>
      </w:r>
      <w:r>
        <w:instrText xml:space="preserve"> HYPERLINK \l "_Toc15396613" </w:instrText>
      </w:r>
      <w:r>
        <w:fldChar w:fldCharType="separate"/>
      </w:r>
      <w:r>
        <w:rPr>
          <w:rStyle w:val="15"/>
          <w:rFonts w:hint="eastAsia"/>
          <w:bCs/>
          <w:kern w:val="44"/>
        </w:rPr>
        <w:t>第三部分</w:t>
      </w:r>
      <w:r>
        <w:rPr>
          <w:rStyle w:val="15"/>
        </w:rPr>
        <w:t xml:space="preserve"> </w:t>
      </w:r>
      <w:r>
        <w:rPr>
          <w:rStyle w:val="15"/>
          <w:rFonts w:hint="eastAsia"/>
        </w:rPr>
        <w:t>名</w:t>
      </w:r>
      <w:r>
        <w:rPr>
          <w:rStyle w:val="15"/>
          <w:rFonts w:hint="eastAsia"/>
          <w:bCs/>
          <w:kern w:val="44"/>
        </w:rPr>
        <w:t>词解释</w:t>
      </w:r>
      <w:r>
        <w:tab/>
      </w:r>
      <w:r>
        <w:fldChar w:fldCharType="begin"/>
      </w:r>
      <w:r>
        <w:instrText xml:space="preserve"> PAGEREF _Toc15396613 \h </w:instrText>
      </w:r>
      <w:r>
        <w:fldChar w:fldCharType="separate"/>
      </w:r>
      <w:r>
        <w:t>- 19 -</w:t>
      </w:r>
      <w:r>
        <w:fldChar w:fldCharType="end"/>
      </w:r>
      <w:r>
        <w:fldChar w:fldCharType="end"/>
      </w:r>
    </w:p>
    <w:p>
      <w:pPr>
        <w:pStyle w:val="10"/>
      </w:pPr>
      <w:r>
        <w:fldChar w:fldCharType="begin"/>
      </w:r>
      <w:r>
        <w:instrText xml:space="preserve"> HYPERLINK \l "_Toc15396614" </w:instrText>
      </w:r>
      <w:r>
        <w:fldChar w:fldCharType="separate"/>
      </w:r>
      <w:r>
        <w:rPr>
          <w:rStyle w:val="15"/>
          <w:rFonts w:hint="eastAsia"/>
        </w:rPr>
        <w:t>第</w:t>
      </w:r>
      <w:r>
        <w:rPr>
          <w:rStyle w:val="15"/>
          <w:rFonts w:hint="eastAsia"/>
          <w:bCs/>
          <w:kern w:val="44"/>
        </w:rPr>
        <w:t>四部分</w:t>
      </w:r>
      <w:r>
        <w:rPr>
          <w:rStyle w:val="15"/>
          <w:bCs/>
          <w:kern w:val="44"/>
        </w:rPr>
        <w:t xml:space="preserve"> </w:t>
      </w:r>
      <w:r>
        <w:rPr>
          <w:rStyle w:val="15"/>
          <w:rFonts w:hint="eastAsia"/>
          <w:bCs/>
          <w:kern w:val="44"/>
        </w:rPr>
        <w:t>附件</w:t>
      </w:r>
      <w:r>
        <w:tab/>
      </w:r>
      <w:r>
        <w:fldChar w:fldCharType="begin"/>
      </w:r>
      <w:r>
        <w:instrText xml:space="preserve"> PAGEREF _Toc15396614 \h </w:instrText>
      </w:r>
      <w:r>
        <w:fldChar w:fldCharType="separate"/>
      </w:r>
      <w:r>
        <w:t>- 21 -</w:t>
      </w:r>
      <w:r>
        <w:fldChar w:fldCharType="end"/>
      </w:r>
      <w:r>
        <w:fldChar w:fldCharType="end"/>
      </w:r>
    </w:p>
    <w:p>
      <w:pPr>
        <w:pStyle w:val="11"/>
        <w:ind w:left="31680"/>
        <w:rPr>
          <w:rFonts w:ascii="仿宋" w:hAnsi="仿宋" w:eastAsia="仿宋"/>
          <w:sz w:val="28"/>
          <w:szCs w:val="28"/>
        </w:rPr>
      </w:pPr>
      <w:r>
        <w:fldChar w:fldCharType="begin"/>
      </w:r>
      <w:r>
        <w:instrText xml:space="preserve"> HYPERLINK \l "_Toc15396615" </w:instrText>
      </w:r>
      <w:r>
        <w:fldChar w:fldCharType="separate"/>
      </w:r>
      <w:r>
        <w:rPr>
          <w:rStyle w:val="15"/>
          <w:rFonts w:hint="eastAsia" w:ascii="仿宋" w:hAnsi="仿宋" w:eastAsia="仿宋"/>
          <w:kern w:val="44"/>
          <w:sz w:val="28"/>
          <w:szCs w:val="28"/>
        </w:rPr>
        <w:t>附件</w:t>
      </w:r>
      <w:r>
        <w:rPr>
          <w:rStyle w:val="15"/>
          <w:rFonts w:ascii="仿宋" w:hAnsi="仿宋" w:eastAsia="仿宋"/>
          <w:kern w:val="44"/>
          <w:sz w:val="28"/>
          <w:szCs w:val="28"/>
        </w:rPr>
        <w:t>1</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_Toc15396615 \h </w:instrText>
      </w:r>
      <w:r>
        <w:rPr>
          <w:rFonts w:ascii="仿宋" w:hAnsi="仿宋" w:eastAsia="仿宋"/>
          <w:sz w:val="28"/>
          <w:szCs w:val="28"/>
        </w:rPr>
        <w:fldChar w:fldCharType="separate"/>
      </w:r>
      <w:r>
        <w:rPr>
          <w:rFonts w:ascii="仿宋" w:hAnsi="仿宋" w:eastAsia="仿宋"/>
          <w:sz w:val="28"/>
          <w:szCs w:val="28"/>
        </w:rPr>
        <w:t>- 21 -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hint="eastAsia" w:ascii="仿宋" w:hAnsi="仿宋" w:eastAsia="仿宋"/>
          <w:sz w:val="28"/>
          <w:szCs w:val="28"/>
          <w:lang w:val="en-US" w:eastAsia="zh-CN"/>
        </w:rPr>
      </w:pPr>
      <w:r>
        <w:fldChar w:fldCharType="begin"/>
      </w:r>
      <w:r>
        <w:instrText xml:space="preserve"> HYPERLINK \l "_Toc15396617" </w:instrText>
      </w:r>
      <w:r>
        <w:fldChar w:fldCharType="separate"/>
      </w:r>
      <w:r>
        <w:rPr>
          <w:rStyle w:val="15"/>
          <w:rFonts w:hint="eastAsia" w:ascii="仿宋" w:hAnsi="仿宋" w:eastAsia="仿宋"/>
          <w:kern w:val="44"/>
          <w:sz w:val="28"/>
          <w:szCs w:val="28"/>
        </w:rPr>
        <w:t>附件</w:t>
      </w:r>
      <w:r>
        <w:rPr>
          <w:rStyle w:val="15"/>
          <w:rFonts w:ascii="仿宋" w:hAnsi="仿宋" w:eastAsia="仿宋"/>
          <w:kern w:val="44"/>
          <w:sz w:val="28"/>
          <w:szCs w:val="28"/>
        </w:rPr>
        <w:t>2</w:t>
      </w:r>
      <w:r>
        <w:rPr>
          <w:rStyle w:val="15"/>
          <w:rFonts w:hint="eastAsia" w:ascii="仿宋" w:hAnsi="仿宋" w:eastAsia="仿宋"/>
          <w:kern w:val="44"/>
          <w:sz w:val="28"/>
          <w:szCs w:val="28"/>
          <w:lang w:val="en-US" w:eastAsia="zh-CN"/>
        </w:rPr>
        <w:t xml:space="preserve">                                             </w:t>
      </w:r>
      <w:r>
        <w:rPr>
          <w:rFonts w:ascii="仿宋" w:hAnsi="仿宋" w:eastAsia="仿宋"/>
          <w:sz w:val="28"/>
          <w:szCs w:val="28"/>
        </w:rPr>
        <w:fldChar w:fldCharType="begin"/>
      </w:r>
      <w:r>
        <w:rPr>
          <w:rFonts w:ascii="仿宋" w:hAnsi="仿宋" w:eastAsia="仿宋"/>
          <w:sz w:val="28"/>
          <w:szCs w:val="28"/>
        </w:rPr>
        <w:instrText xml:space="preserve"> PAGEREF _Toc15396615 \h </w:instrText>
      </w:r>
      <w:r>
        <w:rPr>
          <w:rFonts w:ascii="仿宋" w:hAnsi="仿宋" w:eastAsia="仿宋"/>
          <w:sz w:val="28"/>
          <w:szCs w:val="28"/>
        </w:rPr>
        <w:fldChar w:fldCharType="separate"/>
      </w:r>
      <w:r>
        <w:rPr>
          <w:rFonts w:ascii="仿宋" w:hAnsi="仿宋" w:eastAsia="仿宋"/>
          <w:sz w:val="28"/>
          <w:szCs w:val="28"/>
        </w:rPr>
        <w:t>- 2</w:t>
      </w:r>
      <w:r>
        <w:rPr>
          <w:rFonts w:hint="eastAsia" w:ascii="仿宋" w:hAnsi="仿宋" w:eastAsia="仿宋"/>
          <w:sz w:val="28"/>
          <w:szCs w:val="28"/>
          <w:lang w:val="en-US" w:eastAsia="zh-CN"/>
        </w:rPr>
        <w:t>2</w:t>
      </w:r>
      <w:r>
        <w:rPr>
          <w:rFonts w:ascii="仿宋" w:hAnsi="仿宋" w:eastAsia="仿宋"/>
          <w:sz w:val="28"/>
          <w:szCs w:val="28"/>
        </w:rPr>
        <w:t xml:space="preserve"> -</w:t>
      </w:r>
      <w:r>
        <w:rPr>
          <w:rFonts w:ascii="仿宋" w:hAnsi="仿宋" w:eastAsia="仿宋"/>
          <w:sz w:val="28"/>
          <w:szCs w:val="28"/>
        </w:rPr>
        <w:fldChar w:fldCharType="end"/>
      </w:r>
      <w:r>
        <w:rPr>
          <w:rFonts w:ascii="仿宋" w:hAnsi="仿宋" w:eastAsia="仿宋"/>
          <w:sz w:val="28"/>
          <w:szCs w:val="28"/>
        </w:rPr>
        <w:fldChar w:fldCharType="end"/>
      </w:r>
    </w:p>
    <w:p>
      <w:pPr>
        <w:pStyle w:val="10"/>
      </w:pPr>
      <w:r>
        <w:fldChar w:fldCharType="begin"/>
      </w:r>
      <w:r>
        <w:instrText xml:space="preserve"> HYPERLINK \l "_Toc15396618" </w:instrText>
      </w:r>
      <w:r>
        <w:fldChar w:fldCharType="separate"/>
      </w:r>
      <w:r>
        <w:rPr>
          <w:rStyle w:val="15"/>
          <w:rFonts w:hint="eastAsia"/>
        </w:rPr>
        <w:t>第</w:t>
      </w:r>
      <w:r>
        <w:rPr>
          <w:rStyle w:val="15"/>
          <w:rFonts w:hint="eastAsia"/>
          <w:bCs/>
          <w:kern w:val="44"/>
        </w:rPr>
        <w:t>五部分</w:t>
      </w:r>
      <w:r>
        <w:rPr>
          <w:rStyle w:val="15"/>
          <w:bCs/>
          <w:kern w:val="44"/>
        </w:rPr>
        <w:t xml:space="preserve"> </w:t>
      </w:r>
      <w:r>
        <w:rPr>
          <w:rStyle w:val="15"/>
          <w:rFonts w:hint="eastAsia"/>
          <w:bCs/>
          <w:kern w:val="44"/>
        </w:rPr>
        <w:t>附表</w:t>
      </w:r>
      <w:r>
        <w:tab/>
      </w:r>
      <w:r>
        <w:fldChar w:fldCharType="begin"/>
      </w:r>
      <w:r>
        <w:instrText xml:space="preserve"> PAGEREF _Toc15396618 \h </w:instrText>
      </w:r>
      <w:r>
        <w:fldChar w:fldCharType="separate"/>
      </w:r>
      <w:r>
        <w:t>- 27 -</w:t>
      </w:r>
      <w:r>
        <w:fldChar w:fldCharType="end"/>
      </w:r>
      <w:r>
        <w:fldChar w:fldCharType="end"/>
      </w:r>
    </w:p>
    <w:p>
      <w:pPr>
        <w:pStyle w:val="11"/>
        <w:ind w:left="31680"/>
        <w:jc w:val="left"/>
        <w:rPr>
          <w:rFonts w:ascii="仿宋" w:hAnsi="仿宋" w:eastAsia="仿宋"/>
          <w:sz w:val="28"/>
          <w:szCs w:val="28"/>
        </w:rPr>
      </w:pPr>
      <w:r>
        <w:rPr>
          <w:rFonts w:hint="eastAsia" w:ascii="仿宋" w:hAnsi="仿宋" w:eastAsia="仿宋"/>
          <w:sz w:val="28"/>
          <w:szCs w:val="28"/>
        </w:rPr>
        <w:t>一、</w:t>
      </w:r>
      <w:r>
        <w:fldChar w:fldCharType="begin"/>
      </w:r>
      <w:r>
        <w:instrText xml:space="preserve"> HYPERLINK \l "_Toc15396619" </w:instrText>
      </w:r>
      <w:r>
        <w:fldChar w:fldCharType="separate"/>
      </w:r>
      <w:r>
        <w:rPr>
          <w:rStyle w:val="15"/>
          <w:rFonts w:hint="eastAsia" w:ascii="仿宋" w:hAnsi="仿宋" w:eastAsia="仿宋"/>
          <w:sz w:val="28"/>
          <w:szCs w:val="28"/>
        </w:rPr>
        <w:t>收入支出决算总表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_Toc15396619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二、</w:t>
      </w:r>
      <w:r>
        <w:fldChar w:fldCharType="begin"/>
      </w:r>
      <w:r>
        <w:instrText xml:space="preserve"> HYPERLINK \l "_Toc15396620" </w:instrText>
      </w:r>
      <w:r>
        <w:fldChar w:fldCharType="separate"/>
      </w:r>
      <w:r>
        <w:rPr>
          <w:rStyle w:val="15"/>
          <w:rFonts w:hint="eastAsia" w:ascii="仿宋" w:hAnsi="仿宋" w:eastAsia="仿宋"/>
          <w:sz w:val="28"/>
          <w:szCs w:val="28"/>
        </w:rPr>
        <w:t>收入总表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_Toc15396620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三、</w:t>
      </w:r>
      <w:r>
        <w:fldChar w:fldCharType="begin"/>
      </w:r>
      <w:r>
        <w:instrText xml:space="preserve"> HYPERLINK \l "_Toc15396621" </w:instrText>
      </w:r>
      <w:r>
        <w:fldChar w:fldCharType="separate"/>
      </w:r>
      <w:r>
        <w:rPr>
          <w:rStyle w:val="15"/>
          <w:rFonts w:hint="eastAsia" w:ascii="仿宋" w:hAnsi="仿宋" w:eastAsia="仿宋"/>
          <w:sz w:val="28"/>
          <w:szCs w:val="28"/>
        </w:rPr>
        <w:t>支出总表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_Toc15396621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四、</w:t>
      </w:r>
      <w:r>
        <w:fldChar w:fldCharType="begin"/>
      </w:r>
      <w:r>
        <w:instrText xml:space="preserve"> HYPERLINK \l "_Toc15396622" </w:instrText>
      </w:r>
      <w:r>
        <w:fldChar w:fldCharType="separate"/>
      </w:r>
      <w:r>
        <w:rPr>
          <w:rStyle w:val="15"/>
          <w:rFonts w:hint="eastAsia" w:ascii="仿宋" w:hAnsi="仿宋" w:eastAsia="仿宋"/>
          <w:sz w:val="28"/>
          <w:szCs w:val="28"/>
        </w:rPr>
        <w:t>财政拨款收入支出决算总表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_Toc15396622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五、</w:t>
      </w:r>
      <w:r>
        <w:fldChar w:fldCharType="begin"/>
      </w:r>
      <w:r>
        <w:instrText xml:space="preserve"> HYPERLINK \l "_Toc15396623" </w:instrText>
      </w:r>
      <w:r>
        <w:fldChar w:fldCharType="separate"/>
      </w:r>
      <w:r>
        <w:rPr>
          <w:rFonts w:hint="eastAsia" w:ascii="仿宋" w:hAnsi="仿宋" w:eastAsia="仿宋"/>
          <w:sz w:val="28"/>
          <w:szCs w:val="28"/>
        </w:rPr>
        <w:t>财政拨款支出决算明细表（政府经济分类科目）</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_Toc15396623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六、</w:t>
      </w:r>
      <w:r>
        <w:fldChar w:fldCharType="begin"/>
      </w:r>
      <w:r>
        <w:instrText xml:space="preserve"> HYPERLINK \l "_Toc15396624" </w:instrText>
      </w:r>
      <w:r>
        <w:fldChar w:fldCharType="separate"/>
      </w:r>
      <w:r>
        <w:rPr>
          <w:rStyle w:val="15"/>
          <w:rFonts w:hint="eastAsia" w:ascii="仿宋" w:hAnsi="仿宋" w:eastAsia="仿宋"/>
          <w:sz w:val="28"/>
          <w:szCs w:val="28"/>
        </w:rPr>
        <w:t>一般公共预算财政拨款支出决算表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_Toc15396624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七、</w:t>
      </w:r>
      <w:r>
        <w:fldChar w:fldCharType="begin"/>
      </w:r>
      <w:r>
        <w:instrText xml:space="preserve"> HYPERLINK \l "_Toc15396625" </w:instrText>
      </w:r>
      <w:r>
        <w:fldChar w:fldCharType="separate"/>
      </w:r>
      <w:r>
        <w:rPr>
          <w:rStyle w:val="15"/>
          <w:rFonts w:hint="eastAsia" w:ascii="仿宋" w:hAnsi="仿宋" w:eastAsia="仿宋"/>
          <w:sz w:val="28"/>
          <w:szCs w:val="28"/>
        </w:rPr>
        <w:t>一般公共预算财政拨款支出决算明细表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_Toc15396625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八、</w:t>
      </w:r>
      <w:r>
        <w:fldChar w:fldCharType="begin"/>
      </w:r>
      <w:r>
        <w:instrText xml:space="preserve"> HYPERLINK \l "_Toc15396626" </w:instrText>
      </w:r>
      <w:r>
        <w:fldChar w:fldCharType="separate"/>
      </w:r>
      <w:r>
        <w:rPr>
          <w:rStyle w:val="15"/>
          <w:rFonts w:hint="eastAsia" w:ascii="仿宋" w:hAnsi="仿宋" w:eastAsia="仿宋"/>
          <w:sz w:val="28"/>
          <w:szCs w:val="28"/>
        </w:rPr>
        <w:t>一般公共预算财政拨款基本支出决算表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_Toc15396626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九、</w:t>
      </w:r>
      <w:r>
        <w:fldChar w:fldCharType="begin"/>
      </w:r>
      <w:r>
        <w:instrText xml:space="preserve"> HYPERLINK \l "_Toc15396627" </w:instrText>
      </w:r>
      <w:r>
        <w:fldChar w:fldCharType="separate"/>
      </w:r>
      <w:r>
        <w:rPr>
          <w:rStyle w:val="15"/>
          <w:rFonts w:hint="eastAsia" w:ascii="仿宋" w:hAnsi="仿宋" w:eastAsia="仿宋"/>
          <w:sz w:val="28"/>
          <w:szCs w:val="28"/>
        </w:rPr>
        <w:t>一般公共预算财政拨款项目支出决算表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_Toc15396627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十、</w:t>
      </w:r>
      <w:r>
        <w:fldChar w:fldCharType="begin"/>
      </w:r>
      <w:r>
        <w:instrText xml:space="preserve"> HYPERLINK \l "_Toc15396628" </w:instrText>
      </w:r>
      <w:r>
        <w:fldChar w:fldCharType="separate"/>
      </w:r>
      <w:r>
        <w:rPr>
          <w:rStyle w:val="15"/>
          <w:rFonts w:hint="eastAsia" w:ascii="仿宋" w:hAnsi="仿宋" w:eastAsia="仿宋"/>
          <w:sz w:val="28"/>
          <w:szCs w:val="28"/>
        </w:rPr>
        <w:t>一般公共预算财政拨款“三公”经费支出决算表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_Toc15396628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十一、</w:t>
      </w:r>
      <w:r>
        <w:fldChar w:fldCharType="begin"/>
      </w:r>
      <w:r>
        <w:instrText xml:space="preserve"> HYPERLINK \l "_Toc15396629" </w:instrText>
      </w:r>
      <w:r>
        <w:fldChar w:fldCharType="separate"/>
      </w:r>
      <w:r>
        <w:rPr>
          <w:rStyle w:val="15"/>
          <w:rFonts w:hint="eastAsia" w:ascii="仿宋" w:hAnsi="仿宋" w:eastAsia="仿宋"/>
          <w:sz w:val="28"/>
          <w:szCs w:val="28"/>
        </w:rPr>
        <w:t>政府性基金预算财政拨款收入支出决算表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_Toc15396629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8"/>
          <w:szCs w:val="28"/>
        </w:rPr>
      </w:pPr>
      <w:r>
        <w:rPr>
          <w:rFonts w:hint="eastAsia" w:ascii="仿宋" w:hAnsi="仿宋" w:eastAsia="仿宋"/>
          <w:sz w:val="28"/>
          <w:szCs w:val="28"/>
        </w:rPr>
        <w:t>十二、</w:t>
      </w:r>
      <w:r>
        <w:fldChar w:fldCharType="begin"/>
      </w:r>
      <w:r>
        <w:instrText xml:space="preserve"> HYPERLINK \l "_Toc15396630" </w:instrText>
      </w:r>
      <w:r>
        <w:fldChar w:fldCharType="separate"/>
      </w:r>
      <w:r>
        <w:rPr>
          <w:rStyle w:val="15"/>
          <w:rFonts w:hint="eastAsia" w:ascii="仿宋" w:hAnsi="仿宋" w:eastAsia="仿宋"/>
          <w:sz w:val="28"/>
          <w:szCs w:val="28"/>
        </w:rPr>
        <w:t>政府性基金预算财政拨款“三公”经费支出决算表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_Toc15396630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pStyle w:val="11"/>
        <w:ind w:left="31680"/>
        <w:rPr>
          <w:rFonts w:ascii="仿宋" w:hAnsi="仿宋" w:eastAsia="仿宋"/>
          <w:sz w:val="24"/>
        </w:rPr>
      </w:pPr>
      <w:r>
        <w:rPr>
          <w:rFonts w:hint="eastAsia" w:ascii="仿宋" w:hAnsi="仿宋" w:eastAsia="仿宋"/>
          <w:sz w:val="28"/>
          <w:szCs w:val="28"/>
        </w:rPr>
        <w:t>十三、</w:t>
      </w:r>
      <w:r>
        <w:fldChar w:fldCharType="begin"/>
      </w:r>
      <w:r>
        <w:instrText xml:space="preserve"> HYPERLINK \l "_Toc15396631" </w:instrText>
      </w:r>
      <w:r>
        <w:fldChar w:fldCharType="separate"/>
      </w:r>
      <w:r>
        <w:rPr>
          <w:rStyle w:val="15"/>
          <w:rFonts w:hint="eastAsia" w:ascii="仿宋" w:hAnsi="仿宋" w:eastAsia="仿宋"/>
          <w:sz w:val="28"/>
          <w:szCs w:val="28"/>
        </w:rPr>
        <w:t>国有资本经营预算支出决算表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_Toc15396631 \h </w:instrText>
      </w:r>
      <w:r>
        <w:rPr>
          <w:rFonts w:ascii="仿宋" w:hAnsi="仿宋" w:eastAsia="仿宋"/>
          <w:sz w:val="28"/>
          <w:szCs w:val="28"/>
        </w:rPr>
        <w:fldChar w:fldCharType="separate"/>
      </w:r>
      <w:r>
        <w:rPr>
          <w:rFonts w:ascii="仿宋" w:hAnsi="仿宋" w:eastAsia="仿宋"/>
          <w:sz w:val="28"/>
          <w:szCs w:val="28"/>
        </w:rPr>
        <w:t>- 27 -</w:t>
      </w:r>
      <w:r>
        <w:rPr>
          <w:rFonts w:ascii="仿宋" w:hAnsi="仿宋" w:eastAsia="仿宋"/>
          <w:sz w:val="28"/>
          <w:szCs w:val="28"/>
        </w:rPr>
        <w:fldChar w:fldCharType="end"/>
      </w:r>
      <w:r>
        <w:rPr>
          <w:rFonts w:ascii="仿宋" w:hAnsi="仿宋" w:eastAsia="仿宋"/>
          <w:sz w:val="28"/>
          <w:szCs w:val="28"/>
        </w:rPr>
        <w:fldChar w:fldCharType="end"/>
      </w:r>
    </w:p>
    <w:p>
      <w:pPr>
        <w:widowControl/>
        <w:jc w:val="left"/>
        <w:rPr>
          <w:rFonts w:ascii="仿宋" w:hAnsi="仿宋" w:eastAsia="仿宋"/>
          <w:color w:val="000000"/>
          <w:sz w:val="24"/>
        </w:rPr>
      </w:pPr>
      <w:r>
        <w:rPr>
          <w:rFonts w:ascii="黑体" w:hAnsi="黑体" w:eastAsia="黑体"/>
          <w:color w:val="000000"/>
          <w:sz w:val="48"/>
          <w:szCs w:val="48"/>
        </w:rPr>
        <w:fldChar w:fldCharType="end"/>
      </w:r>
    </w:p>
    <w:p>
      <w:pPr>
        <w:widowControl/>
        <w:jc w:val="left"/>
        <w:rPr>
          <w:rFonts w:ascii="黑体" w:hAnsi="黑体" w:eastAsia="黑体"/>
          <w:bCs/>
          <w:kern w:val="44"/>
          <w:sz w:val="44"/>
          <w:szCs w:val="44"/>
        </w:rPr>
      </w:pPr>
      <w:bookmarkStart w:id="12" w:name="_Toc15377196"/>
      <w:bookmarkStart w:id="13" w:name="_Toc15396599"/>
      <w:r>
        <w:rPr>
          <w:rFonts w:ascii="黑体" w:hAnsi="黑体" w:eastAsia="黑体"/>
          <w:b/>
        </w:rPr>
        <w:br w:type="page"/>
      </w:r>
    </w:p>
    <w:p>
      <w:pPr>
        <w:pStyle w:val="2"/>
        <w:jc w:val="center"/>
        <w:rPr>
          <w:rStyle w:val="16"/>
          <w:rFonts w:ascii="黑体" w:hAnsi="黑体" w:eastAsia="黑体"/>
          <w:b/>
          <w:bCs w:val="0"/>
        </w:rPr>
      </w:pPr>
      <w:r>
        <w:rPr>
          <w:rFonts w:hint="eastAsia" w:ascii="黑体" w:hAnsi="黑体" w:eastAsia="黑体"/>
          <w:b w:val="0"/>
        </w:rPr>
        <w:t>第一部分</w:t>
      </w:r>
      <w:r>
        <w:rPr>
          <w:rFonts w:ascii="黑体" w:hAnsi="黑体" w:eastAsia="黑体"/>
          <w:b w:val="0"/>
        </w:rPr>
        <w:t xml:space="preserve"> </w:t>
      </w:r>
      <w:r>
        <w:rPr>
          <w:rStyle w:val="16"/>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17"/>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17"/>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hint="eastAsia" w:ascii="仿宋" w:hAnsi="仿宋" w:eastAsia="仿宋"/>
          <w:bCs/>
          <w:color w:val="auto"/>
          <w:sz w:val="32"/>
          <w:szCs w:val="32"/>
        </w:rPr>
      </w:pPr>
      <w:bookmarkStart w:id="16" w:name="_Toc15377198"/>
      <w:bookmarkStart w:id="17" w:name="_Toc15378445"/>
      <w:r>
        <w:rPr>
          <w:rFonts w:hint="eastAsia" w:ascii="仿宋" w:hAnsi="仿宋" w:eastAsia="仿宋"/>
          <w:bCs/>
          <w:color w:val="auto"/>
          <w:sz w:val="32"/>
          <w:szCs w:val="32"/>
        </w:rPr>
        <w:t>（一）主要职能。</w:t>
      </w:r>
    </w:p>
    <w:bookmarkEnd w:id="16"/>
    <w:bookmarkEnd w:id="17"/>
    <w:p>
      <w:pPr>
        <w:keepNext w:val="0"/>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 w:hAnsi="仿宋" w:eastAsia="仿宋"/>
          <w:bCs/>
          <w:color w:val="auto"/>
          <w:sz w:val="32"/>
          <w:szCs w:val="32"/>
          <w:lang w:val="en-US" w:eastAsia="zh-CN"/>
        </w:rPr>
      </w:pPr>
      <w:r>
        <w:rPr>
          <w:rFonts w:hint="eastAsia" w:ascii="仿宋" w:hAnsi="仿宋" w:eastAsia="仿宋" w:cs="Times New Roman"/>
          <w:bCs/>
          <w:color w:val="auto"/>
          <w:kern w:val="0"/>
          <w:sz w:val="32"/>
          <w:szCs w:val="32"/>
          <w:lang w:val="en-US" w:eastAsia="zh-CN" w:bidi="ar-SA"/>
        </w:rPr>
        <w:t>2018市委巡察办根据《中国共产党章程》《中国共产党廉洁自律准则》《中国共产党纪律处分条例》《中国共产党巡视工作条例》等规定，聚焦党的领导、党的建设、全面从严治党、党风廉政建设和反腐败工作等方面开展巡察。</w:t>
      </w:r>
    </w:p>
    <w:p>
      <w:pPr>
        <w:pStyle w:val="5"/>
        <w:adjustRightInd w:val="0"/>
        <w:snapToGrid w:val="0"/>
        <w:spacing w:before="93" w:line="600" w:lineRule="exact"/>
        <w:ind w:firstLine="672" w:firstLineChars="210"/>
        <w:outlineLvl w:val="2"/>
        <w:rPr>
          <w:rFonts w:hint="eastAsia" w:ascii="仿宋" w:hAnsi="仿宋" w:eastAsia="仿宋"/>
          <w:bCs/>
          <w:color w:val="auto"/>
          <w:sz w:val="32"/>
          <w:szCs w:val="32"/>
        </w:rPr>
      </w:pPr>
      <w:bookmarkStart w:id="18" w:name="_Toc15377199"/>
      <w:bookmarkStart w:id="19" w:name="_Toc15378446"/>
      <w:r>
        <w:rPr>
          <w:rFonts w:hint="eastAsia" w:ascii="仿宋" w:hAnsi="仿宋" w:eastAsia="仿宋"/>
          <w:bCs/>
          <w:color w:val="auto"/>
          <w:sz w:val="32"/>
          <w:szCs w:val="32"/>
        </w:rPr>
        <w:t>（二）</w:t>
      </w:r>
      <w:r>
        <w:rPr>
          <w:rFonts w:ascii="仿宋" w:hAnsi="仿宋" w:eastAsia="仿宋"/>
          <w:bCs/>
          <w:color w:val="auto"/>
          <w:sz w:val="32"/>
          <w:szCs w:val="32"/>
        </w:rPr>
        <w:t>2018</w:t>
      </w:r>
      <w:r>
        <w:rPr>
          <w:rFonts w:hint="eastAsia" w:ascii="仿宋" w:hAnsi="仿宋" w:eastAsia="仿宋"/>
          <w:bCs/>
          <w:color w:val="auto"/>
          <w:sz w:val="32"/>
          <w:szCs w:val="32"/>
        </w:rPr>
        <w:t>年重点工作完成情况。</w:t>
      </w:r>
      <w:bookmarkEnd w:id="18"/>
      <w:bookmarkEnd w:id="19"/>
    </w:p>
    <w:p>
      <w:pPr>
        <w:keepNext w:val="0"/>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 w:hAnsi="仿宋" w:eastAsia="仿宋" w:cs="Times New Roman"/>
          <w:bCs/>
          <w:color w:val="auto"/>
          <w:kern w:val="0"/>
          <w:sz w:val="32"/>
          <w:szCs w:val="32"/>
          <w:lang w:val="en-US" w:eastAsia="zh-CN" w:bidi="ar-SA"/>
        </w:rPr>
      </w:pPr>
      <w:bookmarkStart w:id="20" w:name="_Toc15377200"/>
      <w:bookmarkStart w:id="21" w:name="_Toc15396601"/>
      <w:r>
        <w:rPr>
          <w:rFonts w:hint="eastAsia" w:ascii="仿宋" w:hAnsi="仿宋" w:eastAsia="仿宋" w:cs="Times New Roman"/>
          <w:bCs/>
          <w:color w:val="auto"/>
          <w:kern w:val="0"/>
          <w:sz w:val="32"/>
          <w:szCs w:val="32"/>
          <w:lang w:val="en-US" w:eastAsia="zh-CN" w:bidi="ar-SA"/>
        </w:rPr>
        <w:t>（一）保持政治定力，持续深化政治巡察。深入贯彻落实党的十九大精神，坚持以习近平新时代中国特色社会主义思想为指导，牢牢把握政治巡察属性，提高政治站位、保持政治定力，认真落实“发现问题、形成震慑，推动改革、促进发展”的巡察工作方针，始终把着力发现党的领导、党的建设、全面从严治党等方面存在的问题作为工作重点，严格按照新时代党的建设总要求，以加强党的长期执政能力建设、先进性和纯洁性建设为主线，以加强党的政治建设为统领，坚定不移持续深化政治巡察，充分发挥巡察“尖兵”、“利剑”作用，有力推动中央、省委、达州市委和万源市委重大决策部署落实落地，压茬推进全面从严治党向基层延伸、纵深发展，巩固发展全市风清气正的良好政治生态，切实增强全市群众获得感幸福感安全感。</w:t>
      </w:r>
    </w:p>
    <w:p>
      <w:pPr>
        <w:keepNext w:val="0"/>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 w:hAnsi="仿宋" w:eastAsia="仿宋" w:cs="Times New Roman"/>
          <w:bCs/>
          <w:color w:val="auto"/>
          <w:kern w:val="0"/>
          <w:sz w:val="32"/>
          <w:szCs w:val="32"/>
          <w:lang w:val="en-US" w:eastAsia="zh-CN" w:bidi="ar-SA"/>
        </w:rPr>
      </w:pPr>
      <w:r>
        <w:rPr>
          <w:rFonts w:hint="eastAsia" w:ascii="仿宋" w:hAnsi="仿宋" w:eastAsia="仿宋" w:cs="Times New Roman"/>
          <w:bCs/>
          <w:color w:val="auto"/>
          <w:kern w:val="0"/>
          <w:sz w:val="32"/>
          <w:szCs w:val="32"/>
          <w:lang w:val="en-US" w:eastAsia="zh-CN" w:bidi="ar-SA"/>
        </w:rPr>
        <w:t>（二）坚持稳中求进，稳步推进常规巡察。</w:t>
      </w:r>
      <w:r>
        <w:rPr>
          <w:rFonts w:hint="default" w:ascii="仿宋" w:hAnsi="仿宋" w:eastAsia="仿宋" w:cs="Times New Roman"/>
          <w:bCs/>
          <w:color w:val="auto"/>
          <w:kern w:val="0"/>
          <w:sz w:val="32"/>
          <w:szCs w:val="32"/>
          <w:lang w:val="en-US" w:eastAsia="zh-CN" w:bidi="ar-SA"/>
        </w:rPr>
        <w:t>一是</w:t>
      </w:r>
      <w:r>
        <w:rPr>
          <w:rFonts w:hint="eastAsia" w:ascii="仿宋" w:hAnsi="仿宋" w:eastAsia="仿宋" w:cs="Times New Roman"/>
          <w:bCs/>
          <w:color w:val="auto"/>
          <w:kern w:val="0"/>
          <w:sz w:val="32"/>
          <w:szCs w:val="32"/>
          <w:lang w:val="en-US" w:eastAsia="zh-CN" w:bidi="ar-SA"/>
        </w:rPr>
        <w:t>严格按照中央、省委、达州市委和万源市委巡察工作总要求，牢牢把握一届任期内巡察全覆盖总节奏，紧紧围绕市委、市政府中心工作，将脱贫攻坚工作、意识形态工作及基层党组织是否存在“乡匪村霸”或对黑恶势力充当“保护伞”等方面问题纳入巡察监督重点内容，精心谋划、精心部署、统筹推进，完成对29个单位及2个村级党组织的常规巡察，发现问题869个，问题线索28件，立案19件27人。二是严格按照《关于做好县（市、区）党委书记专题会听取巡察汇报和听取巡察汇报情况报备工作的通知》（</w:t>
      </w:r>
      <w:r>
        <w:rPr>
          <w:rFonts w:hint="default" w:ascii="仿宋" w:hAnsi="仿宋" w:eastAsia="仿宋" w:cs="Times New Roman"/>
          <w:bCs/>
          <w:color w:val="auto"/>
          <w:kern w:val="0"/>
          <w:sz w:val="32"/>
          <w:szCs w:val="32"/>
          <w:lang w:val="en-US" w:eastAsia="zh-CN" w:bidi="ar-SA"/>
        </w:rPr>
        <w:t>达市委巡办〔2018〕32号</w:t>
      </w:r>
      <w:r>
        <w:rPr>
          <w:rFonts w:hint="eastAsia" w:ascii="仿宋" w:hAnsi="仿宋" w:eastAsia="仿宋" w:cs="Times New Roman"/>
          <w:bCs/>
          <w:color w:val="auto"/>
          <w:kern w:val="0"/>
          <w:sz w:val="32"/>
          <w:szCs w:val="32"/>
          <w:lang w:val="en-US" w:eastAsia="zh-CN" w:bidi="ar-SA"/>
        </w:rPr>
        <w:t>）要求，自2018年8月底起，按时按要求召开市委书记专题会2次，听取市委第十四轮专项巡察“回头看”发现重点问题和问题线索情况汇报，对问题整改要求、时限及问题线索办理提出明确处置意见，建立党委书记点人点事问题台账，及时跟踪督办点人点事问题及问题线索。三是按照达州市委巡察办关于对卫计、教育领域开展系统巡察的相关要求，在巡察市教科局期间，对全市乡镇学校开展了延伸巡察；将万源中学、万源市第三中学、太平镇第一小学、太平镇第二小学等4所城区学校纳入巡察任务，开展了直接巡察，实现了对全市所有学校巡察全覆盖。在巡察市卫计局期间，对全市乡镇卫生院、部分城区医院开展了延伸巡察；将万源市中心医院、万源市中医院纳入巡察任务，直接开展了巡察，挽回经济损失100余万元，实现了对全市所有医院巡察全覆盖。</w:t>
      </w:r>
    </w:p>
    <w:p>
      <w:pPr>
        <w:keepNext w:val="0"/>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 w:hAnsi="仿宋" w:eastAsia="仿宋" w:cs="Times New Roman"/>
          <w:bCs/>
          <w:color w:val="auto"/>
          <w:kern w:val="0"/>
          <w:sz w:val="32"/>
          <w:szCs w:val="32"/>
          <w:lang w:val="en-US" w:eastAsia="zh-CN" w:bidi="ar-SA"/>
        </w:rPr>
      </w:pPr>
      <w:r>
        <w:rPr>
          <w:rFonts w:hint="eastAsia" w:ascii="仿宋" w:hAnsi="仿宋" w:eastAsia="仿宋" w:cs="Times New Roman"/>
          <w:bCs/>
          <w:color w:val="auto"/>
          <w:kern w:val="0"/>
          <w:sz w:val="32"/>
          <w:szCs w:val="32"/>
          <w:lang w:val="en-US" w:eastAsia="zh-CN" w:bidi="ar-SA"/>
        </w:rPr>
        <w:t>（三）注重同频共振，深入开展专项巡察。一是全面贯彻落实</w:t>
      </w:r>
      <w:r>
        <w:rPr>
          <w:rFonts w:hint="default" w:ascii="仿宋" w:hAnsi="仿宋" w:eastAsia="仿宋" w:cs="Times New Roman"/>
          <w:bCs/>
          <w:color w:val="auto"/>
          <w:kern w:val="0"/>
          <w:sz w:val="32"/>
          <w:szCs w:val="32"/>
          <w:lang w:val="en-US" w:eastAsia="zh-CN" w:bidi="ar-SA"/>
        </w:rPr>
        <w:t>省委</w:t>
      </w:r>
      <w:r>
        <w:rPr>
          <w:rFonts w:hint="eastAsia" w:ascii="仿宋" w:hAnsi="仿宋" w:eastAsia="仿宋" w:cs="Times New Roman"/>
          <w:bCs/>
          <w:color w:val="auto"/>
          <w:kern w:val="0"/>
          <w:sz w:val="32"/>
          <w:szCs w:val="32"/>
          <w:lang w:val="en-US" w:eastAsia="zh-CN" w:bidi="ar-SA"/>
        </w:rPr>
        <w:t>开展扶贫领域省市县三级联动专项巡视巡察工作部署，在省委巡视组巡视专员参与指导下，万源市委组建2个脱贫攻坚三级联动专项巡察组，与省委巡视组紧密配合，完成对2个乡镇和6个村级党组织的脱贫攻坚专项巡察工作，发现问题34个，问题线索8件，立案5件7人；完成对市发改局等12个市级部门的巡察“回头看”工作，发现问题34个，问题线索1件，构建了省市县三级联动巡视巡察工作良好格局。二是落实达州市委巡察办组织的开展县（市、区）交叉巡察、破解基层巡察监督“人情干扰”难题工作部署，派出5名巡察干部参加通川区、大竹县等区县交叉巡察工作；组建万源市委交叉巡察组，完成对市林业园林局交叉巡察工作，发现问题19个。三是根据达州市委巡察办工作部署，完成对市农业局等20个市级部门（单位）的脱贫攻坚专项巡察工作，发现问题105个。</w:t>
      </w:r>
    </w:p>
    <w:p>
      <w:pPr>
        <w:keepNext w:val="0"/>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 w:hAnsi="仿宋" w:eastAsia="仿宋" w:cs="Times New Roman"/>
          <w:bCs/>
          <w:color w:val="auto"/>
          <w:kern w:val="0"/>
          <w:sz w:val="32"/>
          <w:szCs w:val="32"/>
          <w:lang w:val="en-US" w:eastAsia="zh-CN" w:bidi="ar-SA"/>
        </w:rPr>
      </w:pPr>
      <w:r>
        <w:rPr>
          <w:rFonts w:hint="eastAsia" w:ascii="仿宋" w:hAnsi="仿宋" w:eastAsia="仿宋" w:cs="Times New Roman"/>
          <w:bCs/>
          <w:color w:val="auto"/>
          <w:kern w:val="0"/>
          <w:sz w:val="32"/>
          <w:szCs w:val="32"/>
          <w:lang w:val="en-US" w:eastAsia="zh-CN" w:bidi="ar-SA"/>
        </w:rPr>
        <w:t>（四）健全督办机制，有效提升巡察质效。落实中央、省委、达州市委和万源市委巡察整改工作要求，探索建立巡察整改长效督办机制，持续深化巡察成果运用，做实做好巡察“后半篇文章”。建立市级分管领导指导整改制度，全程了解、指导被巡察单位抓实抓好巡察整改工作，向市委书面反馈指导整改责任落实情况；建立市委书记常态听取被巡察单位问题整改工作情况汇报机制，市委书记全年召开会议4次，专题听取了市林园局、河口镇等21个被巡察单位巡察整改情况汇报，持续释放“巡视巡察反馈了，整改不落实，就是对党不忠诚”的强烈信号，责令被巡察单位书面承诺按期按质全面履行整改责任；建立巡察整改督查检查制度，及时对被巡察单位开展回访督查，查看立行立改问题是否即知即改、改出实效，查看共性问题整改是否做到建章立制、举一反三，深入了解问题整改社会效应，全年下发巡察“回头看”工作情况通报1期，对专项巡察“回头看”发现市教科局等5个被巡察单位落实巡察整改不力问题进行全市通报；建立市纪检监察机关、市委组织部督查督办巡察整改工作机制，将巡察移交被巡察单位长期坚持整改问题纳入日常监督重点内容，不打招呼、不安排陪同、不听取汇报、不定期限进行监督检查，责令被巡察单位抓好问题长效整改；建立市委巡察整改责任追究机制，牢牢抓住被巡察单位主要负责人、分管领导这个“关键少数”，市委巡察工作领导小组对巡察整改责任落实不力的13个被巡察单位主要负责人进行约谈，对问题整改工作做“表面文章”“挂空挡、走过场”，搞敷衍了事、“雨过地皮湿”的，从严追究相关人员责任，以纪律的刚性约束倒逼整改责任落实落地。</w:t>
      </w:r>
    </w:p>
    <w:p>
      <w:pPr>
        <w:keepNext w:val="0"/>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 w:hAnsi="仿宋" w:eastAsia="仿宋" w:cs="Times New Roman"/>
          <w:bCs/>
          <w:color w:val="auto"/>
          <w:kern w:val="0"/>
          <w:sz w:val="32"/>
          <w:szCs w:val="32"/>
          <w:lang w:val="en-US" w:eastAsia="zh-CN" w:bidi="ar-SA"/>
        </w:rPr>
      </w:pPr>
      <w:r>
        <w:rPr>
          <w:rFonts w:hint="eastAsia" w:ascii="仿宋" w:hAnsi="仿宋" w:eastAsia="仿宋" w:cs="Times New Roman"/>
          <w:bCs/>
          <w:color w:val="auto"/>
          <w:kern w:val="0"/>
          <w:sz w:val="32"/>
          <w:szCs w:val="32"/>
          <w:lang w:val="en-US" w:eastAsia="zh-CN" w:bidi="ar-SA"/>
        </w:rPr>
        <w:t>（五）加强队伍建设，增强巡察监督本领。坚持打铁还需自身硬，按照信念过硬、政治过硬、责任过硬、能力过硬、作风过硬的要求，着力打造忠诚干净担当的政治巡察队伍。一是注重思想学习，加强政治建设。全年组织全体巡察干部深入学习党的十九大精神、习近平新时代中国特色社会主义思想，积极开展“三大讨论”，扎实推进“两学一做”学习教育常态化制度化，开展“不忘初心、牢记使命”主题教育，教育全体巡察干部增强“四个意识”、坚定“四个自信”，坚决做到“两个维护”。二是强化教育培训，加强能力建设。全年组织巡察干部开展专项巡察业务培训3次，参加达州市巡察工作业务培训1次，赴浙江大学、北京大学参训学习各1次，促进干部激活思维、开拓视野，有效提升巡察专业能力。三是充实队伍力量，加强“智库”建设。坚持选优配强，在全市巡察工作组长库、人才库中精挑细选8名党员干部充实到巡察队伍，现每个巡察组已配置6-7名巡察干部，基本满足巡察工作需要；充分利用卸任领导干部宝贵人才资源，抽调7名卸任领导干部协助巡察工作，发挥卸任领导干部余热；在全市范围内，挑选党务、执纪、宣传、财会、审计、政法等专业人才72名，建立完善巡察“智库”建设，增强巡察队伍专业性。四是严格监督管理，加强作风建设。实行组长负责制，切实履行“一岗双责”，严明纪律作风，对巡察干部严格教育、严格管理、严格监督，维护巡察队伍良好形象。五是建立激励机制，畅通人才出口。把巡察岗位作为发现、培养、锻炼干部的重要平台，加大对巡察干部培养、使用力度，积极向市委推荐优秀巡察干部，有2名巡察干部提拔为副乡镇长，上派达州市纪委、达州市委巡察办锻炼学习各1名，经省委组织部上派交流到广元市苍溪县委巡察办1名，让年轻优秀巡察干部有活力、有盼头、有干劲，有效增强队伍生机活力。六是注重巡察外宣，扩大社会效应。始终把巡察对外宣传作为提升社会效应的重要手段，加强对工作动态、经验做法、巡察成果对上对外宣传，全年撰写报送巡察工作信息49篇，其中被廉洁四川采用2篇，被廉洁达州采用3篇，被华西都市报采用3篇，封面新闻采用2篇，川东观察采用1篇，有效宣传全市巡察工作成果。</w:t>
      </w:r>
    </w:p>
    <w:p>
      <w:pPr>
        <w:keepNext w:val="0"/>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 w:hAnsi="仿宋" w:eastAsia="仿宋" w:cs="Times New Roman"/>
          <w:bCs/>
          <w:color w:val="auto"/>
          <w:kern w:val="0"/>
          <w:sz w:val="32"/>
          <w:szCs w:val="32"/>
          <w:lang w:val="en-US" w:eastAsia="zh-CN" w:bidi="ar-SA"/>
        </w:rPr>
      </w:pPr>
      <w:r>
        <w:rPr>
          <w:rFonts w:hint="eastAsia" w:ascii="仿宋" w:hAnsi="仿宋" w:eastAsia="仿宋" w:cs="Times New Roman"/>
          <w:bCs/>
          <w:color w:val="auto"/>
          <w:kern w:val="0"/>
          <w:sz w:val="32"/>
          <w:szCs w:val="32"/>
          <w:lang w:val="en-US" w:eastAsia="zh-CN" w:bidi="ar-SA"/>
        </w:rPr>
        <w:t>二、机构设置</w:t>
      </w:r>
      <w:bookmarkEnd w:id="20"/>
      <w:bookmarkEnd w:id="21"/>
    </w:p>
    <w:p>
      <w:pPr>
        <w:keepNext w:val="0"/>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default" w:ascii="仿宋" w:hAnsi="仿宋" w:eastAsia="仿宋" w:cs="Times New Roman"/>
          <w:bCs/>
          <w:color w:val="auto"/>
          <w:kern w:val="0"/>
          <w:sz w:val="32"/>
          <w:szCs w:val="32"/>
          <w:lang w:val="en-US" w:eastAsia="zh-CN" w:bidi="ar-SA"/>
        </w:rPr>
      </w:pPr>
      <w:r>
        <w:rPr>
          <w:rFonts w:hint="default" w:ascii="仿宋" w:hAnsi="仿宋" w:eastAsia="仿宋" w:cs="Times New Roman"/>
          <w:bCs/>
          <w:color w:val="auto"/>
          <w:kern w:val="0"/>
          <w:sz w:val="32"/>
          <w:szCs w:val="32"/>
          <w:lang w:val="en-US" w:eastAsia="zh-CN" w:bidi="ar-SA"/>
        </w:rPr>
        <w:t>中共万源市委巡察工作领导小组下设巡察工作领导小组办公室（以下简称“巡察办”）和4个巡察组，巡察办为日常办事机构，设在同级纪委</w:t>
      </w:r>
      <w:r>
        <w:rPr>
          <w:rFonts w:hint="eastAsia" w:ascii="仿宋" w:hAnsi="仿宋" w:eastAsia="仿宋"/>
          <w:color w:val="000000"/>
          <w:sz w:val="32"/>
          <w:szCs w:val="32"/>
          <w:lang w:eastAsia="zh-CN"/>
        </w:rPr>
        <w:t>。</w:t>
      </w:r>
    </w:p>
    <w:p>
      <w:pPr>
        <w:pStyle w:val="5"/>
        <w:adjustRightInd w:val="0"/>
        <w:snapToGrid w:val="0"/>
        <w:spacing w:before="93" w:line="600" w:lineRule="exact"/>
        <w:ind w:firstLine="672" w:firstLineChars="210"/>
        <w:rPr>
          <w:rFonts w:ascii="仿宋" w:hAnsi="仿宋" w:eastAsia="仿宋"/>
          <w:color w:val="000000"/>
          <w:sz w:val="32"/>
          <w:szCs w:val="32"/>
        </w:rPr>
      </w:pPr>
      <w:r>
        <w:rPr>
          <w:rFonts w:hint="eastAsia" w:ascii="仿宋" w:hAnsi="仿宋" w:eastAsia="仿宋"/>
          <w:color w:val="000000"/>
          <w:sz w:val="32"/>
          <w:szCs w:val="32"/>
          <w:lang w:eastAsia="zh-CN"/>
        </w:rPr>
        <w:t>无</w:t>
      </w:r>
      <w:r>
        <w:rPr>
          <w:rFonts w:hint="eastAsia" w:ascii="仿宋" w:hAnsi="仿宋" w:eastAsia="仿宋"/>
          <w:color w:val="000000"/>
          <w:sz w:val="32"/>
          <w:szCs w:val="32"/>
        </w:rPr>
        <w:t>纳入</w:t>
      </w:r>
      <w:r>
        <w:rPr>
          <w:rFonts w:ascii="仿宋" w:hAnsi="仿宋" w:eastAsia="仿宋"/>
          <w:color w:val="000000"/>
          <w:sz w:val="32"/>
          <w:szCs w:val="32"/>
        </w:rPr>
        <w:t>2018</w:t>
      </w:r>
      <w:r>
        <w:rPr>
          <w:rFonts w:hint="eastAsia" w:ascii="仿宋" w:hAnsi="仿宋" w:eastAsia="仿宋"/>
          <w:color w:val="000000"/>
          <w:sz w:val="32"/>
          <w:szCs w:val="32"/>
        </w:rPr>
        <w:t>年度部门决算编制范围的二级预算单位</w:t>
      </w:r>
      <w:r>
        <w:rPr>
          <w:rFonts w:hint="eastAsia" w:ascii="仿宋" w:hAnsi="仿宋" w:eastAsia="仿宋"/>
          <w:color w:val="000000"/>
          <w:sz w:val="32"/>
          <w:szCs w:val="32"/>
          <w:lang w:eastAsia="zh-CN"/>
        </w:rPr>
        <w:t>。</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16"/>
          <w:rFonts w:ascii="黑体" w:hAnsi="黑体" w:eastAsia="黑体"/>
          <w:b w:val="0"/>
          <w:bCs w:val="0"/>
        </w:rPr>
      </w:pPr>
      <w:bookmarkStart w:id="22" w:name="_Toc15396602"/>
      <w:bookmarkStart w:id="23" w:name="_Toc15377204"/>
      <w:r>
        <w:rPr>
          <w:rFonts w:hint="eastAsia" w:ascii="黑体" w:hAnsi="黑体" w:eastAsia="黑体"/>
          <w:b w:val="0"/>
          <w:color w:val="000000"/>
        </w:rPr>
        <w:t>第二部分</w:t>
      </w:r>
      <w:r>
        <w:rPr>
          <w:rFonts w:ascii="黑体" w:hAnsi="黑体" w:eastAsia="黑体"/>
          <w:color w:val="000000"/>
        </w:rPr>
        <w:t xml:space="preserve"> </w:t>
      </w:r>
      <w:r>
        <w:rPr>
          <w:rStyle w:val="16"/>
          <w:rFonts w:ascii="黑体" w:hAnsi="黑体" w:eastAsia="黑体"/>
          <w:b w:val="0"/>
          <w:bCs w:val="0"/>
        </w:rPr>
        <w:t>2018</w:t>
      </w:r>
      <w:r>
        <w:rPr>
          <w:rStyle w:val="16"/>
          <w:rFonts w:hint="eastAsia" w:ascii="黑体" w:hAnsi="黑体" w:eastAsia="黑体"/>
          <w:b w:val="0"/>
          <w:bCs w:val="0"/>
        </w:rPr>
        <w:t>年度部门决算情况说明</w:t>
      </w:r>
      <w:bookmarkEnd w:id="22"/>
      <w:bookmarkEnd w:id="23"/>
    </w:p>
    <w:p/>
    <w:p>
      <w:pPr>
        <w:pStyle w:val="26"/>
        <w:numPr>
          <w:ilvl w:val="0"/>
          <w:numId w:val="1"/>
        </w:numPr>
        <w:spacing w:line="600" w:lineRule="exact"/>
        <w:ind w:firstLineChars="0"/>
        <w:outlineLvl w:val="1"/>
        <w:rPr>
          <w:rStyle w:val="17"/>
          <w:rFonts w:ascii="黑体" w:hAnsi="黑体" w:eastAsia="黑体"/>
          <w:b w:val="0"/>
        </w:rPr>
      </w:pPr>
      <w:bookmarkStart w:id="24" w:name="_Toc15377205"/>
      <w:bookmarkStart w:id="25" w:name="_Toc15396603"/>
      <w:r>
        <w:rPr>
          <w:rFonts w:hint="eastAsia" w:ascii="黑体" w:hAnsi="黑体" w:eastAsia="黑体"/>
          <w:color w:val="000000"/>
          <w:sz w:val="32"/>
          <w:szCs w:val="32"/>
        </w:rPr>
        <w:t>收</w:t>
      </w:r>
      <w:r>
        <w:rPr>
          <w:rStyle w:val="17"/>
          <w:rFonts w:hint="eastAsia" w:ascii="黑体" w:hAnsi="黑体" w:eastAsia="黑体"/>
          <w:b w:val="0"/>
        </w:rPr>
        <w:t>入支出决算总体情况说明</w:t>
      </w:r>
      <w:bookmarkEnd w:id="24"/>
      <w:bookmarkEnd w:id="25"/>
    </w:p>
    <w:p>
      <w:pPr>
        <w:spacing w:line="600" w:lineRule="exact"/>
        <w:ind w:firstLine="640" w:firstLineChars="200"/>
        <w:rPr>
          <w:rFonts w:hint="eastAsia" w:ascii="仿宋" w:hAnsi="仿宋" w:eastAsia="仿宋"/>
          <w:color w:val="000000"/>
          <w:sz w:val="32"/>
          <w:szCs w:val="32"/>
        </w:rPr>
      </w:pPr>
      <w:r>
        <w:rPr>
          <w:rFonts w:ascii="仿宋" w:hAnsi="仿宋" w:eastAsia="仿宋"/>
          <w:color w:val="000000"/>
          <w:sz w:val="32"/>
          <w:szCs w:val="32"/>
        </w:rPr>
        <w:t>2018</w:t>
      </w:r>
      <w:r>
        <w:rPr>
          <w:rFonts w:hint="eastAsia" w:ascii="仿宋" w:hAnsi="仿宋" w:eastAsia="仿宋"/>
          <w:color w:val="000000"/>
          <w:sz w:val="32"/>
          <w:szCs w:val="32"/>
        </w:rPr>
        <w:t>年度收、支总计</w:t>
      </w:r>
      <w:r>
        <w:rPr>
          <w:rFonts w:hint="eastAsia" w:ascii="仿宋" w:hAnsi="仿宋" w:eastAsia="仿宋"/>
          <w:color w:val="000000"/>
          <w:sz w:val="32"/>
          <w:szCs w:val="32"/>
          <w:lang w:val="en-US" w:eastAsia="zh-CN"/>
        </w:rPr>
        <w:t>74.97</w:t>
      </w:r>
      <w:r>
        <w:rPr>
          <w:rFonts w:hint="eastAsia" w:ascii="仿宋" w:hAnsi="仿宋" w:eastAsia="仿宋"/>
          <w:color w:val="000000"/>
          <w:sz w:val="32"/>
          <w:szCs w:val="32"/>
        </w:rPr>
        <w:t>万元。与</w:t>
      </w:r>
      <w:r>
        <w:rPr>
          <w:rFonts w:ascii="仿宋" w:hAnsi="仿宋" w:eastAsia="仿宋"/>
          <w:color w:val="000000"/>
          <w:sz w:val="32"/>
          <w:szCs w:val="32"/>
        </w:rPr>
        <w:t>2017</w:t>
      </w:r>
      <w:r>
        <w:rPr>
          <w:rFonts w:hint="eastAsia" w:ascii="仿宋" w:hAnsi="仿宋" w:eastAsia="仿宋"/>
          <w:color w:val="000000"/>
          <w:sz w:val="32"/>
          <w:szCs w:val="32"/>
        </w:rPr>
        <w:t>年相比，收、支总计各减少</w:t>
      </w:r>
      <w:r>
        <w:rPr>
          <w:rFonts w:hint="eastAsia" w:ascii="仿宋" w:hAnsi="仿宋" w:eastAsia="仿宋"/>
          <w:color w:val="000000"/>
          <w:sz w:val="32"/>
          <w:szCs w:val="32"/>
          <w:lang w:val="en-US" w:eastAsia="zh-CN"/>
        </w:rPr>
        <w:t>130.59</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63.52</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减少了机构成立时办公设备采购。</w:t>
      </w:r>
    </w:p>
    <w:p>
      <w:pPr>
        <w:spacing w:line="600" w:lineRule="exact"/>
        <w:ind w:firstLine="640" w:firstLineChars="200"/>
        <w:rPr>
          <w:rFonts w:hint="eastAsia" w:ascii="仿宋" w:hAnsi="仿宋" w:eastAsia="仿宋"/>
          <w:color w:val="000000"/>
          <w:sz w:val="32"/>
          <w:szCs w:val="32"/>
        </w:rPr>
      </w:pPr>
      <w:r>
        <w:rPr>
          <w:rFonts w:hint="eastAsia" w:ascii="仿宋_GB2312" w:eastAsia="仿宋_GB2312"/>
          <w:color w:val="000000"/>
          <w:sz w:val="32"/>
          <w:szCs w:val="32"/>
          <w:highlight w:val="yellow"/>
          <w:lang w:eastAsia="zh-CN"/>
        </w:rPr>
        <w:pict>
          <v:shape id="_x0000_s1026" o:spid="_x0000_s1026" o:spt="75" type="#_x0000_t75" style="position:absolute;left:0pt;margin-left:10.8pt;margin-top:18.1pt;height:255.35pt;width:395.1pt;mso-wrap-distance-bottom:0pt;mso-wrap-distance-left:9pt;mso-wrap-distance-right:9pt;mso-wrap-distance-top:0pt;z-index:251660288;mso-width-relative:page;mso-height-relative:page;" o:ole="t" filled="f" o:preferrelative="t" stroked="f" coordsize="21600,21600">
            <v:path/>
            <v:fill on="f" focussize="0,0"/>
            <v:stroke on="f"/>
            <v:imagedata r:id="rId8" o:title=""/>
            <o:lock v:ext="edit" aspectratio="t"/>
            <w10:wrap type="square"/>
          </v:shape>
          <o:OLEObject Type="Embed" ProgID="Excel.Chart.8" ShapeID="_x0000_s1026" DrawAspect="Content" ObjectID="_1468075725" r:id="rId7">
            <o:LockedField>false</o:LockedField>
          </o:OLEObject>
        </w:pic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spacing w:line="600" w:lineRule="exact"/>
        <w:ind w:firstLine="640" w:firstLineChars="200"/>
        <w:jc w:val="left"/>
        <w:rPr>
          <w:rFonts w:ascii="仿宋_GB2312" w:eastAsia="仿宋_GB2312"/>
          <w:color w:val="000000"/>
          <w:sz w:val="32"/>
          <w:szCs w:val="32"/>
        </w:rPr>
      </w:pPr>
    </w:p>
    <w:p>
      <w:pPr>
        <w:pStyle w:val="26"/>
        <w:numPr>
          <w:ilvl w:val="0"/>
          <w:numId w:val="1"/>
        </w:numPr>
        <w:spacing w:line="600" w:lineRule="exact"/>
        <w:ind w:firstLineChars="0"/>
        <w:outlineLvl w:val="1"/>
        <w:rPr>
          <w:rStyle w:val="17"/>
          <w:rFonts w:ascii="黑体" w:hAnsi="黑体" w:eastAsia="黑体"/>
          <w:b w:val="0"/>
        </w:rPr>
      </w:pPr>
      <w:bookmarkStart w:id="26" w:name="_Toc15396604"/>
      <w:bookmarkStart w:id="27" w:name="_Toc15377206"/>
      <w:r>
        <w:rPr>
          <w:rFonts w:hint="eastAsia" w:ascii="黑体" w:hAnsi="黑体" w:eastAsia="黑体"/>
          <w:color w:val="000000"/>
          <w:sz w:val="32"/>
          <w:szCs w:val="32"/>
        </w:rPr>
        <w:t>收</w:t>
      </w:r>
      <w:r>
        <w:rPr>
          <w:rStyle w:val="17"/>
          <w:rFonts w:hint="eastAsia" w:ascii="黑体" w:hAnsi="黑体" w:eastAsia="黑体"/>
          <w:b w:val="0"/>
        </w:rPr>
        <w:t>入决算情况说明</w:t>
      </w:r>
      <w:bookmarkEnd w:id="26"/>
      <w:bookmarkEnd w:id="27"/>
    </w:p>
    <w:p>
      <w:pPr>
        <w:spacing w:line="600" w:lineRule="exact"/>
        <w:ind w:firstLine="640" w:firstLineChars="200"/>
        <w:outlineLvl w:val="1"/>
        <w:rPr>
          <w:rFonts w:hint="eastAsia" w:ascii="仿宋" w:hAnsi="仿宋" w:eastAsia="仿宋"/>
          <w:color w:val="000000"/>
          <w:sz w:val="32"/>
          <w:szCs w:val="32"/>
        </w:rPr>
      </w:pPr>
      <w:r>
        <w:rPr>
          <w:rFonts w:ascii="仿宋" w:hAnsi="仿宋" w:eastAsia="仿宋"/>
          <w:color w:val="000000"/>
          <w:sz w:val="32"/>
          <w:szCs w:val="32"/>
        </w:rPr>
        <w:t>2018</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74.97</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74.97</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；国有资本经营预算财政拨款收入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_GB2312" w:eastAsia="仿宋_GB2312"/>
          <w:color w:val="000000"/>
          <w:sz w:val="32"/>
          <w:szCs w:val="32"/>
          <w:highlight w:val="yellow"/>
          <w:lang w:eastAsia="zh-CN"/>
        </w:rPr>
        <w:pict>
          <v:shape id="_x0000_s1028" o:spid="_x0000_s1028" o:spt="75" type="#_x0000_t75" style="position:absolute;left:0pt;margin-left:3.1pt;margin-top:96.35pt;height:266.85pt;width:410.4pt;mso-wrap-distance-bottom:0pt;mso-wrap-distance-left:9pt;mso-wrap-distance-right:9pt;mso-wrap-distance-top:0pt;z-index:251662336;mso-width-relative:page;mso-height-relative:page;" o:ole="t" filled="f" o:preferrelative="t" stroked="f" coordsize="21600,21600">
            <v:path/>
            <v:fill on="f" focussize="0,0"/>
            <v:stroke on="f"/>
            <v:imagedata r:id="rId10" o:title=""/>
            <o:lock v:ext="edit" aspectratio="t"/>
            <w10:wrap type="square"/>
          </v:shape>
          <o:OLEObject Type="Embed" ProgID="Excel.Chart.8" ShapeID="_x0000_s1028" DrawAspect="Content" ObjectID="_1468075726" r:id="rId9">
            <o:LockedField>false</o:LockedField>
          </o:OLEObject>
        </w:pict>
      </w:r>
      <w:r>
        <w:rPr>
          <w:rFonts w:hint="eastAsia" w:ascii="仿宋" w:hAnsi="仿宋" w:eastAsia="仿宋"/>
          <w:color w:val="000000"/>
          <w:sz w:val="32"/>
          <w:szCs w:val="32"/>
        </w:rPr>
        <w:t>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outlineLvl w:val="1"/>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spacing w:line="600" w:lineRule="exact"/>
        <w:ind w:firstLine="640" w:firstLineChars="200"/>
        <w:rPr>
          <w:rFonts w:hint="eastAsia" w:ascii="仿宋" w:hAnsi="仿宋" w:eastAsia="仿宋"/>
          <w:color w:val="000000"/>
          <w:sz w:val="32"/>
          <w:szCs w:val="32"/>
        </w:rPr>
      </w:pPr>
    </w:p>
    <w:p>
      <w:pPr>
        <w:pStyle w:val="26"/>
        <w:numPr>
          <w:ilvl w:val="0"/>
          <w:numId w:val="1"/>
        </w:numPr>
        <w:spacing w:line="600" w:lineRule="exact"/>
        <w:ind w:firstLineChars="0"/>
        <w:outlineLvl w:val="1"/>
        <w:rPr>
          <w:rStyle w:val="17"/>
          <w:rFonts w:ascii="黑体" w:hAnsi="黑体" w:eastAsia="黑体"/>
          <w:b w:val="0"/>
        </w:rPr>
      </w:pPr>
      <w:bookmarkStart w:id="28" w:name="_Toc15396605"/>
      <w:bookmarkStart w:id="29" w:name="_Toc15377207"/>
      <w:r>
        <w:rPr>
          <w:rFonts w:hint="eastAsia" w:ascii="黑体" w:hAnsi="黑体" w:eastAsia="黑体"/>
          <w:color w:val="000000"/>
          <w:sz w:val="32"/>
          <w:szCs w:val="32"/>
        </w:rPr>
        <w:t>支</w:t>
      </w:r>
      <w:r>
        <w:rPr>
          <w:rStyle w:val="17"/>
          <w:rFonts w:hint="eastAsia" w:ascii="黑体" w:hAnsi="黑体" w:eastAsia="黑体"/>
          <w:b w:val="0"/>
        </w:rPr>
        <w:t>出决算情况说明</w:t>
      </w:r>
      <w:bookmarkEnd w:id="28"/>
      <w:bookmarkEnd w:id="29"/>
    </w:p>
    <w:p>
      <w:pPr>
        <w:spacing w:line="600" w:lineRule="exact"/>
        <w:ind w:firstLine="640"/>
        <w:rPr>
          <w:rFonts w:ascii="仿宋" w:hAnsi="仿宋" w:eastAsia="仿宋"/>
          <w:color w:val="000000"/>
          <w:sz w:val="32"/>
          <w:szCs w:val="32"/>
          <w:shd w:val="pct10" w:color="auto" w:fill="FFFFFF"/>
        </w:rPr>
      </w:pPr>
      <w:r>
        <w:rPr>
          <w:rFonts w:ascii="仿宋" w:hAnsi="仿宋" w:eastAsia="仿宋"/>
          <w:color w:val="000000"/>
          <w:sz w:val="32"/>
          <w:szCs w:val="32"/>
        </w:rPr>
        <w:t>2018</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74.97</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74.97</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_GB2312" w:eastAsia="仿宋_GB2312"/>
          <w:color w:val="000000"/>
          <w:sz w:val="32"/>
          <w:szCs w:val="32"/>
          <w:highlight w:val="yellow"/>
          <w:lang w:eastAsia="zh-CN"/>
        </w:rPr>
        <w:pict>
          <v:shape id="_x0000_s1030" o:spid="_x0000_s1030" o:spt="75" type="#_x0000_t75" style="position:absolute;left:0pt;margin-left:26.65pt;margin-top:0.05pt;height:244.7pt;width:372.3pt;mso-wrap-distance-bottom:0pt;mso-wrap-distance-left:9pt;mso-wrap-distance-right:9pt;mso-wrap-distance-top:0pt;z-index:251667456;mso-width-relative:page;mso-height-relative:page;" o:ole="t" filled="f" o:preferrelative="t" stroked="f" coordsize="21600,21600">
            <v:path/>
            <v:fill on="f" focussize="0,0"/>
            <v:stroke on="f"/>
            <v:imagedata r:id="rId12" o:title=""/>
            <o:lock v:ext="edit" aspectratio="t"/>
            <w10:wrap type="square"/>
          </v:shape>
          <o:OLEObject Type="Embed" ProgID="Excel.Chart.8" ShapeID="_x0000_s1030" DrawAspect="Content" ObjectID="_1468075727" r:id="rId11">
            <o:LockedField>false</o:LockedField>
          </o:OLEObject>
        </w:pict>
      </w: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spacing w:line="600" w:lineRule="exact"/>
        <w:ind w:firstLine="640" w:firstLineChars="200"/>
        <w:outlineLvl w:val="1"/>
        <w:rPr>
          <w:rFonts w:hint="eastAsia" w:ascii="黑体" w:hAnsi="黑体" w:eastAsia="黑体"/>
          <w:color w:val="000000"/>
          <w:sz w:val="32"/>
          <w:szCs w:val="32"/>
        </w:rPr>
      </w:pPr>
      <w:bookmarkStart w:id="30" w:name="_Toc15396606"/>
      <w:bookmarkStart w:id="31" w:name="_Toc15377208"/>
    </w:p>
    <w:p>
      <w:pPr>
        <w:spacing w:line="600" w:lineRule="exact"/>
        <w:ind w:firstLine="640" w:firstLineChars="200"/>
        <w:outlineLvl w:val="1"/>
        <w:rPr>
          <w:rStyle w:val="17"/>
          <w:rFonts w:ascii="黑体" w:hAnsi="黑体" w:eastAsia="黑体"/>
          <w:b w:val="0"/>
        </w:rPr>
      </w:pPr>
      <w:r>
        <w:rPr>
          <w:rFonts w:hint="eastAsia" w:ascii="黑体" w:hAnsi="黑体" w:eastAsia="黑体"/>
          <w:color w:val="000000"/>
          <w:sz w:val="32"/>
          <w:szCs w:val="32"/>
        </w:rPr>
        <w:t>四、财</w:t>
      </w:r>
      <w:r>
        <w:rPr>
          <w:rStyle w:val="17"/>
          <w:rFonts w:hint="eastAsia" w:ascii="黑体" w:hAnsi="黑体" w:eastAsia="黑体"/>
          <w:b w:val="0"/>
        </w:rPr>
        <w:t>政拨款收入支出决算总体情况说明</w:t>
      </w:r>
      <w:bookmarkEnd w:id="30"/>
      <w:bookmarkEnd w:id="31"/>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2018</w:t>
      </w:r>
      <w:r>
        <w:rPr>
          <w:rFonts w:hint="eastAsia" w:ascii="仿宋" w:hAnsi="仿宋" w:eastAsia="仿宋"/>
          <w:color w:val="000000"/>
          <w:sz w:val="32"/>
          <w:szCs w:val="32"/>
        </w:rPr>
        <w:t>年财政拨款收、支总计</w:t>
      </w:r>
      <w:r>
        <w:rPr>
          <w:rFonts w:hint="eastAsia" w:ascii="仿宋" w:hAnsi="仿宋" w:eastAsia="仿宋"/>
          <w:color w:val="000000"/>
          <w:sz w:val="32"/>
          <w:szCs w:val="32"/>
          <w:lang w:val="en-US" w:eastAsia="zh-CN"/>
        </w:rPr>
        <w:t>74.97</w:t>
      </w:r>
      <w:r>
        <w:rPr>
          <w:rFonts w:hint="eastAsia" w:ascii="仿宋" w:hAnsi="仿宋" w:eastAsia="仿宋"/>
          <w:color w:val="000000"/>
          <w:sz w:val="32"/>
          <w:szCs w:val="32"/>
        </w:rPr>
        <w:t>万元。与</w:t>
      </w:r>
      <w:r>
        <w:rPr>
          <w:rFonts w:ascii="仿宋" w:hAnsi="仿宋" w:eastAsia="仿宋"/>
          <w:color w:val="000000"/>
          <w:sz w:val="32"/>
          <w:szCs w:val="32"/>
        </w:rPr>
        <w:t>2017</w:t>
      </w:r>
      <w:r>
        <w:rPr>
          <w:rFonts w:hint="eastAsia" w:ascii="仿宋" w:hAnsi="仿宋" w:eastAsia="仿宋"/>
          <w:color w:val="000000"/>
          <w:sz w:val="32"/>
          <w:szCs w:val="32"/>
        </w:rPr>
        <w:t>年相比，财政拨款收、支总计</w:t>
      </w:r>
      <w:r>
        <w:rPr>
          <w:rFonts w:hint="eastAsia" w:ascii="仿宋" w:hAnsi="仿宋" w:eastAsia="仿宋"/>
          <w:color w:val="000000"/>
          <w:sz w:val="32"/>
          <w:szCs w:val="32"/>
          <w:lang w:eastAsia="zh-CN"/>
        </w:rPr>
        <w:t>减少</w:t>
      </w:r>
      <w:r>
        <w:rPr>
          <w:rFonts w:hint="eastAsia" w:ascii="仿宋" w:hAnsi="仿宋" w:eastAsia="仿宋"/>
          <w:color w:val="000000"/>
          <w:sz w:val="32"/>
          <w:szCs w:val="32"/>
          <w:lang w:val="en-US" w:eastAsia="zh-CN"/>
        </w:rPr>
        <w:t>130.59</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63.52</w:t>
      </w:r>
      <w:r>
        <w:rPr>
          <w:rFonts w:ascii="仿宋" w:hAnsi="仿宋" w:eastAsia="仿宋"/>
          <w:color w:val="000000"/>
          <w:sz w:val="32"/>
          <w:szCs w:val="32"/>
        </w:rPr>
        <w:t>%</w:t>
      </w: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spacing w:line="600" w:lineRule="exact"/>
        <w:ind w:firstLine="640"/>
        <w:rPr>
          <w:rFonts w:ascii="仿宋" w:hAnsi="仿宋" w:eastAsia="仿宋"/>
          <w:b/>
          <w:color w:val="000000"/>
          <w:sz w:val="32"/>
          <w:szCs w:val="32"/>
        </w:rPr>
      </w:pPr>
      <w:r>
        <w:rPr>
          <w:rFonts w:hint="eastAsia" w:ascii="仿宋_GB2312" w:eastAsia="仿宋_GB2312"/>
          <w:color w:val="000000"/>
          <w:sz w:val="32"/>
          <w:szCs w:val="32"/>
          <w:highlight w:val="yellow"/>
          <w:lang w:eastAsia="zh-CN"/>
        </w:rPr>
        <w:pict>
          <v:shape id="_x0000_s1031" o:spid="_x0000_s1031" o:spt="75" type="#_x0000_t75" style="position:absolute;left:0pt;margin-left:13.05pt;margin-top:8.95pt;height:203.3pt;width:385.1pt;mso-wrap-distance-bottom:0pt;mso-wrap-distance-left:9pt;mso-wrap-distance-right:9pt;mso-wrap-distance-top:0pt;z-index:251670528;mso-width-relative:page;mso-height-relative:page;" o:ole="t" filled="f" o:preferrelative="t" stroked="f" coordsize="21600,21600">
            <v:path/>
            <v:fill on="f" focussize="0,0"/>
            <v:stroke on="f"/>
            <v:imagedata r:id="rId14" o:title=""/>
            <o:lock v:ext="edit" aspectratio="t"/>
            <w10:wrap type="square"/>
          </v:shape>
          <o:OLEObject Type="Embed" ProgID="Excel.Chart.8" ShapeID="_x0000_s1031" DrawAspect="Content" ObjectID="_1468075728" r:id="rId13">
            <o:LockedField>false</o:LockedField>
          </o:OLEObject>
        </w:pict>
      </w:r>
      <w:r>
        <w:rPr>
          <w:rFonts w:hint="eastAsia" w:ascii="仿宋" w:hAnsi="仿宋" w:eastAsia="仿宋"/>
          <w:b/>
          <w:color w:val="000000"/>
          <w:sz w:val="32"/>
          <w:szCs w:val="32"/>
        </w:rPr>
        <w:t>（除国有资本经营预算外，数据来源于财决</w:t>
      </w:r>
      <w:r>
        <w:rPr>
          <w:rFonts w:ascii="仿宋" w:hAnsi="仿宋" w:eastAsia="仿宋"/>
          <w:b/>
          <w:color w:val="000000"/>
          <w:sz w:val="32"/>
          <w:szCs w:val="32"/>
        </w:rPr>
        <w:t>Z01-1</w:t>
      </w:r>
      <w:r>
        <w:rPr>
          <w:rFonts w:hint="eastAsia" w:ascii="仿宋" w:hAnsi="仿宋" w:eastAsia="仿宋"/>
          <w:b/>
          <w:color w:val="000000"/>
          <w:sz w:val="32"/>
          <w:szCs w:val="32"/>
        </w:rPr>
        <w:t>表，口径为“总计”数</w:t>
      </w:r>
      <w:r>
        <w:rPr>
          <w:rFonts w:ascii="仿宋" w:hAnsi="仿宋" w:eastAsia="仿宋"/>
          <w:b/>
          <w:color w:val="000000"/>
          <w:sz w:val="32"/>
          <w:szCs w:val="32"/>
        </w:rPr>
        <w:t>+</w:t>
      </w:r>
      <w:r>
        <w:rPr>
          <w:rFonts w:hint="eastAsia" w:ascii="仿宋" w:hAnsi="仿宋" w:eastAsia="仿宋"/>
          <w:b/>
          <w:color w:val="000000"/>
          <w:sz w:val="32"/>
          <w:szCs w:val="32"/>
        </w:rPr>
        <w:t>国有资本经营预算。）</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7"/>
          <w:rFonts w:ascii="黑体" w:hAnsi="黑体" w:eastAsia="黑体"/>
          <w:b w:val="0"/>
        </w:rPr>
      </w:pPr>
      <w:bookmarkStart w:id="32" w:name="_Toc15377209"/>
      <w:bookmarkStart w:id="33"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7"/>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2018</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74.97</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2017</w:t>
      </w:r>
      <w:r>
        <w:rPr>
          <w:rFonts w:hint="eastAsia" w:ascii="仿宋" w:hAnsi="仿宋" w:eastAsia="仿宋"/>
          <w:color w:val="000000"/>
          <w:sz w:val="32"/>
          <w:szCs w:val="32"/>
        </w:rPr>
        <w:t>年相比，一般公共预算财政拨款减少</w:t>
      </w:r>
      <w:r>
        <w:rPr>
          <w:rFonts w:hint="eastAsia" w:ascii="仿宋" w:hAnsi="仿宋" w:eastAsia="仿宋"/>
          <w:color w:val="000000"/>
          <w:sz w:val="32"/>
          <w:szCs w:val="32"/>
          <w:lang w:val="en-US" w:eastAsia="zh-CN"/>
        </w:rPr>
        <w:t>130.59</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63.52</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减少了机构成立时办公设备采购。</w:t>
      </w:r>
    </w:p>
    <w:p>
      <w:pPr>
        <w:spacing w:line="600" w:lineRule="exact"/>
        <w:ind w:firstLine="640" w:firstLineChars="200"/>
        <w:rPr>
          <w:rFonts w:hint="eastAsia" w:ascii="仿宋" w:hAnsi="仿宋" w:eastAsia="仿宋"/>
          <w:color w:val="000000"/>
          <w:sz w:val="32"/>
          <w:szCs w:val="32"/>
        </w:rPr>
      </w:pPr>
      <w:r>
        <w:rPr>
          <w:rFonts w:hint="eastAsia" w:ascii="仿宋_GB2312" w:eastAsia="仿宋_GB2312"/>
          <w:color w:val="000000"/>
          <w:sz w:val="32"/>
          <w:szCs w:val="32"/>
          <w:highlight w:val="yellow"/>
          <w:lang w:eastAsia="zh-CN"/>
        </w:rPr>
        <w:pict>
          <v:shape id="_x0000_s1032" o:spid="_x0000_s1032" o:spt="75" type="#_x0000_t75" style="position:absolute;left:0pt;margin-left:21.35pt;margin-top:8.05pt;height:203.7pt;width:385.55pt;mso-wrap-distance-bottom:0pt;mso-wrap-distance-left:9pt;mso-wrap-distance-right:9pt;mso-wrap-distance-top:0pt;z-index:251683840;mso-width-relative:page;mso-height-relative:page;" o:ole="t" filled="f" o:preferrelative="t" stroked="f" coordsize="21600,21600">
            <v:path/>
            <v:fill on="f" focussize="0,0"/>
            <v:stroke on="f"/>
            <v:imagedata r:id="rId16" o:title=""/>
            <o:lock v:ext="edit" aspectratio="t"/>
            <w10:wrap type="square"/>
          </v:shape>
          <o:OLEObject Type="Embed" ProgID="Excel.Chart.8" ShapeID="_x0000_s1032" DrawAspect="Content" ObjectID="_1468075729" r:id="rId15">
            <o:LockedField>false</o:LockedField>
          </o:OLEObject>
        </w:pic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2018</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74.97</w:t>
      </w:r>
      <w:r>
        <w:rPr>
          <w:rFonts w:hint="eastAsia" w:ascii="仿宋" w:hAnsi="仿宋" w:eastAsia="仿宋"/>
          <w:color w:val="000000"/>
          <w:sz w:val="32"/>
          <w:szCs w:val="32"/>
        </w:rPr>
        <w:t>万元，主要用于以下方面</w:t>
      </w:r>
      <w:r>
        <w:rPr>
          <w:rFonts w:ascii="仿宋" w:hAnsi="仿宋" w:eastAsia="仿宋"/>
          <w:color w:val="000000"/>
          <w:sz w:val="32"/>
          <w:szCs w:val="32"/>
        </w:rPr>
        <w:t>:</w:t>
      </w:r>
      <w:r>
        <w:rPr>
          <w:rFonts w:hint="eastAsia" w:ascii="仿宋" w:hAnsi="仿宋" w:eastAsia="仿宋"/>
          <w:b/>
          <w:color w:val="000000"/>
          <w:sz w:val="32"/>
          <w:szCs w:val="32"/>
        </w:rPr>
        <w:t>一般公共服务（类）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66.59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88.82</w:t>
      </w:r>
      <w:r>
        <w:rPr>
          <w:rFonts w:ascii="仿宋" w:hAnsi="仿宋" w:eastAsia="仿宋"/>
          <w:color w:val="000000"/>
          <w:sz w:val="32"/>
          <w:szCs w:val="32"/>
        </w:rPr>
        <w:t>%</w:t>
      </w:r>
      <w:r>
        <w:rPr>
          <w:rFonts w:hint="eastAsia" w:ascii="仿宋" w:hAnsi="仿宋" w:eastAsia="仿宋"/>
          <w:color w:val="000000"/>
          <w:sz w:val="32"/>
          <w:szCs w:val="32"/>
        </w:rPr>
        <w:t>；医疗卫生支出</w:t>
      </w:r>
      <w:r>
        <w:rPr>
          <w:rFonts w:hint="eastAsia" w:ascii="仿宋" w:hAnsi="仿宋" w:eastAsia="仿宋"/>
          <w:color w:val="000000"/>
          <w:sz w:val="32"/>
          <w:szCs w:val="32"/>
          <w:lang w:val="en-US" w:eastAsia="zh-CN"/>
        </w:rPr>
        <w:t>4.04</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4.2</w:t>
      </w:r>
      <w:r>
        <w:rPr>
          <w:rFonts w:ascii="仿宋" w:hAnsi="仿宋" w:eastAsia="仿宋"/>
          <w:color w:val="000000"/>
          <w:sz w:val="32"/>
          <w:szCs w:val="32"/>
        </w:rPr>
        <w:t>%</w:t>
      </w:r>
      <w:r>
        <w:rPr>
          <w:rFonts w:hint="eastAsia" w:ascii="仿宋" w:hAnsi="仿宋" w:eastAsia="仿宋"/>
          <w:color w:val="000000"/>
          <w:sz w:val="32"/>
          <w:szCs w:val="32"/>
        </w:rPr>
        <w:t>；住房保障支出</w:t>
      </w:r>
      <w:r>
        <w:rPr>
          <w:rFonts w:hint="eastAsia" w:ascii="仿宋" w:hAnsi="仿宋" w:eastAsia="仿宋"/>
          <w:color w:val="000000"/>
          <w:sz w:val="32"/>
          <w:szCs w:val="32"/>
          <w:lang w:val="en-US" w:eastAsia="zh-CN"/>
        </w:rPr>
        <w:t>5.35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7.13</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color w:val="000000"/>
          <w:sz w:val="32"/>
          <w:szCs w:val="32"/>
        </w:rPr>
        <w:t>（罗列全部功能分类科目，至类级。）</w:t>
      </w:r>
    </w:p>
    <w:p>
      <w:pPr>
        <w:spacing w:line="600" w:lineRule="exact"/>
        <w:ind w:firstLine="640" w:firstLineChars="200"/>
        <w:rPr>
          <w:rFonts w:hint="eastAsia" w:ascii="仿宋" w:hAnsi="仿宋" w:eastAsia="仿宋"/>
          <w:color w:val="000000"/>
          <w:sz w:val="32"/>
          <w:szCs w:val="32"/>
        </w:rPr>
      </w:pPr>
      <w:r>
        <w:rPr>
          <w:rFonts w:hint="eastAsia" w:ascii="仿宋_GB2312" w:eastAsia="仿宋_GB2312"/>
          <w:color w:val="000000"/>
          <w:sz w:val="32"/>
          <w:szCs w:val="32"/>
          <w:highlight w:val="yellow"/>
          <w:lang w:eastAsia="zh-CN"/>
        </w:rPr>
        <w:pict>
          <v:shape id="_x0000_s1033" o:spid="_x0000_s1033" o:spt="75" type="#_x0000_t75" style="position:absolute;left:0pt;margin-left:43.65pt;margin-top:14.35pt;height:211.8pt;width:342.4pt;mso-wrap-distance-bottom:0pt;mso-wrap-distance-left:9pt;mso-wrap-distance-right:9pt;mso-wrap-distance-top:0pt;z-index:251688960;mso-width-relative:page;mso-height-relative:page;" o:ole="t" filled="f" o:preferrelative="t" stroked="f" coordsize="21600,21600">
            <v:path/>
            <v:fill on="f" focussize="0,0"/>
            <v:stroke on="f"/>
            <v:imagedata r:id="rId18" o:title=""/>
            <o:lock v:ext="edit" aspectratio="t"/>
            <w10:wrap type="square"/>
          </v:shape>
          <o:OLEObject Type="Embed" ProgID="Excel.Chart.8" ShapeID="_x0000_s1033" DrawAspect="Content" ObjectID="_1468075730" r:id="rId17">
            <o:LockedField>false</o:LockedField>
          </o:OLEObject>
        </w:pict>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spacing w:line="600" w:lineRule="exact"/>
        <w:ind w:firstLine="643" w:firstLineChars="200"/>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8460"/>
      <w:bookmarkStart w:id="38" w:name="_Toc15377444"/>
      <w:bookmarkStart w:id="39" w:name="_Toc15377213"/>
      <w:r>
        <w:rPr>
          <w:rFonts w:ascii="仿宋" w:hAnsi="仿宋" w:eastAsia="仿宋"/>
          <w:b/>
          <w:color w:val="000000"/>
          <w:sz w:val="32"/>
          <w:szCs w:val="32"/>
        </w:rPr>
        <w:t>2018</w:t>
      </w:r>
      <w:r>
        <w:rPr>
          <w:rFonts w:hint="eastAsia" w:ascii="仿宋" w:hAnsi="仿宋" w:eastAsia="仿宋"/>
          <w:b/>
          <w:color w:val="000000"/>
          <w:sz w:val="32"/>
          <w:szCs w:val="32"/>
        </w:rPr>
        <w:t>年般公共预算支出决算数为</w:t>
      </w:r>
      <w:r>
        <w:rPr>
          <w:rFonts w:hint="eastAsia" w:ascii="仿宋" w:hAnsi="仿宋" w:eastAsia="仿宋"/>
          <w:b/>
          <w:color w:val="000000"/>
          <w:sz w:val="32"/>
          <w:szCs w:val="32"/>
          <w:lang w:val="en-US" w:eastAsia="zh-CN"/>
        </w:rPr>
        <w:t>74.97</w:t>
      </w:r>
      <w:r>
        <w:rPr>
          <w:rFonts w:hint="eastAsia" w:ascii="仿宋" w:hAnsi="仿宋" w:eastAsia="仿宋"/>
          <w:color w:val="000000"/>
          <w:sz w:val="32"/>
          <w:szCs w:val="32"/>
        </w:rPr>
        <w:t>，</w:t>
      </w:r>
      <w:r>
        <w:rPr>
          <w:rStyle w:val="14"/>
          <w:rFonts w:hint="eastAsia" w:ascii="仿宋" w:hAnsi="仿宋" w:eastAsia="仿宋"/>
          <w:bCs/>
          <w:color w:val="000000"/>
          <w:sz w:val="32"/>
          <w:szCs w:val="32"/>
        </w:rPr>
        <w:t>完成预算</w:t>
      </w:r>
      <w:r>
        <w:rPr>
          <w:rStyle w:val="14"/>
          <w:rFonts w:hint="eastAsia" w:ascii="仿宋" w:hAnsi="仿宋" w:eastAsia="仿宋"/>
          <w:bCs/>
          <w:color w:val="000000"/>
          <w:sz w:val="32"/>
          <w:szCs w:val="32"/>
          <w:lang w:val="en-US" w:eastAsia="zh-CN"/>
        </w:rPr>
        <w:t>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7"/>
      <w:bookmarkEnd w:id="38"/>
      <w:bookmarkEnd w:id="39"/>
    </w:p>
    <w:p>
      <w:pPr>
        <w:spacing w:line="600" w:lineRule="exact"/>
        <w:ind w:firstLine="643" w:firstLineChars="200"/>
        <w:rPr>
          <w:rStyle w:val="14"/>
          <w:rFonts w:hint="eastAsia" w:ascii="仿宋" w:hAnsi="仿宋" w:eastAsia="仿宋"/>
          <w:b w:val="0"/>
          <w:bCs/>
          <w:color w:val="000000"/>
          <w:sz w:val="32"/>
          <w:szCs w:val="32"/>
        </w:rPr>
      </w:pPr>
      <w:r>
        <w:rPr>
          <w:rStyle w:val="14"/>
          <w:rFonts w:ascii="仿宋" w:hAnsi="仿宋" w:eastAsia="仿宋"/>
          <w:bCs/>
          <w:color w:val="000000"/>
          <w:sz w:val="32"/>
          <w:szCs w:val="32"/>
        </w:rPr>
        <w:t>1.</w:t>
      </w:r>
      <w:r>
        <w:rPr>
          <w:rStyle w:val="14"/>
          <w:rFonts w:hint="eastAsia" w:ascii="仿宋" w:hAnsi="仿宋" w:eastAsia="仿宋"/>
          <w:bCs/>
          <w:color w:val="000000"/>
          <w:sz w:val="32"/>
          <w:szCs w:val="32"/>
        </w:rPr>
        <w:t>一般公共服务（类）纪检监察事务（款）行政运行（项）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66.59</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lang w:val="en-US" w:eastAsia="zh-CN"/>
        </w:rPr>
        <w:t>2</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医疗卫生与计划生育支出（类）行政事业单位医疗（款）行政单位医疗（项）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3.03</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color w:val="000000"/>
          <w:sz w:val="32"/>
          <w:szCs w:val="32"/>
        </w:rPr>
      </w:pPr>
      <w:r>
        <w:rPr>
          <w:rStyle w:val="14"/>
          <w:rFonts w:hint="eastAsia" w:ascii="仿宋" w:hAnsi="仿宋" w:eastAsia="仿宋"/>
          <w:bCs/>
          <w:color w:val="000000"/>
          <w:sz w:val="32"/>
          <w:szCs w:val="32"/>
          <w:lang w:val="en-US" w:eastAsia="zh-CN"/>
        </w:rPr>
        <w:t>3</w:t>
      </w:r>
      <w:r>
        <w:rPr>
          <w:rStyle w:val="14"/>
          <w:rFonts w:hint="default" w:ascii="仿宋" w:hAnsi="仿宋" w:eastAsia="仿宋"/>
          <w:bCs/>
          <w:color w:val="000000"/>
          <w:sz w:val="32"/>
          <w:szCs w:val="32"/>
          <w:lang w:val="en-US" w:eastAsia="zh-CN"/>
        </w:rPr>
        <w:t>.住房保障支出（类）住房改革支出（款）住房公积金（项）</w:t>
      </w:r>
      <w:r>
        <w:rPr>
          <w:rFonts w:hint="eastAsia" w:ascii="仿宋" w:hAnsi="仿宋" w:eastAsia="仿宋"/>
          <w:color w:val="000000"/>
          <w:sz w:val="32"/>
          <w:szCs w:val="32"/>
          <w:lang w:eastAsia="zh-CN"/>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5.35</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lang w:eastAsia="zh-CN"/>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（数据来源财决</w:t>
      </w:r>
      <w:r>
        <w:rPr>
          <w:rFonts w:ascii="仿宋" w:hAnsi="仿宋" w:eastAsia="仿宋"/>
          <w:b/>
          <w:color w:val="000000"/>
          <w:sz w:val="32"/>
          <w:szCs w:val="32"/>
        </w:rPr>
        <w:t>08</w:t>
      </w:r>
      <w:r>
        <w:rPr>
          <w:rFonts w:hint="eastAsia" w:ascii="仿宋" w:hAnsi="仿宋" w:eastAsia="仿宋"/>
          <w:b/>
          <w:color w:val="000000"/>
          <w:sz w:val="32"/>
          <w:szCs w:val="32"/>
        </w:rPr>
        <w:t>表，罗列全部功能分类科目至项级。上述“预算”口径为调整预算数。增减变动原因为决算数</w:t>
      </w:r>
      <w:r>
        <w:rPr>
          <w:rFonts w:ascii="仿宋" w:hAnsi="仿宋" w:eastAsia="仿宋"/>
          <w:b/>
          <w:color w:val="000000"/>
          <w:sz w:val="32"/>
          <w:szCs w:val="32"/>
        </w:rPr>
        <w:t>&lt;</w:t>
      </w:r>
      <w:r>
        <w:rPr>
          <w:rFonts w:hint="eastAsia" w:ascii="仿宋" w:hAnsi="仿宋" w:eastAsia="仿宋"/>
          <w:b/>
          <w:color w:val="000000"/>
          <w:sz w:val="32"/>
          <w:szCs w:val="32"/>
        </w:rPr>
        <w:t>项级</w:t>
      </w:r>
      <w:r>
        <w:rPr>
          <w:rFonts w:ascii="仿宋" w:hAnsi="仿宋" w:eastAsia="仿宋"/>
          <w:b/>
          <w:color w:val="000000"/>
          <w:sz w:val="32"/>
          <w:szCs w:val="32"/>
        </w:rPr>
        <w:t>&gt;</w:t>
      </w:r>
      <w:r>
        <w:rPr>
          <w:rFonts w:hint="eastAsia" w:ascii="仿宋" w:hAnsi="仿宋" w:eastAsia="仿宋"/>
          <w:b/>
          <w:color w:val="000000"/>
          <w:sz w:val="32"/>
          <w:szCs w:val="32"/>
        </w:rPr>
        <w:t>和调整预算数</w:t>
      </w:r>
      <w:r>
        <w:rPr>
          <w:rFonts w:ascii="仿宋" w:hAnsi="仿宋" w:eastAsia="仿宋"/>
          <w:b/>
          <w:color w:val="000000"/>
          <w:sz w:val="32"/>
          <w:szCs w:val="32"/>
        </w:rPr>
        <w:t>&lt;</w:t>
      </w:r>
      <w:r>
        <w:rPr>
          <w:rFonts w:hint="eastAsia" w:ascii="仿宋" w:hAnsi="仿宋" w:eastAsia="仿宋"/>
          <w:b/>
          <w:color w:val="000000"/>
          <w:sz w:val="32"/>
          <w:szCs w:val="32"/>
        </w:rPr>
        <w:t>项级</w:t>
      </w:r>
      <w:r>
        <w:rPr>
          <w:rFonts w:ascii="仿宋" w:hAnsi="仿宋" w:eastAsia="仿宋"/>
          <w:b/>
          <w:color w:val="000000"/>
          <w:sz w:val="32"/>
          <w:szCs w:val="32"/>
        </w:rPr>
        <w:t>&gt;</w:t>
      </w:r>
      <w:r>
        <w:rPr>
          <w:rFonts w:hint="eastAsia" w:ascii="仿宋" w:hAnsi="仿宋" w:eastAsia="仿宋"/>
          <w:b/>
          <w:color w:val="000000"/>
          <w:sz w:val="32"/>
          <w:szCs w:val="32"/>
        </w:rPr>
        <w:t>比较，与预算数持平可以不写原因。）</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17"/>
        </w:rPr>
      </w:pPr>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7"/>
          <w:rFonts w:hint="eastAsia" w:ascii="黑体" w:hAnsi="黑体" w:eastAsia="黑体"/>
          <w:b w:val="0"/>
        </w:rPr>
        <w:t>般公共预算财政拨款基本支出决算情况说明</w:t>
      </w:r>
      <w:bookmarkEnd w:id="40"/>
      <w:bookmarkEnd w:id="41"/>
      <w:r>
        <w:rPr>
          <w:rStyle w:val="17"/>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2018</w:t>
      </w:r>
      <w:r>
        <w:rPr>
          <w:rFonts w:hint="eastAsia" w:ascii="仿宋" w:hAnsi="仿宋" w:eastAsia="仿宋"/>
          <w:color w:val="000000"/>
          <w:sz w:val="32"/>
          <w:szCs w:val="32"/>
        </w:rPr>
        <w:t>年一般公共预算财政拨款基本支出</w:t>
      </w:r>
      <w:r>
        <w:rPr>
          <w:rFonts w:hint="eastAsia" w:ascii="仿宋" w:hAnsi="仿宋" w:eastAsia="仿宋"/>
          <w:color w:val="000000"/>
          <w:sz w:val="32"/>
          <w:szCs w:val="32"/>
          <w:lang w:val="en-US" w:eastAsia="zh-CN"/>
        </w:rPr>
        <w:t>94.97</w:t>
      </w:r>
      <w:r>
        <w:rPr>
          <w:rFonts w:hint="eastAsia" w:ascii="仿宋" w:hAnsi="仿宋" w:eastAsia="仿宋"/>
          <w:color w:val="000000"/>
          <w:sz w:val="32"/>
          <w:szCs w:val="32"/>
        </w:rPr>
        <w:t>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67.76</w:t>
      </w:r>
      <w:r>
        <w:rPr>
          <w:rFonts w:hint="eastAsia" w:ascii="仿宋" w:hAnsi="仿宋" w:eastAsia="仿宋"/>
          <w:color w:val="000000"/>
          <w:sz w:val="32"/>
          <w:szCs w:val="32"/>
        </w:rPr>
        <w:t>万元，主要包括：基本工资</w:t>
      </w:r>
      <w:r>
        <w:rPr>
          <w:rFonts w:hint="eastAsia" w:ascii="仿宋" w:hAnsi="仿宋" w:eastAsia="仿宋"/>
          <w:color w:val="000000"/>
          <w:sz w:val="32"/>
          <w:szCs w:val="32"/>
          <w:lang w:val="en-US" w:eastAsia="zh-CN"/>
        </w:rPr>
        <w:t>21.54万</w:t>
      </w:r>
      <w:r>
        <w:rPr>
          <w:rFonts w:hint="eastAsia" w:ascii="仿宋" w:hAnsi="仿宋" w:eastAsia="仿宋"/>
          <w:color w:val="000000"/>
          <w:sz w:val="32"/>
          <w:szCs w:val="32"/>
        </w:rPr>
        <w:t>元，津贴补贴</w:t>
      </w:r>
      <w:r>
        <w:rPr>
          <w:rFonts w:hint="eastAsia" w:ascii="仿宋" w:hAnsi="仿宋" w:eastAsia="仿宋"/>
          <w:color w:val="000000"/>
          <w:sz w:val="32"/>
          <w:szCs w:val="32"/>
          <w:lang w:val="en-US" w:eastAsia="zh-CN"/>
        </w:rPr>
        <w:t>22.73万</w:t>
      </w:r>
      <w:r>
        <w:rPr>
          <w:rFonts w:hint="eastAsia" w:ascii="仿宋" w:hAnsi="仿宋" w:eastAsia="仿宋"/>
          <w:color w:val="000000"/>
          <w:sz w:val="32"/>
          <w:szCs w:val="32"/>
        </w:rPr>
        <w:t>元，</w:t>
      </w:r>
      <w:r>
        <w:rPr>
          <w:rFonts w:hint="eastAsia" w:ascii="仿宋" w:hAnsi="仿宋" w:eastAsia="仿宋"/>
          <w:color w:val="000000"/>
          <w:sz w:val="32"/>
          <w:szCs w:val="32"/>
          <w:lang w:eastAsia="zh-CN"/>
        </w:rPr>
        <w:t>绩效</w:t>
      </w:r>
      <w:r>
        <w:rPr>
          <w:rFonts w:hint="eastAsia" w:ascii="仿宋" w:hAnsi="仿宋" w:eastAsia="仿宋"/>
          <w:color w:val="000000"/>
          <w:sz w:val="32"/>
          <w:szCs w:val="32"/>
          <w:lang w:val="en-US" w:eastAsia="zh-CN"/>
        </w:rPr>
        <w:t>1.25</w:t>
      </w:r>
      <w:r>
        <w:rPr>
          <w:rFonts w:hint="eastAsia" w:ascii="仿宋" w:hAnsi="仿宋" w:eastAsia="仿宋"/>
          <w:color w:val="000000"/>
          <w:sz w:val="32"/>
          <w:szCs w:val="32"/>
          <w:lang w:eastAsia="zh-CN"/>
        </w:rPr>
        <w:t>万</w:t>
      </w:r>
      <w:r>
        <w:rPr>
          <w:rFonts w:hint="eastAsia" w:ascii="仿宋" w:hAnsi="仿宋" w:eastAsia="仿宋"/>
          <w:color w:val="000000"/>
          <w:sz w:val="32"/>
          <w:szCs w:val="32"/>
        </w:rPr>
        <w:t>元，机关事业单位基本养老保险费</w:t>
      </w:r>
      <w:r>
        <w:rPr>
          <w:rFonts w:hint="eastAsia" w:ascii="仿宋" w:hAnsi="仿宋" w:eastAsia="仿宋"/>
          <w:color w:val="000000"/>
          <w:sz w:val="32"/>
          <w:szCs w:val="32"/>
          <w:lang w:val="en-US" w:eastAsia="zh-CN"/>
        </w:rPr>
        <w:t>9.17万</w:t>
      </w:r>
      <w:r>
        <w:rPr>
          <w:rFonts w:hint="eastAsia" w:ascii="仿宋" w:hAnsi="仿宋" w:eastAsia="仿宋"/>
          <w:color w:val="000000"/>
          <w:sz w:val="32"/>
          <w:szCs w:val="32"/>
        </w:rPr>
        <w:t>元，</w:t>
      </w:r>
      <w:r>
        <w:rPr>
          <w:rFonts w:hint="eastAsia" w:ascii="仿宋" w:hAnsi="仿宋" w:eastAsia="仿宋"/>
          <w:color w:val="000000"/>
          <w:sz w:val="32"/>
          <w:szCs w:val="32"/>
          <w:lang w:eastAsia="zh-CN"/>
        </w:rPr>
        <w:t>基本医疗保险</w:t>
      </w:r>
      <w:r>
        <w:rPr>
          <w:rFonts w:hint="eastAsia" w:ascii="仿宋" w:hAnsi="仿宋" w:eastAsia="仿宋"/>
          <w:color w:val="000000"/>
          <w:sz w:val="32"/>
          <w:szCs w:val="32"/>
        </w:rPr>
        <w:t>缴费</w:t>
      </w:r>
      <w:r>
        <w:rPr>
          <w:rFonts w:hint="eastAsia" w:ascii="仿宋" w:hAnsi="仿宋" w:eastAsia="仿宋"/>
          <w:color w:val="000000"/>
          <w:sz w:val="32"/>
          <w:szCs w:val="32"/>
          <w:lang w:val="en-US" w:eastAsia="zh-CN"/>
        </w:rPr>
        <w:t>3.03万</w:t>
      </w:r>
      <w:r>
        <w:rPr>
          <w:rFonts w:hint="eastAsia" w:ascii="仿宋" w:hAnsi="仿宋" w:eastAsia="仿宋"/>
          <w:color w:val="000000"/>
          <w:sz w:val="32"/>
          <w:szCs w:val="32"/>
        </w:rPr>
        <w:t>元；住房公积金</w:t>
      </w:r>
      <w:r>
        <w:rPr>
          <w:rFonts w:hint="eastAsia" w:ascii="仿宋" w:hAnsi="仿宋" w:eastAsia="仿宋"/>
          <w:color w:val="000000"/>
          <w:sz w:val="32"/>
          <w:szCs w:val="32"/>
          <w:lang w:val="en-US" w:eastAsia="zh-CN"/>
        </w:rPr>
        <w:t>5.35万</w:t>
      </w:r>
      <w:r>
        <w:rPr>
          <w:rFonts w:hint="eastAsia" w:ascii="仿宋" w:hAnsi="仿宋" w:eastAsia="仿宋"/>
          <w:color w:val="000000"/>
          <w:sz w:val="32"/>
          <w:szCs w:val="32"/>
        </w:rPr>
        <w:t>元。</w:t>
      </w:r>
      <w:r>
        <w:rPr>
          <w:rFonts w:ascii="仿宋" w:hAnsi="仿宋" w:eastAsia="仿宋"/>
          <w:color w:val="000000"/>
          <w:sz w:val="32"/>
          <w:szCs w:val="32"/>
        </w:rPr>
        <w:br w:type="textWrapping"/>
      </w:r>
      <w:r>
        <w:rPr>
          <w:rFonts w:hint="eastAsia" w:ascii="仿宋" w:hAnsi="仿宋" w:eastAsia="仿宋"/>
          <w:color w:val="000000"/>
          <w:sz w:val="32"/>
          <w:szCs w:val="32"/>
        </w:rPr>
        <w:t>　　公用经费</w:t>
      </w:r>
      <w:r>
        <w:rPr>
          <w:rFonts w:hint="eastAsia" w:ascii="仿宋" w:hAnsi="仿宋" w:eastAsia="仿宋"/>
          <w:color w:val="000000"/>
          <w:sz w:val="32"/>
          <w:szCs w:val="32"/>
          <w:lang w:val="en-US" w:eastAsia="zh-CN"/>
        </w:rPr>
        <w:t>5.23</w:t>
      </w:r>
      <w:r>
        <w:rPr>
          <w:rFonts w:hint="eastAsia" w:ascii="仿宋" w:hAnsi="仿宋" w:eastAsia="仿宋"/>
          <w:color w:val="000000"/>
          <w:sz w:val="32"/>
          <w:szCs w:val="32"/>
        </w:rPr>
        <w:t>万元，主要包括：办公费</w:t>
      </w:r>
      <w:r>
        <w:rPr>
          <w:rFonts w:hint="eastAsia" w:ascii="仿宋" w:hAnsi="仿宋" w:eastAsia="仿宋"/>
          <w:color w:val="000000"/>
          <w:sz w:val="32"/>
          <w:szCs w:val="32"/>
          <w:lang w:val="en-US" w:eastAsia="zh-CN"/>
        </w:rPr>
        <w:t>1.02万</w:t>
      </w:r>
      <w:r>
        <w:rPr>
          <w:rFonts w:hint="eastAsia" w:ascii="仿宋" w:hAnsi="仿宋" w:eastAsia="仿宋"/>
          <w:color w:val="000000"/>
          <w:sz w:val="32"/>
          <w:szCs w:val="32"/>
        </w:rPr>
        <w:t>元，</w:t>
      </w:r>
      <w:r>
        <w:rPr>
          <w:rFonts w:hint="eastAsia" w:ascii="仿宋" w:hAnsi="仿宋" w:eastAsia="仿宋"/>
          <w:color w:val="000000"/>
          <w:sz w:val="32"/>
          <w:szCs w:val="32"/>
          <w:lang w:eastAsia="zh-CN"/>
        </w:rPr>
        <w:t>差差旅费</w:t>
      </w:r>
      <w:r>
        <w:rPr>
          <w:rFonts w:hint="eastAsia" w:ascii="仿宋" w:hAnsi="仿宋" w:eastAsia="仿宋"/>
          <w:color w:val="000000"/>
          <w:sz w:val="32"/>
          <w:szCs w:val="32"/>
          <w:lang w:val="en-US" w:eastAsia="zh-CN"/>
        </w:rPr>
        <w:t>1.09，邮电费0.68，手续费0.10，</w:t>
      </w:r>
      <w:r>
        <w:rPr>
          <w:rFonts w:hint="eastAsia" w:ascii="仿宋" w:hAnsi="仿宋" w:eastAsia="仿宋"/>
          <w:color w:val="000000"/>
          <w:sz w:val="32"/>
          <w:szCs w:val="32"/>
          <w:lang w:eastAsia="zh-CN"/>
        </w:rPr>
        <w:t>印刷费</w:t>
      </w:r>
      <w:r>
        <w:rPr>
          <w:rFonts w:hint="eastAsia" w:ascii="仿宋" w:hAnsi="仿宋" w:eastAsia="仿宋"/>
          <w:color w:val="000000"/>
          <w:sz w:val="32"/>
          <w:szCs w:val="32"/>
          <w:lang w:val="en-US" w:eastAsia="zh-CN"/>
        </w:rPr>
        <w:t>0.58万</w:t>
      </w:r>
      <w:r>
        <w:rPr>
          <w:rFonts w:hint="eastAsia" w:ascii="仿宋" w:hAnsi="仿宋" w:eastAsia="仿宋"/>
          <w:color w:val="000000"/>
          <w:sz w:val="32"/>
          <w:szCs w:val="32"/>
        </w:rPr>
        <w:t>元，公务接待费</w:t>
      </w:r>
      <w:r>
        <w:rPr>
          <w:rFonts w:hint="eastAsia" w:ascii="仿宋" w:hAnsi="仿宋" w:eastAsia="仿宋"/>
          <w:color w:val="000000"/>
          <w:sz w:val="32"/>
          <w:szCs w:val="32"/>
          <w:lang w:val="en-US" w:eastAsia="zh-CN"/>
        </w:rPr>
        <w:t>0.90万</w:t>
      </w:r>
      <w:r>
        <w:rPr>
          <w:rFonts w:hint="eastAsia" w:ascii="仿宋" w:hAnsi="仿宋" w:eastAsia="仿宋"/>
          <w:color w:val="000000"/>
          <w:sz w:val="32"/>
          <w:szCs w:val="32"/>
        </w:rPr>
        <w:t>元，</w:t>
      </w:r>
      <w:r>
        <w:rPr>
          <w:rFonts w:hint="eastAsia" w:ascii="仿宋" w:hAnsi="仿宋" w:eastAsia="仿宋"/>
          <w:color w:val="000000"/>
          <w:sz w:val="32"/>
          <w:szCs w:val="32"/>
          <w:lang w:eastAsia="zh-CN"/>
        </w:rPr>
        <w:t>福利费</w:t>
      </w:r>
      <w:r>
        <w:rPr>
          <w:rFonts w:hint="eastAsia" w:ascii="仿宋" w:hAnsi="仿宋" w:eastAsia="仿宋"/>
          <w:color w:val="000000"/>
          <w:sz w:val="32"/>
          <w:szCs w:val="32"/>
          <w:lang w:val="en-US" w:eastAsia="zh-CN"/>
        </w:rPr>
        <w:t>0.51万元，培训费0.33，</w:t>
      </w:r>
      <w:r>
        <w:rPr>
          <w:rFonts w:hint="eastAsia" w:ascii="仿宋" w:hAnsi="仿宋" w:eastAsia="仿宋"/>
          <w:color w:val="000000"/>
          <w:sz w:val="32"/>
          <w:szCs w:val="32"/>
        </w:rPr>
        <w:t>；</w:t>
      </w:r>
      <w:r>
        <w:rPr>
          <w:rFonts w:hint="eastAsia" w:ascii="仿宋" w:hAnsi="仿宋" w:eastAsia="仿宋"/>
          <w:color w:val="000000"/>
          <w:sz w:val="32"/>
          <w:szCs w:val="32"/>
          <w:lang w:eastAsia="zh-CN"/>
        </w:rPr>
        <w:t>办公设备购置</w:t>
      </w:r>
      <w:r>
        <w:rPr>
          <w:rFonts w:hint="eastAsia" w:ascii="仿宋" w:hAnsi="仿宋" w:eastAsia="仿宋"/>
          <w:color w:val="000000"/>
          <w:sz w:val="32"/>
          <w:szCs w:val="32"/>
          <w:lang w:val="en-US" w:eastAsia="zh-CN"/>
        </w:rPr>
        <w:t>,1.98万</w:t>
      </w:r>
      <w:r>
        <w:rPr>
          <w:rFonts w:hint="eastAsia" w:ascii="仿宋" w:hAnsi="仿宋" w:eastAsia="仿宋"/>
          <w:color w:val="000000"/>
          <w:sz w:val="32"/>
          <w:szCs w:val="32"/>
        </w:rPr>
        <w:t>元。</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（数据来源财决</w:t>
      </w:r>
      <w:r>
        <w:rPr>
          <w:rFonts w:ascii="仿宋" w:hAnsi="仿宋" w:eastAsia="仿宋"/>
          <w:b/>
          <w:color w:val="000000"/>
          <w:sz w:val="32"/>
          <w:szCs w:val="32"/>
        </w:rPr>
        <w:t>07</w:t>
      </w:r>
      <w:r>
        <w:rPr>
          <w:rFonts w:hint="eastAsia" w:ascii="仿宋" w:hAnsi="仿宋" w:eastAsia="仿宋"/>
          <w:b/>
          <w:color w:val="000000"/>
          <w:sz w:val="32"/>
          <w:szCs w:val="32"/>
        </w:rPr>
        <w:t>表，根据本部门实际支出情况罗列全部经济分类科目。）</w:t>
      </w:r>
    </w:p>
    <w:p>
      <w:pPr>
        <w:spacing w:line="600" w:lineRule="exact"/>
        <w:ind w:firstLine="640"/>
        <w:rPr>
          <w:rFonts w:ascii="仿宋" w:hAnsi="仿宋" w:eastAsia="仿宋"/>
          <w:b/>
          <w:color w:val="FF0000"/>
          <w:sz w:val="32"/>
          <w:szCs w:val="32"/>
        </w:rPr>
      </w:pPr>
    </w:p>
    <w:p>
      <w:pPr>
        <w:spacing w:line="600" w:lineRule="exact"/>
        <w:ind w:firstLine="640"/>
        <w:outlineLvl w:val="1"/>
        <w:rPr>
          <w:rStyle w:val="17"/>
          <w:rFonts w:ascii="黑体" w:hAnsi="黑体" w:eastAsia="黑体"/>
          <w:b w:val="0"/>
        </w:rPr>
      </w:pPr>
      <w:bookmarkStart w:id="42" w:name="_Toc15377215"/>
      <w:bookmarkStart w:id="43" w:name="_Toc15396609"/>
      <w:r>
        <w:rPr>
          <w:rFonts w:hint="eastAsia" w:ascii="黑体" w:eastAsia="黑体"/>
          <w:color w:val="000000"/>
          <w:sz w:val="32"/>
          <w:szCs w:val="32"/>
        </w:rPr>
        <w:t>七、</w:t>
      </w:r>
      <w:r>
        <w:rPr>
          <w:rStyle w:val="17"/>
          <w:rFonts w:hint="eastAsia" w:ascii="黑体" w:hAnsi="黑体" w:eastAsia="黑体"/>
        </w:rPr>
        <w:t>“</w:t>
      </w:r>
      <w:r>
        <w:rPr>
          <w:rStyle w:val="17"/>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2018</w:t>
      </w:r>
      <w:r>
        <w:rPr>
          <w:rFonts w:hint="eastAsia" w:ascii="仿宋" w:hAnsi="仿宋" w:eastAsia="仿宋"/>
          <w:color w:val="000000"/>
          <w:sz w:val="32"/>
          <w:szCs w:val="32"/>
        </w:rPr>
        <w:t>年“三公”经费财政拨款支出决算为</w:t>
      </w:r>
      <w:r>
        <w:rPr>
          <w:rFonts w:hint="eastAsia" w:ascii="仿宋" w:hAnsi="仿宋" w:eastAsia="仿宋"/>
          <w:color w:val="000000"/>
          <w:sz w:val="32"/>
          <w:szCs w:val="32"/>
          <w:lang w:val="en-US" w:eastAsia="zh-CN"/>
        </w:rPr>
        <w:t>0.9</w:t>
      </w:r>
      <w:r>
        <w:rPr>
          <w:rFonts w:hint="eastAsia" w:ascii="仿宋" w:hAnsi="仿宋" w:eastAsia="仿宋"/>
          <w:color w:val="000000"/>
          <w:sz w:val="32"/>
          <w:szCs w:val="32"/>
        </w:rPr>
        <w:t>元，完成预算</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（上述“预算”口径为调整预算数，包括政府性基金支出决算情况。）</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2018</w:t>
      </w:r>
      <w:r>
        <w:rPr>
          <w:rFonts w:hint="eastAsia" w:ascii="仿宋" w:hAnsi="仿宋" w:eastAsia="仿宋"/>
          <w:color w:val="000000"/>
          <w:sz w:val="32"/>
          <w:szCs w:val="32"/>
        </w:rPr>
        <w:t>年“三公”经费财政拨款支出决算中，因公出国（境）费支出决算</w:t>
      </w:r>
      <w:r>
        <w:rPr>
          <w:rFonts w:hint="eastAsia" w:ascii="仿宋" w:hAnsi="仿宋" w:eastAsia="仿宋"/>
          <w:color w:val="000000"/>
          <w:sz w:val="32"/>
          <w:szCs w:val="32"/>
          <w:lang w:val="en-US" w:eastAsia="zh-CN"/>
        </w:rPr>
        <w:t>0.00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0.00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0.9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hint="eastAsia" w:ascii="仿宋" w:hAnsi="仿宋" w:eastAsia="仿宋"/>
          <w:color w:val="000000"/>
          <w:sz w:val="32"/>
          <w:szCs w:val="32"/>
        </w:rPr>
      </w:pPr>
      <w:r>
        <w:rPr>
          <w:rFonts w:hint="eastAsia" w:ascii="仿宋_GB2312" w:eastAsia="仿宋_GB2312"/>
          <w:color w:val="000000"/>
          <w:sz w:val="32"/>
          <w:szCs w:val="32"/>
          <w:highlight w:val="yellow"/>
          <w:lang w:eastAsia="zh-CN"/>
        </w:rPr>
        <w:pict>
          <v:shape id="_x0000_s1034" o:spid="_x0000_s1034" o:spt="75" type="#_x0000_t75" style="position:absolute;left:0pt;margin-left:52.65pt;margin-top:3.95pt;height:220.55pt;width:333.5pt;mso-wrap-distance-bottom:0pt;mso-wrap-distance-left:9pt;mso-wrap-distance-right:9pt;mso-wrap-distance-top:0pt;z-index:251695104;mso-width-relative:page;mso-height-relative:page;" o:ole="t" filled="f" o:preferrelative="t" stroked="f" coordsize="21600,21600">
            <v:path/>
            <v:fill on="f" focussize="0,0"/>
            <v:stroke on="f"/>
            <v:imagedata r:id="rId20" o:title=""/>
            <o:lock v:ext="edit" aspectratio="t"/>
            <w10:wrap type="square"/>
          </v:shape>
          <o:OLEObject Type="Embed" ProgID="Excel.Chart.8" ShapeID="_x0000_s1034" DrawAspect="Content" ObjectID="_1468075731" r:id="rId19">
            <o:LockedField>false</o:LockedField>
          </o:OLEObject>
        </w:pict>
      </w: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8</w:t>
      </w:r>
      <w:r>
        <w:rPr>
          <w:rFonts w:hint="eastAsia" w:ascii="仿宋" w:hAnsi="仿宋" w:eastAsia="仿宋"/>
          <w:color w:val="000000"/>
          <w:sz w:val="32"/>
          <w:szCs w:val="32"/>
        </w:rPr>
        <w:t>：“三公”经费财政拨款支出结构）（饼状图）</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2017</w:t>
      </w:r>
      <w:r>
        <w:rPr>
          <w:rFonts w:hint="eastAsia" w:ascii="仿宋_GB2312" w:eastAsia="仿宋_GB2312"/>
          <w:color w:val="000000"/>
          <w:sz w:val="32"/>
          <w:szCs w:val="32"/>
        </w:rPr>
        <w:t>年</w:t>
      </w:r>
      <w:r>
        <w:rPr>
          <w:rFonts w:hint="eastAsia" w:ascii="仿宋_GB2312" w:eastAsia="仿宋_GB2312"/>
          <w:color w:val="000000"/>
          <w:sz w:val="32"/>
          <w:szCs w:val="32"/>
          <w:lang w:eastAsia="zh-CN"/>
        </w:rPr>
        <w:t>不变</w:t>
      </w:r>
      <w:r>
        <w:rPr>
          <w:rFonts w:hint="eastAsia" w:ascii="仿宋_GB2312" w:eastAsia="仿宋_GB2312"/>
          <w:color w:val="000000"/>
          <w:sz w:val="32"/>
          <w:szCs w:val="32"/>
        </w:rPr>
        <w:t>。</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lang w:val="en-US" w:eastAsia="zh-CN"/>
        </w:rPr>
        <w:t>0.00</w:t>
      </w:r>
      <w:r>
        <w:rPr>
          <w:rFonts w:hint="eastAsia" w:ascii="仿宋_GB2312" w:eastAsia="仿宋_GB2312"/>
          <w:color w:val="000000"/>
          <w:sz w:val="32"/>
          <w:szCs w:val="32"/>
        </w:rPr>
        <w:t>万元</w:t>
      </w:r>
      <w:r>
        <w:rPr>
          <w:rFonts w:ascii="仿宋_GB2312" w:eastAsia="仿宋_GB2312"/>
          <w:color w:val="000000"/>
          <w:sz w:val="32"/>
          <w:szCs w:val="32"/>
        </w:rPr>
        <w:t>,</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2017</w:t>
      </w:r>
      <w:r>
        <w:rPr>
          <w:rFonts w:hint="eastAsia" w:ascii="仿宋_GB2312" w:eastAsia="仿宋_GB2312"/>
          <w:color w:val="000000"/>
          <w:sz w:val="32"/>
          <w:szCs w:val="32"/>
        </w:rPr>
        <w:t>年</w:t>
      </w:r>
      <w:r>
        <w:rPr>
          <w:rFonts w:hint="eastAsia" w:ascii="仿宋_GB2312" w:eastAsia="仿宋_GB2312"/>
          <w:color w:val="000000"/>
          <w:sz w:val="32"/>
          <w:szCs w:val="32"/>
          <w:lang w:eastAsia="zh-CN"/>
        </w:rPr>
        <w:t>增加</w:t>
      </w:r>
      <w:r>
        <w:rPr>
          <w:rFonts w:hint="eastAsia" w:ascii="仿宋_GB2312" w:eastAsia="仿宋_GB2312"/>
          <w:color w:val="000000"/>
          <w:sz w:val="32"/>
          <w:szCs w:val="32"/>
          <w:lang w:val="en-US" w:eastAsia="zh-CN"/>
        </w:rPr>
        <w:t>0.0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增长</w:t>
      </w:r>
      <w:r>
        <w:rPr>
          <w:rFonts w:hint="eastAsia" w:ascii="仿宋_GB2312" w:eastAsia="仿宋_GB2312"/>
          <w:color w:val="000000"/>
          <w:sz w:val="32"/>
          <w:szCs w:val="32"/>
          <w:lang w:val="en-US" w:eastAsia="zh-CN"/>
        </w:rPr>
        <w:t>0.00</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检察院车辆转隶</w:t>
      </w:r>
      <w:r>
        <w:rPr>
          <w:rFonts w:hint="eastAsia" w:ascii="仿宋_GB2312" w:eastAsia="仿宋_GB2312"/>
          <w:color w:val="000000"/>
          <w:sz w:val="32"/>
          <w:szCs w:val="32"/>
        </w:rPr>
        <w:t>。。</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lang w:val="en-US" w:eastAsia="zh-CN"/>
        </w:rPr>
        <w:t>0.9</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2017</w:t>
      </w:r>
      <w:r>
        <w:rPr>
          <w:rFonts w:hint="eastAsia" w:ascii="仿宋_GB2312" w:eastAsia="仿宋_GB2312"/>
          <w:color w:val="000000"/>
          <w:sz w:val="32"/>
          <w:szCs w:val="32"/>
        </w:rPr>
        <w:t>年</w:t>
      </w:r>
      <w:r>
        <w:rPr>
          <w:rFonts w:hint="eastAsia" w:ascii="仿宋_GB2312" w:eastAsia="仿宋_GB2312"/>
          <w:color w:val="000000"/>
          <w:sz w:val="32"/>
          <w:szCs w:val="32"/>
          <w:lang w:eastAsia="zh-CN"/>
        </w:rPr>
        <w:t>增加</w:t>
      </w:r>
      <w:r>
        <w:rPr>
          <w:rFonts w:hint="eastAsia" w:ascii="仿宋_GB2312" w:eastAsia="仿宋_GB2312"/>
          <w:color w:val="000000"/>
          <w:sz w:val="32"/>
          <w:szCs w:val="32"/>
          <w:lang w:val="en-US" w:eastAsia="zh-CN"/>
        </w:rPr>
        <w:t>0.69</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增长</w:t>
      </w:r>
      <w:r>
        <w:rPr>
          <w:rFonts w:hint="eastAsia" w:ascii="仿宋_GB2312" w:eastAsia="仿宋_GB2312"/>
          <w:color w:val="000000"/>
          <w:sz w:val="32"/>
          <w:szCs w:val="32"/>
          <w:lang w:val="en-US" w:eastAsia="zh-CN"/>
        </w:rPr>
        <w:t>77.33</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上级巡察增多</w:t>
      </w:r>
      <w:r>
        <w:rPr>
          <w:rFonts w:hint="eastAsia" w:ascii="仿宋_GB2312" w:eastAsia="仿宋_GB2312"/>
          <w:color w:val="000000"/>
          <w:sz w:val="32"/>
          <w:szCs w:val="32"/>
        </w:rPr>
        <w:t>。</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主要用于执行公务、开展业务活动开支的交通费、住宿费、用餐费等。国内公务接待</w:t>
      </w:r>
      <w:r>
        <w:rPr>
          <w:rFonts w:hint="eastAsia" w:ascii="仿宋_GB2312" w:eastAsia="仿宋_GB2312"/>
          <w:color w:val="000000"/>
          <w:sz w:val="32"/>
          <w:szCs w:val="32"/>
          <w:lang w:val="en-US" w:eastAsia="zh-CN"/>
        </w:rPr>
        <w:t>90</w:t>
      </w:r>
      <w:r>
        <w:rPr>
          <w:rFonts w:hint="eastAsia" w:ascii="仿宋_GB2312" w:eastAsia="仿宋_GB2312"/>
          <w:color w:val="000000"/>
          <w:sz w:val="32"/>
          <w:szCs w:val="32"/>
        </w:rPr>
        <w:t>批次，</w:t>
      </w:r>
      <w:r>
        <w:rPr>
          <w:rFonts w:hint="eastAsia" w:ascii="仿宋_GB2312" w:eastAsia="仿宋_GB2312"/>
          <w:color w:val="000000"/>
          <w:sz w:val="32"/>
          <w:szCs w:val="32"/>
          <w:lang w:val="en-US" w:eastAsia="zh-CN"/>
        </w:rPr>
        <w:t>270</w:t>
      </w:r>
      <w:r>
        <w:rPr>
          <w:rFonts w:hint="eastAsia" w:ascii="仿宋_GB2312" w:eastAsia="仿宋_GB2312"/>
          <w:color w:val="000000"/>
          <w:sz w:val="32"/>
          <w:szCs w:val="32"/>
        </w:rPr>
        <w:t>人次，共计支出</w:t>
      </w:r>
      <w:r>
        <w:rPr>
          <w:rFonts w:hint="eastAsia" w:ascii="仿宋_GB2312" w:eastAsia="仿宋_GB2312"/>
          <w:color w:val="000000"/>
          <w:sz w:val="32"/>
          <w:szCs w:val="32"/>
          <w:lang w:val="en-US" w:eastAsia="zh-CN"/>
        </w:rPr>
        <w:t>0.9</w:t>
      </w:r>
      <w:r>
        <w:rPr>
          <w:rFonts w:hint="eastAsia" w:ascii="仿宋_GB2312" w:eastAsia="仿宋_GB2312"/>
          <w:color w:val="000000"/>
          <w:sz w:val="32"/>
          <w:szCs w:val="32"/>
        </w:rPr>
        <w:t>万元。其中：</w:t>
      </w:r>
    </w:p>
    <w:p>
      <w:pPr>
        <w:spacing w:line="600" w:lineRule="exact"/>
        <w:ind w:firstLine="643" w:firstLineChars="200"/>
        <w:rPr>
          <w:rFonts w:hint="eastAsia" w:ascii="仿宋_GB2312" w:eastAsia="仿宋_GB2312"/>
          <w:color w:val="000000"/>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万元，外事接待</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批次，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人，共计支出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3" w:firstLineChars="200"/>
        <w:rPr>
          <w:rFonts w:ascii="仿宋_GB2312" w:eastAsia="仿宋_GB2312"/>
          <w:color w:val="000000"/>
          <w:sz w:val="32"/>
          <w:szCs w:val="32"/>
        </w:rPr>
      </w:pPr>
      <w:r>
        <w:rPr>
          <w:rFonts w:hint="eastAsia" w:ascii="仿宋" w:hAnsi="仿宋" w:eastAsia="仿宋"/>
          <w:b/>
          <w:color w:val="000000"/>
          <w:sz w:val="32"/>
          <w:szCs w:val="32"/>
        </w:rPr>
        <w:t>其他国内公务接待支出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万元，主要用于执行公务、开展业务活动开支的交通费、住宿费、用餐费等</w:t>
      </w:r>
      <w:r>
        <w:rPr>
          <w:rFonts w:hint="eastAsia" w:ascii="仿宋_GB2312" w:eastAsia="仿宋_GB2312"/>
          <w:color w:val="000000"/>
          <w:sz w:val="32"/>
          <w:szCs w:val="32"/>
          <w:lang w:eastAsia="zh-CN"/>
        </w:rPr>
        <w:t>。</w:t>
      </w:r>
    </w:p>
    <w:p>
      <w:pPr>
        <w:spacing w:line="600" w:lineRule="exact"/>
        <w:ind w:firstLine="640"/>
        <w:outlineLvl w:val="1"/>
        <w:rPr>
          <w:rFonts w:ascii="黑体" w:eastAsia="黑体"/>
          <w:color w:val="000000"/>
          <w:sz w:val="32"/>
          <w:szCs w:val="32"/>
        </w:rPr>
      </w:pPr>
      <w:bookmarkStart w:id="46" w:name="_Toc15396610"/>
      <w:bookmarkStart w:id="47" w:name="_Toc15377218"/>
    </w:p>
    <w:p>
      <w:pPr>
        <w:spacing w:line="600" w:lineRule="exact"/>
        <w:ind w:firstLine="640"/>
        <w:outlineLvl w:val="1"/>
        <w:rPr>
          <w:rStyle w:val="17"/>
          <w:rFonts w:ascii="黑体" w:hAnsi="黑体" w:eastAsia="黑体"/>
        </w:rPr>
      </w:pPr>
      <w:r>
        <w:rPr>
          <w:rFonts w:hint="eastAsia" w:ascii="黑体" w:eastAsia="黑体"/>
          <w:color w:val="000000"/>
          <w:sz w:val="32"/>
          <w:szCs w:val="32"/>
        </w:rPr>
        <w:t>八、</w:t>
      </w:r>
      <w:r>
        <w:rPr>
          <w:rStyle w:val="17"/>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年政府性基金预算拨款支出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17"/>
          <w:rFonts w:ascii="黑体" w:hAnsi="黑体" w:eastAsia="黑体"/>
          <w:b w:val="0"/>
        </w:rPr>
      </w:pPr>
      <w:bookmarkStart w:id="48" w:name="_Toc15377219"/>
      <w:bookmarkStart w:id="49" w:name="_Toc15396611"/>
      <w:r>
        <w:rPr>
          <w:rStyle w:val="17"/>
          <w:rFonts w:hint="eastAsia" w:ascii="黑体" w:hAnsi="黑体" w:eastAsia="黑体"/>
          <w:b w:val="0"/>
        </w:rPr>
        <w:t>国有资本经营预算支出决算情况说明</w:t>
      </w:r>
      <w:bookmarkEnd w:id="48"/>
      <w:bookmarkEnd w:id="49"/>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年国有资本经营预算拨款支出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pStyle w:val="26"/>
        <w:numPr>
          <w:ilvl w:val="0"/>
          <w:numId w:val="3"/>
        </w:numPr>
        <w:spacing w:line="580" w:lineRule="exact"/>
        <w:ind w:firstLineChars="0"/>
        <w:rPr>
          <w:rStyle w:val="17"/>
          <w:rFonts w:ascii="黑体" w:hAnsi="黑体" w:eastAsia="黑体"/>
          <w:b w:val="0"/>
        </w:rPr>
      </w:pPr>
      <w:r>
        <w:rPr>
          <w:rStyle w:val="17"/>
          <w:rFonts w:hint="eastAsia" w:ascii="黑体" w:hAnsi="黑体" w:eastAsia="黑体"/>
          <w:b w:val="0"/>
        </w:rPr>
        <w:t>预算绩效情况说明</w:t>
      </w:r>
    </w:p>
    <w:p>
      <w:pPr>
        <w:numPr>
          <w:ilvl w:val="0"/>
          <w:numId w:val="4"/>
        </w:numPr>
        <w:spacing w:line="580" w:lineRule="exact"/>
        <w:ind w:firstLine="643" w:firstLineChars="200"/>
        <w:rPr>
          <w:rFonts w:ascii="仿宋" w:hAnsi="仿宋" w:eastAsia="仿宋" w:cs="楷体_GB2312"/>
          <w:b/>
          <w:bCs/>
          <w:sz w:val="32"/>
          <w:szCs w:val="32"/>
        </w:rPr>
      </w:pPr>
      <w:r>
        <w:rPr>
          <w:rFonts w:hint="eastAsia" w:ascii="仿宋" w:hAnsi="仿宋" w:eastAsia="仿宋" w:cs="楷体_GB2312"/>
          <w:b/>
          <w:bCs/>
          <w:sz w:val="32"/>
          <w:szCs w:val="32"/>
        </w:rPr>
        <w:t>预算绩效管理工作开展情况。</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根据预算绩效管理要求，本部门（单位）在年初预算编制阶段，组织开展了预算事前绩效评估，编制了绩效目标，预算执行过程中，开展绩效监控，年终执行完毕后，开展了绩效目标完成情况梳理填报。</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本部门按要求对2018年部门整体支出开展绩效自评，从评价情况来看</w:t>
      </w:r>
      <w:r>
        <w:rPr>
          <w:rFonts w:hint="eastAsia" w:ascii="仿宋_GB2312" w:hAnsi="仿宋_GB2312" w:eastAsia="仿宋_GB2312" w:cs="仿宋_GB2312"/>
          <w:sz w:val="32"/>
          <w:szCs w:val="32"/>
          <w:lang w:eastAsia="zh-CN"/>
        </w:rPr>
        <w:t>，本部门</w:t>
      </w:r>
      <w:r>
        <w:rPr>
          <w:rFonts w:hint="eastAsia" w:ascii="仿宋_GB2312" w:hAnsi="仿宋_GB2312" w:eastAsia="仿宋_GB2312" w:cs="仿宋_GB2312"/>
          <w:sz w:val="32"/>
          <w:szCs w:val="32"/>
        </w:rPr>
        <w:t>整体绩效情况</w:t>
      </w:r>
      <w:r>
        <w:rPr>
          <w:rFonts w:hint="eastAsia" w:ascii="仿宋_GB2312" w:hAnsi="仿宋_GB2312" w:eastAsia="仿宋_GB2312" w:cs="仿宋_GB2312"/>
          <w:sz w:val="32"/>
          <w:szCs w:val="32"/>
          <w:lang w:eastAsia="zh-CN"/>
        </w:rPr>
        <w:t>正常，严格按照预算执行。</w:t>
      </w:r>
    </w:p>
    <w:p>
      <w:pPr>
        <w:numPr>
          <w:ilvl w:val="0"/>
          <w:numId w:val="4"/>
        </w:numPr>
        <w:spacing w:line="580" w:lineRule="exact"/>
        <w:ind w:firstLine="643" w:firstLineChars="200"/>
        <w:rPr>
          <w:rFonts w:hint="eastAsia" w:ascii="仿宋" w:hAnsi="仿宋" w:eastAsia="仿宋" w:cs="楷体_GB2312"/>
          <w:b/>
          <w:bCs/>
          <w:sz w:val="32"/>
          <w:szCs w:val="32"/>
        </w:rPr>
      </w:pPr>
      <w:r>
        <w:rPr>
          <w:rFonts w:hint="eastAsia" w:ascii="仿宋" w:hAnsi="仿宋" w:eastAsia="仿宋" w:cs="楷体_GB2312"/>
          <w:b/>
          <w:bCs/>
          <w:sz w:val="32"/>
          <w:szCs w:val="32"/>
        </w:rPr>
        <w:t>项目绩效目标完成情况。</w:t>
      </w:r>
    </w:p>
    <w:p>
      <w:pPr>
        <w:numPr>
          <w:ilvl w:val="0"/>
          <w:numId w:val="0"/>
        </w:numPr>
        <w:spacing w:line="580" w:lineRule="exact"/>
        <w:rPr>
          <w:rFonts w:hint="eastAsia" w:ascii="仿宋" w:hAnsi="仿宋" w:eastAsia="仿宋" w:cs="楷体_GB2312"/>
          <w:b/>
          <w:bCs/>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无项目支出。</w:t>
      </w:r>
    </w:p>
    <w:p>
      <w:pPr>
        <w:numPr>
          <w:ilvl w:val="0"/>
          <w:numId w:val="4"/>
        </w:numPr>
        <w:spacing w:line="580" w:lineRule="exact"/>
        <w:ind w:firstLine="643" w:firstLineChars="200"/>
        <w:rPr>
          <w:rFonts w:ascii="仿宋" w:hAnsi="仿宋" w:eastAsia="仿宋" w:cs="仿宋_GB2312"/>
          <w:sz w:val="32"/>
          <w:szCs w:val="32"/>
        </w:rPr>
      </w:pPr>
      <w:r>
        <w:rPr>
          <w:rFonts w:hint="eastAsia" w:ascii="仿宋" w:hAnsi="仿宋" w:eastAsia="仿宋" w:cs="楷体_GB2312"/>
          <w:b/>
          <w:bCs/>
          <w:sz w:val="32"/>
          <w:szCs w:val="32"/>
        </w:rPr>
        <w:t>部门开展绩效评价结果。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年部门整体支出绩效评价情况开展自评，《</w:t>
      </w:r>
      <w:r>
        <w:rPr>
          <w:rFonts w:hint="eastAsia" w:ascii="仿宋_GB2312" w:hAnsi="仿宋_GB2312" w:eastAsia="仿宋_GB2312" w:cs="仿宋_GB2312"/>
          <w:sz w:val="32"/>
          <w:szCs w:val="32"/>
          <w:lang w:eastAsia="zh-CN"/>
        </w:rPr>
        <w:t>万源市巡察办</w:t>
      </w:r>
      <w:r>
        <w:rPr>
          <w:rFonts w:hint="eastAsia" w:ascii="仿宋_GB2312" w:hAnsi="仿宋_GB2312" w:eastAsia="仿宋_GB2312" w:cs="仿宋_GB2312"/>
          <w:sz w:val="32"/>
          <w:szCs w:val="32"/>
        </w:rPr>
        <w:t>部门</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年部门整体支出绩效评价报告》见附件。</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7"/>
          <w:rFonts w:ascii="黑体" w:hAnsi="黑体" w:eastAsia="黑体"/>
        </w:rPr>
      </w:pPr>
      <w:bookmarkStart w:id="50" w:name="_Toc15396612"/>
      <w:bookmarkStart w:id="51" w:name="_Toc15377221"/>
      <w:r>
        <w:rPr>
          <w:rFonts w:hint="eastAsia" w:ascii="黑体" w:hAnsi="黑体" w:eastAsia="黑体"/>
          <w:color w:val="000000"/>
          <w:sz w:val="32"/>
          <w:szCs w:val="32"/>
        </w:rPr>
        <w:t>十</w:t>
      </w:r>
      <w:r>
        <w:rPr>
          <w:rStyle w:val="17"/>
          <w:rFonts w:hint="eastAsia" w:ascii="黑体" w:hAnsi="黑体" w:eastAsia="黑体"/>
        </w:rPr>
        <w:t>一、</w:t>
      </w:r>
      <w:r>
        <w:rPr>
          <w:rStyle w:val="17"/>
          <w:rFonts w:hint="eastAsia" w:ascii="黑体" w:hAnsi="黑体" w:eastAsia="黑体"/>
          <w:b w:val="0"/>
        </w:rPr>
        <w:t>其他重要事项的情况说明</w:t>
      </w:r>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年，机关运行经费支出</w:t>
      </w:r>
      <w:r>
        <w:rPr>
          <w:rFonts w:hint="eastAsia" w:ascii="仿宋_GB2312" w:eastAsia="仿宋_GB2312"/>
          <w:color w:val="000000"/>
          <w:sz w:val="32"/>
          <w:szCs w:val="32"/>
          <w:lang w:val="en-US" w:eastAsia="zh-CN"/>
        </w:rPr>
        <w:t>66.59</w:t>
      </w:r>
      <w:r>
        <w:rPr>
          <w:rFonts w:hint="eastAsia" w:ascii="仿宋_GB2312" w:eastAsia="仿宋_GB2312"/>
          <w:color w:val="000000"/>
          <w:sz w:val="32"/>
          <w:szCs w:val="32"/>
        </w:rPr>
        <w:t>万元，比</w:t>
      </w:r>
      <w:r>
        <w:rPr>
          <w:rFonts w:ascii="仿宋_GB2312" w:eastAsia="仿宋_GB2312"/>
          <w:color w:val="000000"/>
          <w:sz w:val="32"/>
          <w:szCs w:val="32"/>
        </w:rPr>
        <w:t>2017</w:t>
      </w:r>
      <w:r>
        <w:rPr>
          <w:rFonts w:hint="eastAsia" w:ascii="仿宋_GB2312" w:eastAsia="仿宋_GB2312"/>
          <w:color w:val="000000"/>
          <w:sz w:val="32"/>
          <w:szCs w:val="32"/>
        </w:rPr>
        <w:t>年减少</w:t>
      </w:r>
      <w:r>
        <w:rPr>
          <w:rFonts w:hint="eastAsia" w:ascii="仿宋_GB2312" w:eastAsia="仿宋_GB2312"/>
          <w:color w:val="000000"/>
          <w:sz w:val="32"/>
          <w:szCs w:val="32"/>
          <w:lang w:val="en-US" w:eastAsia="zh-CN"/>
        </w:rPr>
        <w:t>84.61</w:t>
      </w:r>
      <w:r>
        <w:rPr>
          <w:rFonts w:hint="eastAsia" w:ascii="仿宋_GB2312" w:eastAsia="仿宋_GB2312"/>
          <w:color w:val="000000"/>
          <w:sz w:val="32"/>
          <w:szCs w:val="32"/>
        </w:rPr>
        <w:t>万元，下降</w:t>
      </w:r>
      <w:r>
        <w:rPr>
          <w:rFonts w:hint="eastAsia" w:ascii="仿宋_GB2312" w:eastAsia="仿宋_GB2312"/>
          <w:color w:val="000000"/>
          <w:sz w:val="32"/>
          <w:szCs w:val="32"/>
          <w:lang w:val="en-US" w:eastAsia="zh-CN"/>
        </w:rPr>
        <w:t>55.95</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（数据来源财决</w:t>
      </w:r>
      <w:r>
        <w:rPr>
          <w:rFonts w:ascii="仿宋" w:hAnsi="仿宋" w:eastAsia="仿宋"/>
          <w:b/>
          <w:color w:val="000000"/>
          <w:sz w:val="32"/>
          <w:szCs w:val="32"/>
        </w:rPr>
        <w:t>CS05</w:t>
      </w:r>
      <w:r>
        <w:rPr>
          <w:rFonts w:hint="eastAsia" w:ascii="仿宋" w:hAnsi="仿宋" w:eastAsia="仿宋"/>
          <w:b/>
          <w:color w:val="00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年，政府采购支出总额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（数据来源财决</w:t>
      </w:r>
      <w:r>
        <w:rPr>
          <w:rFonts w:ascii="仿宋" w:hAnsi="仿宋" w:eastAsia="仿宋"/>
          <w:b/>
          <w:color w:val="000000"/>
          <w:sz w:val="32"/>
          <w:szCs w:val="32"/>
        </w:rPr>
        <w:t>CS06</w:t>
      </w:r>
      <w:r>
        <w:rPr>
          <w:rFonts w:hint="eastAsia" w:ascii="仿宋" w:hAnsi="仿宋" w:eastAsia="仿宋"/>
          <w:b/>
          <w:color w:val="00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2018</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日，共有车辆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辆，其中：部级领导干部用车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辆、一般公务用车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辆、一般执法执勤用车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辆、特种专业技术用车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sz w:val="32"/>
          <w:szCs w:val="32"/>
          <w:lang w:eastAsia="zh-CN"/>
        </w:rPr>
        <w:t>。</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（数据来源财决</w:t>
      </w:r>
      <w:r>
        <w:rPr>
          <w:rFonts w:ascii="仿宋" w:hAnsi="仿宋" w:eastAsia="仿宋"/>
          <w:b/>
          <w:color w:val="000000"/>
          <w:sz w:val="32"/>
          <w:szCs w:val="32"/>
        </w:rPr>
        <w:t>CS05</w:t>
      </w:r>
      <w:r>
        <w:rPr>
          <w:rFonts w:hint="eastAsia" w:ascii="仿宋" w:hAnsi="仿宋" w:eastAsia="仿宋"/>
          <w:b/>
          <w:color w:val="000000"/>
          <w:sz w:val="32"/>
          <w:szCs w:val="32"/>
        </w:rPr>
        <w:t>表，按部门决算报表填报数据罗列车辆情况。）</w:t>
      </w:r>
    </w:p>
    <w:p>
      <w:pPr>
        <w:spacing w:line="600" w:lineRule="atLeast"/>
        <w:ind w:firstLine="643" w:firstLineChars="200"/>
        <w:rPr>
          <w:rFonts w:ascii="仿宋_GB2312" w:eastAsia="仿宋_GB2312"/>
          <w:b/>
          <w:color w:val="000000"/>
          <w:sz w:val="32"/>
          <w:szCs w:val="32"/>
        </w:rPr>
      </w:pP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5"/>
        </w:numPr>
        <w:spacing w:line="600" w:lineRule="exact"/>
        <w:ind w:firstLine="663" w:firstLineChars="150"/>
        <w:jc w:val="center"/>
        <w:outlineLvl w:val="0"/>
        <w:rPr>
          <w:rStyle w:val="16"/>
          <w:rFonts w:ascii="黑体" w:hAnsi="黑体" w:eastAsia="黑体"/>
          <w:b w:val="0"/>
        </w:rPr>
      </w:pPr>
      <w:bookmarkStart w:id="55" w:name="_Toc15377225"/>
      <w:bookmarkStart w:id="56" w:name="_Toc15396613"/>
      <w:r>
        <w:rPr>
          <w:rFonts w:hint="eastAsia" w:ascii="黑体" w:hAnsi="黑体" w:eastAsia="黑体"/>
          <w:b/>
          <w:color w:val="000000"/>
          <w:sz w:val="44"/>
          <w:szCs w:val="44"/>
        </w:rPr>
        <w:t>名</w:t>
      </w:r>
      <w:r>
        <w:rPr>
          <w:rStyle w:val="16"/>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5"/>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5"/>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w:t>
      </w:r>
      <w:r>
        <w:rPr>
          <w:rFonts w:ascii="仿宋_GB2312" w:eastAsia="仿宋_GB2312"/>
          <w:sz w:val="32"/>
          <w:szCs w:val="32"/>
        </w:rPr>
        <w:t>.</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5"/>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3</w:t>
      </w:r>
      <w:r>
        <w:rPr>
          <w:rFonts w:ascii="仿宋_GB2312" w:eastAsia="仿宋_GB2312"/>
          <w:sz w:val="32"/>
          <w:szCs w:val="32"/>
        </w:rPr>
        <w:t>.</w:t>
      </w:r>
      <w:r>
        <w:rPr>
          <w:rFonts w:hint="eastAsia" w:ascii="仿宋_GB2312" w:eastAsia="仿宋_GB2312"/>
          <w:sz w:val="32"/>
          <w:szCs w:val="32"/>
        </w:rPr>
        <w:t>结余分配：指事业单位按照事业单位会计制度的规定从非财政补助结余中分配的事业基金和职工福利基金等。</w:t>
      </w:r>
    </w:p>
    <w:p>
      <w:pPr>
        <w:pStyle w:val="25"/>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5</w:t>
      </w:r>
      <w:r>
        <w:rPr>
          <w:rFonts w:ascii="仿宋_GB2312" w:eastAsia="仿宋_GB2312"/>
          <w:color w:val="000000"/>
          <w:sz w:val="32"/>
          <w:szCs w:val="32"/>
        </w:rPr>
        <w:t>.</w:t>
      </w:r>
      <w:r>
        <w:rPr>
          <w:rFonts w:hint="eastAsia" w:ascii="仿宋_GB2312" w:eastAsia="仿宋_GB2312"/>
          <w:color w:val="000000"/>
          <w:sz w:val="32"/>
          <w:szCs w:val="32"/>
        </w:rPr>
        <w:t>一般公共服务（类）纪检监察事务（款）行政运行（项）：指</w:t>
      </w:r>
      <w:r>
        <w:rPr>
          <w:rFonts w:hint="eastAsia" w:ascii="仿宋_GB2312" w:eastAsia="仿宋_GB2312"/>
          <w:color w:val="000000"/>
          <w:sz w:val="32"/>
          <w:szCs w:val="32"/>
          <w:lang w:eastAsia="zh-CN"/>
        </w:rPr>
        <w:t>纪检监察工作人员经费、办公经费的资金</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6</w:t>
      </w:r>
      <w:r>
        <w:rPr>
          <w:rFonts w:ascii="仿宋_GB2312" w:eastAsia="仿宋_GB2312"/>
          <w:color w:val="000000"/>
          <w:sz w:val="32"/>
          <w:szCs w:val="32"/>
        </w:rPr>
        <w:t>.</w:t>
      </w:r>
      <w:r>
        <w:rPr>
          <w:rFonts w:hint="eastAsia" w:ascii="仿宋_GB2312" w:eastAsia="仿宋_GB2312"/>
          <w:color w:val="000000"/>
          <w:sz w:val="32"/>
          <w:szCs w:val="32"/>
        </w:rPr>
        <w:t>社会保障和就业支出（类）抚恤（款）死亡抚恤（项）：指</w:t>
      </w:r>
      <w:r>
        <w:rPr>
          <w:rFonts w:hint="eastAsia" w:ascii="仿宋_GB2312" w:eastAsia="仿宋_GB2312"/>
          <w:color w:val="000000"/>
          <w:sz w:val="32"/>
          <w:szCs w:val="32"/>
          <w:lang w:eastAsia="zh-CN"/>
        </w:rPr>
        <w:t>本单位人员遗属补助资金</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7</w:t>
      </w:r>
      <w:r>
        <w:rPr>
          <w:rFonts w:ascii="仿宋_GB2312" w:eastAsia="仿宋_GB2312"/>
          <w:color w:val="000000"/>
          <w:sz w:val="32"/>
          <w:szCs w:val="32"/>
        </w:rPr>
        <w:t>.</w:t>
      </w:r>
      <w:r>
        <w:rPr>
          <w:rFonts w:hint="eastAsia" w:ascii="仿宋_GB2312" w:eastAsia="仿宋_GB2312"/>
          <w:color w:val="000000"/>
          <w:sz w:val="32"/>
          <w:szCs w:val="32"/>
        </w:rPr>
        <w:t>医疗卫生与计划生育支出（类）行政事业单位医疗（款）行政单位医疗（项）：指</w:t>
      </w:r>
      <w:r>
        <w:rPr>
          <w:rFonts w:hint="eastAsia" w:ascii="仿宋_GB2312" w:eastAsia="仿宋_GB2312"/>
          <w:color w:val="000000"/>
          <w:sz w:val="32"/>
          <w:szCs w:val="32"/>
          <w:lang w:eastAsia="zh-CN"/>
        </w:rPr>
        <w:t>本单位职工医疗保障缴费单位缴费部分资金</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8</w:t>
      </w:r>
      <w:r>
        <w:rPr>
          <w:rFonts w:ascii="仿宋_GB2312" w:eastAsia="仿宋_GB2312"/>
          <w:color w:val="000000"/>
          <w:sz w:val="32"/>
          <w:szCs w:val="32"/>
        </w:rPr>
        <w:t>.</w:t>
      </w:r>
      <w:r>
        <w:rPr>
          <w:rFonts w:hint="eastAsia" w:ascii="仿宋_GB2312" w:eastAsia="仿宋_GB2312"/>
          <w:color w:val="000000"/>
          <w:sz w:val="32"/>
          <w:szCs w:val="32"/>
        </w:rPr>
        <w:t>住房保障支出（类）住房改革支出（款）住房公积金（项）：指本单位职工</w:t>
      </w:r>
      <w:r>
        <w:rPr>
          <w:rFonts w:hint="eastAsia" w:ascii="仿宋_GB2312" w:eastAsia="仿宋_GB2312"/>
          <w:color w:val="000000"/>
          <w:sz w:val="32"/>
          <w:szCs w:val="32"/>
          <w:lang w:eastAsia="zh-CN"/>
        </w:rPr>
        <w:t>住房公积金</w:t>
      </w:r>
      <w:r>
        <w:rPr>
          <w:rFonts w:hint="eastAsia" w:ascii="仿宋_GB2312" w:eastAsia="仿宋_GB2312"/>
          <w:color w:val="000000"/>
          <w:sz w:val="32"/>
          <w:szCs w:val="32"/>
        </w:rPr>
        <w:t>单位缴费部分资金。</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9</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10</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pStyle w:val="25"/>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11</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5"/>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12</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6"/>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16"/>
          <w:rFonts w:hint="eastAsia" w:ascii="黑体" w:hAnsi="黑体" w:eastAsia="黑体"/>
          <w:b w:val="0"/>
        </w:rPr>
        <w:t>四部分</w:t>
      </w:r>
      <w:r>
        <w:rPr>
          <w:rStyle w:val="16"/>
          <w:rFonts w:ascii="黑体" w:hAnsi="黑体" w:eastAsia="黑体"/>
          <w:b w:val="0"/>
        </w:rPr>
        <w:t xml:space="preserve"> </w:t>
      </w:r>
      <w:r>
        <w:rPr>
          <w:rStyle w:val="16"/>
          <w:rFonts w:hint="eastAsia" w:ascii="黑体" w:hAnsi="黑体" w:eastAsia="黑体"/>
          <w:b w:val="0"/>
        </w:rPr>
        <w:t>附件</w:t>
      </w:r>
      <w:bookmarkEnd w:id="58"/>
    </w:p>
    <w:p>
      <w:pPr>
        <w:spacing w:line="600" w:lineRule="exact"/>
        <w:jc w:val="center"/>
        <w:outlineLvl w:val="0"/>
        <w:rPr>
          <w:rStyle w:val="16"/>
        </w:rPr>
      </w:pPr>
    </w:p>
    <w:p>
      <w:pPr>
        <w:pStyle w:val="3"/>
        <w:rPr>
          <w:rStyle w:val="16"/>
          <w:rFonts w:ascii="仿宋" w:hAnsi="仿宋" w:eastAsia="仿宋"/>
          <w:b w:val="0"/>
          <w:bCs w:val="0"/>
          <w:sz w:val="32"/>
          <w:szCs w:val="32"/>
        </w:rPr>
      </w:pPr>
      <w:bookmarkStart w:id="59" w:name="_Toc15396615"/>
      <w:r>
        <w:rPr>
          <w:rStyle w:val="16"/>
          <w:rFonts w:hint="eastAsia" w:ascii="仿宋" w:hAnsi="仿宋" w:eastAsia="仿宋"/>
          <w:b w:val="0"/>
          <w:bCs w:val="0"/>
          <w:sz w:val="32"/>
          <w:szCs w:val="32"/>
        </w:rPr>
        <w:t>附件</w:t>
      </w:r>
      <w:r>
        <w:rPr>
          <w:rStyle w:val="16"/>
          <w:rFonts w:ascii="仿宋" w:hAnsi="仿宋" w:eastAsia="仿宋"/>
          <w:b w:val="0"/>
          <w:bCs w:val="0"/>
          <w:sz w:val="32"/>
          <w:szCs w:val="32"/>
        </w:rPr>
        <w:t>1</w:t>
      </w:r>
      <w:bookmarkEnd w:id="59"/>
    </w:p>
    <w:p>
      <w:pPr>
        <w:spacing w:line="600" w:lineRule="exact"/>
        <w:jc w:val="center"/>
        <w:outlineLvl w:val="0"/>
        <w:rPr>
          <w:rFonts w:ascii="黑体" w:hAnsi="黑体" w:eastAsia="黑体" w:cs="方正小标宋简体"/>
          <w:sz w:val="36"/>
          <w:szCs w:val="36"/>
        </w:rPr>
      </w:pPr>
      <w:bookmarkStart w:id="60" w:name="_Toc15396616"/>
      <w:r>
        <w:rPr>
          <w:rFonts w:hint="eastAsia" w:ascii="黑体" w:hAnsi="黑体" w:eastAsia="黑体" w:cs="方正小标宋简体"/>
          <w:sz w:val="36"/>
          <w:szCs w:val="36"/>
          <w:lang w:eastAsia="zh-CN"/>
        </w:rPr>
        <w:t>万源市</w:t>
      </w:r>
      <w:r>
        <w:rPr>
          <w:rFonts w:hint="eastAsia" w:ascii="黑体" w:hAnsi="黑体" w:eastAsia="黑体" w:cs="方正小标宋简体"/>
          <w:sz w:val="36"/>
          <w:szCs w:val="36"/>
          <w:lang w:val="en-US" w:eastAsia="zh-CN"/>
        </w:rPr>
        <w:t>巡察办2</w:t>
      </w:r>
      <w:r>
        <w:rPr>
          <w:rFonts w:ascii="黑体" w:hAnsi="黑体" w:eastAsia="黑体" w:cs="方正小标宋简体"/>
          <w:sz w:val="36"/>
          <w:szCs w:val="36"/>
        </w:rPr>
        <w:t>018</w:t>
      </w:r>
      <w:r>
        <w:rPr>
          <w:rFonts w:hint="eastAsia" w:ascii="黑体" w:hAnsi="黑体" w:eastAsia="黑体" w:cs="方正小标宋简体"/>
          <w:sz w:val="36"/>
          <w:szCs w:val="36"/>
        </w:rPr>
        <w:t>年部门整体支出绩效评价报告</w:t>
      </w:r>
      <w:bookmarkEnd w:id="60"/>
    </w:p>
    <w:p>
      <w:pPr>
        <w:spacing w:line="580" w:lineRule="exact"/>
        <w:ind w:firstLine="640" w:firstLineChars="200"/>
        <w:rPr>
          <w:rFonts w:ascii="黑体" w:hAnsi="黑体" w:eastAsia="黑体" w:cs="黑体"/>
          <w:sz w:val="32"/>
          <w:szCs w:val="32"/>
        </w:rPr>
      </w:pP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一、部门（单位）概况</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（一）机构组成。</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中国共产党万源市</w:t>
      </w:r>
      <w:r>
        <w:rPr>
          <w:rFonts w:hint="eastAsia" w:ascii="仿宋" w:hAnsi="仿宋" w:eastAsia="仿宋" w:cs="仿宋_GB2312"/>
          <w:sz w:val="32"/>
          <w:szCs w:val="32"/>
          <w:lang w:eastAsia="zh-CN"/>
        </w:rPr>
        <w:t>巡察工作领导小组办公室</w:t>
      </w:r>
      <w:r>
        <w:rPr>
          <w:rFonts w:hint="eastAsia" w:ascii="仿宋" w:hAnsi="仿宋" w:eastAsia="仿宋" w:cs="仿宋_GB2312"/>
          <w:sz w:val="32"/>
          <w:szCs w:val="32"/>
        </w:rPr>
        <w:t>为行政单位，单位住所：万源市太平镇裕丰街118号，单位负责人：</w:t>
      </w:r>
      <w:r>
        <w:rPr>
          <w:rFonts w:hint="eastAsia" w:ascii="仿宋" w:hAnsi="仿宋" w:eastAsia="仿宋" w:cs="仿宋_GB2312"/>
          <w:sz w:val="32"/>
          <w:szCs w:val="32"/>
          <w:lang w:eastAsia="zh-CN"/>
        </w:rPr>
        <w:t>吴晓雨</w:t>
      </w:r>
      <w:r>
        <w:rPr>
          <w:rFonts w:hint="eastAsia" w:ascii="仿宋" w:hAnsi="仿宋" w:eastAsia="仿宋" w:cs="仿宋_GB2312"/>
          <w:sz w:val="32"/>
          <w:szCs w:val="32"/>
        </w:rPr>
        <w:t>。2017年末中共万源市纪律检查委员会机关内设</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部（室）（</w:t>
      </w:r>
      <w:r>
        <w:rPr>
          <w:rFonts w:hint="eastAsia" w:ascii="仿宋" w:hAnsi="仿宋" w:eastAsia="仿宋" w:cs="仿宋_GB2312"/>
          <w:sz w:val="32"/>
          <w:szCs w:val="32"/>
          <w:lang w:eastAsia="zh-CN"/>
        </w:rPr>
        <w:t>综合室</w:t>
      </w:r>
      <w:r>
        <w:rPr>
          <w:rFonts w:hint="eastAsia" w:ascii="仿宋" w:hAnsi="仿宋" w:eastAsia="仿宋" w:cs="仿宋_GB2312"/>
          <w:sz w:val="32"/>
          <w:szCs w:val="32"/>
        </w:rPr>
        <w:t>、</w:t>
      </w:r>
      <w:r>
        <w:rPr>
          <w:rFonts w:hint="eastAsia" w:ascii="仿宋" w:hAnsi="仿宋" w:eastAsia="仿宋" w:cs="仿宋_GB2312"/>
          <w:sz w:val="32"/>
          <w:szCs w:val="32"/>
          <w:lang w:eastAsia="zh-CN"/>
        </w:rPr>
        <w:t>档案室</w:t>
      </w:r>
      <w:r>
        <w:rPr>
          <w:rFonts w:hint="eastAsia" w:ascii="仿宋" w:hAnsi="仿宋" w:eastAsia="仿宋" w:cs="仿宋_GB2312"/>
          <w:sz w:val="32"/>
          <w:szCs w:val="32"/>
        </w:rPr>
        <w:t>、</w:t>
      </w:r>
      <w:r>
        <w:rPr>
          <w:rFonts w:hint="eastAsia" w:ascii="仿宋" w:hAnsi="仿宋" w:eastAsia="仿宋" w:cs="仿宋_GB2312"/>
          <w:sz w:val="32"/>
          <w:szCs w:val="32"/>
          <w:lang w:eastAsia="zh-CN"/>
        </w:rPr>
        <w:t>巡察办主任办公室</w:t>
      </w:r>
      <w:r>
        <w:rPr>
          <w:rFonts w:hint="eastAsia" w:ascii="仿宋" w:hAnsi="仿宋" w:eastAsia="仿宋" w:cs="仿宋_GB2312"/>
          <w:sz w:val="32"/>
          <w:szCs w:val="32"/>
        </w:rPr>
        <w:t>、</w:t>
      </w:r>
      <w:r>
        <w:rPr>
          <w:rFonts w:hint="eastAsia" w:ascii="仿宋" w:hAnsi="仿宋" w:eastAsia="仿宋" w:cs="仿宋_GB2312"/>
          <w:sz w:val="32"/>
          <w:szCs w:val="32"/>
          <w:lang w:eastAsia="zh-CN"/>
        </w:rPr>
        <w:t>巡察办副主任办公室</w:t>
      </w:r>
      <w:r>
        <w:rPr>
          <w:rFonts w:hint="eastAsia" w:ascii="仿宋" w:hAnsi="仿宋" w:eastAsia="仿宋" w:cs="仿宋_GB2312"/>
          <w:sz w:val="32"/>
          <w:szCs w:val="32"/>
        </w:rPr>
        <w:t>、第一</w:t>
      </w:r>
      <w:r>
        <w:rPr>
          <w:rFonts w:hint="eastAsia" w:ascii="仿宋" w:hAnsi="仿宋" w:eastAsia="仿宋" w:cs="仿宋_GB2312"/>
          <w:sz w:val="32"/>
          <w:szCs w:val="32"/>
          <w:lang w:eastAsia="zh-CN"/>
        </w:rPr>
        <w:t>巡察组</w:t>
      </w:r>
      <w:r>
        <w:rPr>
          <w:rFonts w:hint="eastAsia" w:ascii="仿宋" w:hAnsi="仿宋" w:eastAsia="仿宋" w:cs="仿宋_GB2312"/>
          <w:sz w:val="32"/>
          <w:szCs w:val="32"/>
        </w:rPr>
        <w:t>、第二</w:t>
      </w:r>
      <w:r>
        <w:rPr>
          <w:rFonts w:hint="eastAsia" w:ascii="仿宋" w:hAnsi="仿宋" w:eastAsia="仿宋" w:cs="仿宋_GB2312"/>
          <w:sz w:val="32"/>
          <w:szCs w:val="32"/>
          <w:lang w:eastAsia="zh-CN"/>
        </w:rPr>
        <w:t>巡察组</w:t>
      </w:r>
      <w:r>
        <w:rPr>
          <w:rFonts w:hint="eastAsia" w:ascii="仿宋" w:hAnsi="仿宋" w:eastAsia="仿宋" w:cs="仿宋_GB2312"/>
          <w:sz w:val="32"/>
          <w:szCs w:val="32"/>
        </w:rPr>
        <w:t>、第三</w:t>
      </w:r>
      <w:r>
        <w:rPr>
          <w:rFonts w:hint="eastAsia" w:ascii="仿宋" w:hAnsi="仿宋" w:eastAsia="仿宋" w:cs="仿宋_GB2312"/>
          <w:sz w:val="32"/>
          <w:szCs w:val="32"/>
          <w:lang w:eastAsia="zh-CN"/>
        </w:rPr>
        <w:t>巡察组</w:t>
      </w:r>
      <w:r>
        <w:rPr>
          <w:rFonts w:hint="eastAsia" w:ascii="仿宋" w:hAnsi="仿宋" w:eastAsia="仿宋" w:cs="仿宋_GB2312"/>
          <w:sz w:val="32"/>
          <w:szCs w:val="32"/>
        </w:rPr>
        <w:t>、第四</w:t>
      </w:r>
      <w:r>
        <w:rPr>
          <w:rFonts w:hint="eastAsia" w:ascii="仿宋" w:hAnsi="仿宋" w:eastAsia="仿宋" w:cs="仿宋_GB2312"/>
          <w:sz w:val="32"/>
          <w:szCs w:val="32"/>
          <w:lang w:eastAsia="zh-CN"/>
        </w:rPr>
        <w:t>巡察组</w:t>
      </w:r>
      <w:r>
        <w:rPr>
          <w:rFonts w:hint="eastAsia" w:ascii="仿宋" w:hAnsi="仿宋" w:eastAsia="仿宋" w:cs="仿宋_GB2312"/>
          <w:sz w:val="32"/>
          <w:szCs w:val="32"/>
        </w:rPr>
        <w:t>），下设事业单位1个（</w:t>
      </w:r>
      <w:r>
        <w:rPr>
          <w:rFonts w:hint="eastAsia" w:ascii="仿宋" w:hAnsi="仿宋" w:eastAsia="仿宋" w:cs="仿宋_GB2312"/>
          <w:sz w:val="32"/>
          <w:szCs w:val="32"/>
          <w:lang w:eastAsia="zh-CN"/>
        </w:rPr>
        <w:t>巡察信息</w:t>
      </w:r>
      <w:r>
        <w:rPr>
          <w:rFonts w:hint="eastAsia" w:ascii="仿宋" w:hAnsi="仿宋" w:eastAsia="仿宋" w:cs="仿宋_GB2312"/>
          <w:sz w:val="32"/>
          <w:szCs w:val="32"/>
        </w:rPr>
        <w:t>中心）。</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（二）机构职能。</w:t>
      </w:r>
    </w:p>
    <w:p>
      <w:pPr>
        <w:spacing w:line="580" w:lineRule="exact"/>
        <w:ind w:firstLine="640" w:firstLineChars="200"/>
        <w:rPr>
          <w:rFonts w:hint="default" w:ascii="仿宋" w:hAnsi="仿宋" w:eastAsia="仿宋" w:cs="仿宋_GB2312"/>
          <w:sz w:val="32"/>
          <w:szCs w:val="32"/>
          <w:lang w:val="en-US" w:eastAsia="zh-CN"/>
        </w:rPr>
      </w:pPr>
      <w:r>
        <w:rPr>
          <w:rFonts w:hint="default" w:ascii="仿宋" w:hAnsi="仿宋" w:eastAsia="仿宋" w:cs="仿宋_GB2312"/>
          <w:sz w:val="32"/>
          <w:szCs w:val="32"/>
          <w:lang w:val="en-US" w:eastAsia="zh-CN"/>
        </w:rPr>
        <w:t>围绕全市中心工作，</w:t>
      </w:r>
      <w:r>
        <w:rPr>
          <w:rFonts w:hint="eastAsia" w:ascii="仿宋" w:hAnsi="仿宋" w:eastAsia="仿宋" w:cs="仿宋_GB2312"/>
          <w:sz w:val="32"/>
          <w:szCs w:val="32"/>
          <w:lang w:val="en-US" w:eastAsia="zh-CN"/>
        </w:rPr>
        <w:t>提升政治站位，强化政治担当，开展政治巡察，</w:t>
      </w:r>
      <w:r>
        <w:rPr>
          <w:rFonts w:hint="default" w:ascii="仿宋" w:hAnsi="仿宋" w:eastAsia="仿宋" w:cs="仿宋_GB2312"/>
          <w:sz w:val="32"/>
          <w:szCs w:val="32"/>
          <w:lang w:val="en-US" w:eastAsia="zh-CN"/>
        </w:rPr>
        <w:t>认真履行</w:t>
      </w:r>
      <w:r>
        <w:rPr>
          <w:rFonts w:hint="eastAsia" w:ascii="仿宋" w:hAnsi="仿宋" w:eastAsia="仿宋" w:cs="仿宋_GB2312"/>
          <w:sz w:val="32"/>
          <w:szCs w:val="32"/>
          <w:lang w:val="en-US" w:eastAsia="zh-CN"/>
        </w:rPr>
        <w:t>巡察</w:t>
      </w:r>
      <w:r>
        <w:rPr>
          <w:rFonts w:hint="default" w:ascii="仿宋" w:hAnsi="仿宋" w:eastAsia="仿宋" w:cs="仿宋_GB2312"/>
          <w:sz w:val="32"/>
          <w:szCs w:val="32"/>
          <w:lang w:val="en-US" w:eastAsia="zh-CN"/>
        </w:rPr>
        <w:t>职能。具体</w:t>
      </w:r>
      <w:r>
        <w:rPr>
          <w:rFonts w:hint="eastAsia" w:ascii="仿宋" w:hAnsi="仿宋" w:eastAsia="仿宋" w:cs="仿宋_GB2312"/>
          <w:sz w:val="32"/>
          <w:szCs w:val="32"/>
          <w:lang w:val="en-US" w:eastAsia="zh-CN"/>
        </w:rPr>
        <w:t>为</w:t>
      </w:r>
      <w:r>
        <w:rPr>
          <w:rFonts w:hint="default" w:ascii="仿宋" w:hAnsi="仿宋" w:eastAsia="仿宋" w:cs="仿宋_GB2312"/>
          <w:sz w:val="32"/>
          <w:szCs w:val="32"/>
          <w:lang w:val="en-US" w:eastAsia="zh-CN"/>
        </w:rPr>
        <w:t>：向达州市委巡察工作领导小组办公室报送巡察工作规划、年度计划、年度巡察工作总结、重要情况和信息等</w:t>
      </w:r>
      <w:r>
        <w:rPr>
          <w:rFonts w:hint="eastAsia" w:ascii="仿宋" w:hAnsi="仿宋" w:eastAsia="仿宋" w:cs="仿宋_GB2312"/>
          <w:sz w:val="32"/>
          <w:szCs w:val="32"/>
          <w:lang w:val="en-US" w:eastAsia="zh-CN"/>
        </w:rPr>
        <w:t>；</w:t>
      </w:r>
      <w:r>
        <w:rPr>
          <w:rFonts w:hint="default" w:ascii="仿宋" w:hAnsi="仿宋" w:eastAsia="仿宋" w:cs="仿宋_GB2312"/>
          <w:sz w:val="32"/>
          <w:szCs w:val="32"/>
          <w:lang w:val="en-US" w:eastAsia="zh-CN"/>
        </w:rPr>
        <w:t>向万源市委巡察工作领导小组报告工作情况，传达贯彻万源市委巡察工作领导小组的决策和部署</w:t>
      </w:r>
      <w:r>
        <w:rPr>
          <w:rFonts w:hint="eastAsia" w:ascii="仿宋" w:hAnsi="仿宋" w:eastAsia="仿宋" w:cs="仿宋_GB2312"/>
          <w:sz w:val="32"/>
          <w:szCs w:val="32"/>
          <w:lang w:val="en-US" w:eastAsia="zh-CN"/>
        </w:rPr>
        <w:t>；</w:t>
      </w:r>
      <w:r>
        <w:rPr>
          <w:rFonts w:hint="default" w:ascii="仿宋" w:hAnsi="仿宋" w:eastAsia="仿宋" w:cs="仿宋_GB2312"/>
          <w:sz w:val="32"/>
          <w:szCs w:val="32"/>
          <w:lang w:val="en-US" w:eastAsia="zh-CN"/>
        </w:rPr>
        <w:t>统筹、协调、指导巡察组开展工作</w:t>
      </w:r>
      <w:r>
        <w:rPr>
          <w:rFonts w:hint="eastAsia" w:ascii="仿宋" w:hAnsi="仿宋" w:eastAsia="仿宋" w:cs="仿宋_GB2312"/>
          <w:sz w:val="32"/>
          <w:szCs w:val="32"/>
          <w:lang w:val="en-US" w:eastAsia="zh-CN"/>
        </w:rPr>
        <w:t>；</w:t>
      </w:r>
      <w:r>
        <w:rPr>
          <w:rFonts w:hint="default" w:ascii="仿宋" w:hAnsi="仿宋" w:eastAsia="仿宋" w:cs="仿宋_GB2312"/>
          <w:sz w:val="32"/>
          <w:szCs w:val="32"/>
          <w:lang w:val="en-US" w:eastAsia="zh-CN"/>
        </w:rPr>
        <w:t>承担政策研究、制度建设等工作</w:t>
      </w:r>
      <w:r>
        <w:rPr>
          <w:rFonts w:hint="eastAsia" w:ascii="仿宋" w:hAnsi="仿宋" w:eastAsia="仿宋" w:cs="仿宋_GB2312"/>
          <w:sz w:val="32"/>
          <w:szCs w:val="32"/>
          <w:lang w:val="en-US" w:eastAsia="zh-CN"/>
        </w:rPr>
        <w:t>；</w:t>
      </w:r>
      <w:r>
        <w:rPr>
          <w:rFonts w:hint="default" w:ascii="仿宋" w:hAnsi="仿宋" w:eastAsia="仿宋" w:cs="仿宋_GB2312"/>
          <w:sz w:val="32"/>
          <w:szCs w:val="32"/>
          <w:lang w:val="en-US" w:eastAsia="zh-CN"/>
        </w:rPr>
        <w:t>对万源市委和万源市委巡察工作领导小组决定的事项进行督办</w:t>
      </w:r>
      <w:r>
        <w:rPr>
          <w:rFonts w:hint="eastAsia" w:ascii="仿宋" w:hAnsi="仿宋" w:eastAsia="仿宋" w:cs="仿宋_GB2312"/>
          <w:sz w:val="32"/>
          <w:szCs w:val="32"/>
          <w:lang w:val="en-US" w:eastAsia="zh-CN"/>
        </w:rPr>
        <w:t>；</w:t>
      </w:r>
      <w:r>
        <w:rPr>
          <w:rFonts w:hint="default" w:ascii="仿宋" w:hAnsi="仿宋" w:eastAsia="仿宋" w:cs="仿宋_GB2312"/>
          <w:sz w:val="32"/>
          <w:szCs w:val="32"/>
          <w:lang w:val="en-US" w:eastAsia="zh-CN"/>
        </w:rPr>
        <w:t>配合万源市纪委、万源市委组织部及有关部门对巡察工作人员进行培训、考核、监督和管理</w:t>
      </w:r>
      <w:r>
        <w:rPr>
          <w:rFonts w:hint="eastAsia" w:ascii="仿宋" w:hAnsi="仿宋" w:eastAsia="仿宋" w:cs="仿宋_GB2312"/>
          <w:sz w:val="32"/>
          <w:szCs w:val="32"/>
          <w:lang w:val="en-US" w:eastAsia="zh-CN"/>
        </w:rPr>
        <w:t>；</w:t>
      </w:r>
      <w:r>
        <w:rPr>
          <w:rFonts w:hint="default" w:ascii="仿宋" w:hAnsi="仿宋" w:eastAsia="仿宋" w:cs="仿宋_GB2312"/>
          <w:sz w:val="32"/>
          <w:szCs w:val="32"/>
          <w:lang w:val="en-US" w:eastAsia="zh-CN"/>
        </w:rPr>
        <w:t>健全与纪检监察机关、政法机关、审计机关和组织、信访等部门的联系机制，负责与其沟通衔接</w:t>
      </w:r>
      <w:r>
        <w:rPr>
          <w:rFonts w:hint="eastAsia" w:ascii="仿宋" w:hAnsi="仿宋" w:eastAsia="仿宋" w:cs="仿宋_GB2312"/>
          <w:sz w:val="32"/>
          <w:szCs w:val="32"/>
          <w:lang w:val="en-US" w:eastAsia="zh-CN"/>
        </w:rPr>
        <w:t>；</w:t>
      </w:r>
      <w:r>
        <w:rPr>
          <w:rFonts w:hint="default" w:ascii="仿宋" w:hAnsi="仿宋" w:eastAsia="仿宋" w:cs="仿宋_GB2312"/>
          <w:sz w:val="32"/>
          <w:szCs w:val="32"/>
          <w:lang w:val="en-US" w:eastAsia="zh-CN"/>
        </w:rPr>
        <w:t>办理巡察工作领导小组和上级巡视或者巡察工作领导小组交办的其他事项。</w:t>
      </w:r>
    </w:p>
    <w:p>
      <w:pPr>
        <w:spacing w:line="580" w:lineRule="exact"/>
        <w:ind w:firstLine="640" w:firstLineChars="200"/>
        <w:rPr>
          <w:rFonts w:hint="eastAsia" w:ascii="仿宋" w:hAnsi="仿宋" w:eastAsia="仿宋" w:cs="仿宋_GB2312"/>
          <w:sz w:val="32"/>
          <w:szCs w:val="32"/>
        </w:rPr>
      </w:pP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（三）人员概况。</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lang w:eastAsia="zh-CN"/>
        </w:rPr>
        <w:t>核定</w:t>
      </w:r>
      <w:bookmarkStart w:id="75" w:name="_GoBack"/>
      <w:bookmarkEnd w:id="75"/>
      <w:r>
        <w:rPr>
          <w:rFonts w:hint="eastAsia" w:ascii="仿宋" w:hAnsi="仿宋" w:eastAsia="仿宋" w:cs="仿宋_GB2312"/>
          <w:sz w:val="32"/>
          <w:szCs w:val="32"/>
        </w:rPr>
        <w:t>编制数</w:t>
      </w:r>
      <w:r>
        <w:rPr>
          <w:rFonts w:hint="eastAsia" w:ascii="仿宋" w:hAnsi="仿宋" w:eastAsia="仿宋" w:cs="仿宋_GB2312"/>
          <w:sz w:val="32"/>
          <w:szCs w:val="32"/>
          <w:lang w:val="en-US" w:eastAsia="zh-CN"/>
        </w:rPr>
        <w:t>17</w:t>
      </w:r>
      <w:r>
        <w:rPr>
          <w:rFonts w:hint="eastAsia" w:ascii="仿宋" w:hAnsi="仿宋" w:eastAsia="仿宋" w:cs="仿宋_GB2312"/>
          <w:sz w:val="32"/>
          <w:szCs w:val="32"/>
        </w:rPr>
        <w:t>名，其中行政编制</w:t>
      </w:r>
      <w:r>
        <w:rPr>
          <w:rFonts w:hint="eastAsia" w:ascii="仿宋" w:hAnsi="仿宋" w:eastAsia="仿宋" w:cs="仿宋_GB2312"/>
          <w:sz w:val="32"/>
          <w:szCs w:val="32"/>
          <w:lang w:val="en-US" w:eastAsia="zh-CN"/>
        </w:rPr>
        <w:t>10</w:t>
      </w:r>
      <w:r>
        <w:rPr>
          <w:rFonts w:hint="eastAsia" w:ascii="仿宋" w:hAnsi="仿宋" w:eastAsia="仿宋" w:cs="仿宋_GB2312"/>
          <w:sz w:val="32"/>
          <w:szCs w:val="32"/>
        </w:rPr>
        <w:t>名，事业编制7名,现有人员行政编制</w:t>
      </w:r>
      <w:r>
        <w:rPr>
          <w:rFonts w:hint="eastAsia" w:ascii="仿宋" w:hAnsi="仿宋" w:eastAsia="仿宋" w:cs="仿宋_GB2312"/>
          <w:sz w:val="32"/>
          <w:szCs w:val="32"/>
          <w:lang w:val="en-US" w:eastAsia="zh-CN"/>
        </w:rPr>
        <w:t>6</w:t>
      </w:r>
      <w:r>
        <w:rPr>
          <w:rFonts w:hint="eastAsia" w:ascii="仿宋" w:hAnsi="仿宋" w:eastAsia="仿宋" w:cs="仿宋_GB2312"/>
          <w:sz w:val="32"/>
          <w:szCs w:val="32"/>
        </w:rPr>
        <w:t>名，事业编制</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名。</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二、部门财政资金收支情况</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（一）部门财政资金收入情况。</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2018年本年</w:t>
      </w:r>
      <w:r>
        <w:rPr>
          <w:rFonts w:hint="eastAsia" w:ascii="仿宋" w:hAnsi="仿宋" w:eastAsia="仿宋" w:cs="仿宋_GB2312"/>
          <w:sz w:val="32"/>
          <w:szCs w:val="32"/>
          <w:lang w:eastAsia="zh-CN"/>
        </w:rPr>
        <w:t>财政资金</w:t>
      </w:r>
      <w:r>
        <w:rPr>
          <w:rFonts w:hint="eastAsia" w:ascii="仿宋" w:hAnsi="仿宋" w:eastAsia="仿宋" w:cs="仿宋_GB2312"/>
          <w:sz w:val="32"/>
          <w:szCs w:val="32"/>
        </w:rPr>
        <w:t>收入合计</w:t>
      </w:r>
      <w:r>
        <w:rPr>
          <w:rFonts w:hint="eastAsia" w:ascii="仿宋" w:hAnsi="仿宋" w:eastAsia="仿宋" w:cs="仿宋_GB2312"/>
          <w:sz w:val="32"/>
          <w:szCs w:val="32"/>
          <w:lang w:val="en-US" w:eastAsia="zh-CN"/>
        </w:rPr>
        <w:t>74.97</w:t>
      </w:r>
      <w:r>
        <w:rPr>
          <w:rFonts w:hint="eastAsia" w:ascii="仿宋" w:hAnsi="仿宋" w:eastAsia="仿宋" w:cs="仿宋_GB2312"/>
          <w:sz w:val="32"/>
          <w:szCs w:val="32"/>
        </w:rPr>
        <w:t>万元，其中：一般公共预算财政拨款收入</w:t>
      </w:r>
      <w:r>
        <w:rPr>
          <w:rFonts w:hint="eastAsia" w:ascii="仿宋" w:hAnsi="仿宋" w:eastAsia="仿宋" w:cs="仿宋_GB2312"/>
          <w:sz w:val="32"/>
          <w:szCs w:val="32"/>
          <w:lang w:val="en-US" w:eastAsia="zh-CN"/>
        </w:rPr>
        <w:t>74</w:t>
      </w:r>
      <w:r>
        <w:rPr>
          <w:rFonts w:hint="eastAsia" w:ascii="仿宋" w:hAnsi="仿宋" w:eastAsia="仿宋" w:cs="仿宋_GB2312"/>
          <w:sz w:val="32"/>
          <w:szCs w:val="32"/>
        </w:rPr>
        <w:t>.</w:t>
      </w:r>
      <w:r>
        <w:rPr>
          <w:rFonts w:hint="eastAsia" w:ascii="仿宋" w:hAnsi="仿宋" w:eastAsia="仿宋" w:cs="仿宋_GB2312"/>
          <w:sz w:val="32"/>
          <w:szCs w:val="32"/>
          <w:lang w:val="en-US" w:eastAsia="zh-CN"/>
        </w:rPr>
        <w:t>97</w:t>
      </w:r>
      <w:r>
        <w:rPr>
          <w:rFonts w:hint="eastAsia" w:ascii="仿宋" w:hAnsi="仿宋" w:eastAsia="仿宋" w:cs="仿宋_GB2312"/>
          <w:sz w:val="32"/>
          <w:szCs w:val="32"/>
        </w:rPr>
        <w:t>万元，占100%；政府性基金预算财政拨款收入0万元，占0%；国有资本经营预算财政拨款收入0万元，占0%；事业收入0万元，占0%；经营收入0万元，占0%；附属单位上缴收入0万元，占0%；其他收入0万元，占0%。</w:t>
      </w:r>
    </w:p>
    <w:p>
      <w:pPr>
        <w:numPr>
          <w:ilvl w:val="0"/>
          <w:numId w:val="6"/>
        </w:num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部门财政资金支出情况。</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2018年</w:t>
      </w:r>
      <w:r>
        <w:rPr>
          <w:rFonts w:hint="eastAsia" w:ascii="仿宋" w:hAnsi="仿宋" w:eastAsia="仿宋" w:cs="仿宋_GB2312"/>
          <w:sz w:val="32"/>
          <w:szCs w:val="32"/>
          <w:lang w:eastAsia="zh-CN"/>
        </w:rPr>
        <w:t>本年</w:t>
      </w:r>
      <w:r>
        <w:rPr>
          <w:rFonts w:hint="eastAsia" w:ascii="仿宋" w:hAnsi="仿宋" w:eastAsia="仿宋" w:cs="仿宋_GB2312"/>
          <w:sz w:val="32"/>
          <w:szCs w:val="32"/>
        </w:rPr>
        <w:t>财政</w:t>
      </w:r>
      <w:r>
        <w:rPr>
          <w:rFonts w:hint="eastAsia" w:ascii="仿宋" w:hAnsi="仿宋" w:eastAsia="仿宋" w:cs="仿宋_GB2312"/>
          <w:sz w:val="32"/>
          <w:szCs w:val="32"/>
          <w:lang w:eastAsia="zh-CN"/>
        </w:rPr>
        <w:t>资金</w:t>
      </w:r>
      <w:r>
        <w:rPr>
          <w:rFonts w:hint="eastAsia" w:ascii="仿宋" w:hAnsi="仿宋" w:eastAsia="仿宋" w:cs="仿宋_GB2312"/>
          <w:sz w:val="32"/>
          <w:szCs w:val="32"/>
        </w:rPr>
        <w:t>支出</w:t>
      </w:r>
      <w:r>
        <w:rPr>
          <w:rFonts w:hint="eastAsia" w:ascii="仿宋" w:hAnsi="仿宋" w:eastAsia="仿宋" w:cs="仿宋_GB2312"/>
          <w:sz w:val="32"/>
          <w:szCs w:val="32"/>
          <w:lang w:eastAsia="zh-CN"/>
        </w:rPr>
        <w:t>合计</w:t>
      </w:r>
      <w:r>
        <w:rPr>
          <w:rFonts w:hint="eastAsia" w:ascii="仿宋" w:hAnsi="仿宋" w:eastAsia="仿宋" w:cs="仿宋_GB2312"/>
          <w:sz w:val="32"/>
          <w:szCs w:val="32"/>
          <w:lang w:val="en-US" w:eastAsia="zh-CN"/>
        </w:rPr>
        <w:t>74.97</w:t>
      </w:r>
      <w:r>
        <w:rPr>
          <w:rFonts w:hint="eastAsia" w:ascii="仿宋" w:hAnsi="仿宋" w:eastAsia="仿宋" w:cs="仿宋_GB2312"/>
          <w:sz w:val="32"/>
          <w:szCs w:val="32"/>
        </w:rPr>
        <w:t>万元，主要用于以下方面:一般公共服务（类）支出</w:t>
      </w:r>
      <w:r>
        <w:rPr>
          <w:rFonts w:hint="eastAsia" w:ascii="仿宋" w:hAnsi="仿宋" w:eastAsia="仿宋" w:cs="仿宋_GB2312"/>
          <w:sz w:val="32"/>
          <w:szCs w:val="32"/>
          <w:lang w:val="en-US" w:eastAsia="zh-CN"/>
        </w:rPr>
        <w:t>66.59</w:t>
      </w:r>
      <w:r>
        <w:rPr>
          <w:rFonts w:hint="eastAsia" w:ascii="仿宋" w:hAnsi="仿宋" w:eastAsia="仿宋" w:cs="仿宋_GB2312"/>
          <w:sz w:val="32"/>
          <w:szCs w:val="32"/>
        </w:rPr>
        <w:t>万元，占88.</w:t>
      </w:r>
      <w:r>
        <w:rPr>
          <w:rFonts w:hint="eastAsia" w:ascii="仿宋" w:hAnsi="仿宋" w:eastAsia="仿宋" w:cs="仿宋_GB2312"/>
          <w:sz w:val="32"/>
          <w:szCs w:val="32"/>
          <w:lang w:val="en-US" w:eastAsia="zh-CN"/>
        </w:rPr>
        <w:t>82</w:t>
      </w:r>
      <w:r>
        <w:rPr>
          <w:rFonts w:hint="eastAsia" w:ascii="仿宋" w:hAnsi="仿宋" w:eastAsia="仿宋" w:cs="仿宋_GB2312"/>
          <w:sz w:val="32"/>
          <w:szCs w:val="32"/>
        </w:rPr>
        <w:t>%；医疗卫生支出</w:t>
      </w:r>
      <w:r>
        <w:rPr>
          <w:rFonts w:hint="eastAsia" w:ascii="仿宋" w:hAnsi="仿宋" w:eastAsia="仿宋" w:cs="仿宋_GB2312"/>
          <w:sz w:val="32"/>
          <w:szCs w:val="32"/>
          <w:lang w:val="en-US" w:eastAsia="zh-CN"/>
        </w:rPr>
        <w:t>3.03</w:t>
      </w:r>
      <w:r>
        <w:rPr>
          <w:rFonts w:hint="eastAsia" w:ascii="仿宋" w:hAnsi="仿宋" w:eastAsia="仿宋" w:cs="仿宋_GB2312"/>
          <w:sz w:val="32"/>
          <w:szCs w:val="32"/>
        </w:rPr>
        <w:t>万元，占4.2%；住房保障支出</w:t>
      </w:r>
      <w:r>
        <w:rPr>
          <w:rFonts w:hint="eastAsia" w:ascii="仿宋" w:hAnsi="仿宋" w:eastAsia="仿宋" w:cs="仿宋_GB2312"/>
          <w:sz w:val="32"/>
          <w:szCs w:val="32"/>
          <w:lang w:val="en-US" w:eastAsia="zh-CN"/>
        </w:rPr>
        <w:t>5.35</w:t>
      </w:r>
      <w:r>
        <w:rPr>
          <w:rFonts w:hint="eastAsia" w:ascii="仿宋" w:hAnsi="仿宋" w:eastAsia="仿宋" w:cs="仿宋_GB2312"/>
          <w:sz w:val="32"/>
          <w:szCs w:val="32"/>
        </w:rPr>
        <w:t>万元，占7.</w:t>
      </w:r>
      <w:r>
        <w:rPr>
          <w:rFonts w:hint="eastAsia" w:ascii="仿宋" w:hAnsi="仿宋" w:eastAsia="仿宋" w:cs="仿宋_GB2312"/>
          <w:sz w:val="32"/>
          <w:szCs w:val="32"/>
          <w:lang w:val="en-US" w:eastAsia="zh-CN"/>
        </w:rPr>
        <w:t>13</w:t>
      </w:r>
      <w:r>
        <w:rPr>
          <w:rFonts w:hint="eastAsia" w:ascii="仿宋" w:hAnsi="仿宋" w:eastAsia="仿宋" w:cs="仿宋_GB2312"/>
          <w:sz w:val="32"/>
          <w:szCs w:val="32"/>
        </w:rPr>
        <w:t>%。</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三、部门整体预算绩效管理情况（根据适用指标体系进行调整）</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（一）部门预算管理。</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1.重大预算事项决策情况</w:t>
      </w:r>
      <w:r>
        <w:rPr>
          <w:rFonts w:hint="eastAsia" w:ascii="仿宋" w:hAnsi="仿宋" w:eastAsia="仿宋" w:cs="仿宋_GB2312"/>
          <w:sz w:val="32"/>
          <w:szCs w:val="32"/>
        </w:rPr>
        <w:tab/>
      </w:r>
      <w:r>
        <w:rPr>
          <w:rFonts w:hint="eastAsia" w:ascii="仿宋" w:hAnsi="仿宋" w:eastAsia="仿宋" w:cs="仿宋_GB2312"/>
          <w:sz w:val="32"/>
          <w:szCs w:val="32"/>
        </w:rPr>
        <w:t>100%</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2.项目支出绩效目标设定比例</w:t>
      </w:r>
      <w:r>
        <w:rPr>
          <w:rFonts w:hint="eastAsia" w:ascii="仿宋" w:hAnsi="仿宋" w:eastAsia="仿宋" w:cs="仿宋_GB2312"/>
          <w:sz w:val="32"/>
          <w:szCs w:val="32"/>
        </w:rPr>
        <w:tab/>
      </w:r>
      <w:r>
        <w:rPr>
          <w:rFonts w:hint="eastAsia" w:ascii="仿宋" w:hAnsi="仿宋" w:eastAsia="仿宋" w:cs="仿宋_GB2312"/>
          <w:sz w:val="32"/>
          <w:szCs w:val="32"/>
        </w:rPr>
        <w:t>不适用</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3.单位整体支出绩效目标设定比例</w:t>
      </w:r>
      <w:r>
        <w:rPr>
          <w:rFonts w:hint="eastAsia" w:ascii="仿宋" w:hAnsi="仿宋" w:eastAsia="仿宋" w:cs="仿宋_GB2312"/>
          <w:sz w:val="32"/>
          <w:szCs w:val="32"/>
        </w:rPr>
        <w:tab/>
      </w:r>
      <w:r>
        <w:rPr>
          <w:rFonts w:hint="eastAsia" w:ascii="仿宋" w:hAnsi="仿宋" w:eastAsia="仿宋" w:cs="仿宋_GB2312"/>
          <w:sz w:val="32"/>
          <w:szCs w:val="32"/>
        </w:rPr>
        <w:t>100%</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4.预算批复细化程度</w:t>
      </w:r>
      <w:r>
        <w:rPr>
          <w:rFonts w:hint="eastAsia" w:ascii="仿宋" w:hAnsi="仿宋" w:eastAsia="仿宋" w:cs="仿宋_GB2312"/>
          <w:sz w:val="32"/>
          <w:szCs w:val="32"/>
        </w:rPr>
        <w:tab/>
      </w:r>
      <w:r>
        <w:rPr>
          <w:rFonts w:hint="eastAsia" w:ascii="仿宋" w:hAnsi="仿宋" w:eastAsia="仿宋" w:cs="仿宋_GB2312"/>
          <w:sz w:val="32"/>
          <w:szCs w:val="32"/>
        </w:rPr>
        <w:t>100%</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5.预算执行管控程度</w:t>
      </w:r>
      <w:r>
        <w:rPr>
          <w:rFonts w:hint="eastAsia" w:ascii="仿宋" w:hAnsi="仿宋" w:eastAsia="仿宋" w:cs="仿宋_GB2312"/>
          <w:sz w:val="32"/>
          <w:szCs w:val="32"/>
        </w:rPr>
        <w:tab/>
      </w:r>
      <w:r>
        <w:rPr>
          <w:rFonts w:hint="eastAsia" w:ascii="仿宋" w:hAnsi="仿宋" w:eastAsia="仿宋" w:cs="仿宋_GB2312"/>
          <w:sz w:val="32"/>
          <w:szCs w:val="32"/>
        </w:rPr>
        <w:t>不适用</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6.项目支出绩效目标完成情况</w:t>
      </w:r>
      <w:r>
        <w:rPr>
          <w:rFonts w:hint="eastAsia" w:ascii="仿宋" w:hAnsi="仿宋" w:eastAsia="仿宋" w:cs="仿宋_GB2312"/>
          <w:sz w:val="32"/>
          <w:szCs w:val="32"/>
        </w:rPr>
        <w:tab/>
      </w:r>
      <w:r>
        <w:rPr>
          <w:rFonts w:hint="eastAsia" w:ascii="仿宋" w:hAnsi="仿宋" w:eastAsia="仿宋" w:cs="仿宋_GB2312"/>
          <w:sz w:val="32"/>
          <w:szCs w:val="32"/>
        </w:rPr>
        <w:t>不适用。</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（二）专项预算管理。</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eastAsia="zh-CN"/>
        </w:rPr>
        <w:t>不适用。</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（三）结果应用情况。</w:t>
      </w:r>
    </w:p>
    <w:tbl>
      <w:tblPr>
        <w:tblStyle w:val="12"/>
        <w:tblW w:w="94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60"/>
        <w:gridCol w:w="630"/>
        <w:gridCol w:w="1155"/>
        <w:gridCol w:w="495"/>
        <w:gridCol w:w="1035"/>
        <w:gridCol w:w="585"/>
        <w:gridCol w:w="840"/>
        <w:gridCol w:w="540"/>
        <w:gridCol w:w="1410"/>
        <w:gridCol w:w="1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评价指标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计算值</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指标说明</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名称</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权重</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名称</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权重</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名称</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权重</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预算编制及执行情况</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预算编制的准确完整性</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财政拨款收入预决算差异率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财政拨款收入：（决算数－年初预算数）/年初预算数*100%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差异率＝0，得满分；差异率（绝对值）﹥0时，每增加5%（含）扣减0.5分，减至0分为止。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非财政拨款收入预决算差异率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非财政拨款收入：（决算数－年初预算数）/年初预算数*100%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差异率＝0，得满分；差异率（绝对值）﹥0时，每增加5%（含）扣减0.5分，减至0分为止。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2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年初结转和结余预决算差异率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年初结转和结余：（决算数－年初预算数）/年初预算数*100%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差异率＝0，得满分；差异率（绝对值）≤100时，扣1分，差异率（绝对值）﹥100时，每增加10%（含）扣减0.5分，减至0分为止。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人员经费预决算差异率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人员经费：（决算数－年初预算数）/年初预算数*100%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差异率＝0，得满分；差异率（绝对值）﹥0时，每增加5%（含）扣减0.5分，减至0分为止。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公用经费预决算差异率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公用经费：（决算数－年初预算数）/年初预算数*100%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差异率＝0，得满分；差异率（绝对值）﹥0时，每增加5%（含）扣减0.5分，减至0分为止。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预算执行的有效性</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人员经费预算执行差异率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人员经费：（决算数－调整预算数）/调整预算数*100%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差异率＝0，得满分；差异率（绝对值）﹥0时，每增加5%（含）扣减0.5分，减至0分为止。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公用经费预算执行差异率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公用经费：（决算数－调整预算数）/调整预算数*100%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差异率＝0，得满分；差异率（绝对值）﹥0时，每增加5%（含）扣减0.5分，减至0分为止。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财政拨款结转和结余率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财政拨款结转和结余：（本年年末数/支出调整预算数总计）*100%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结转和结余率=0，得满分；结转和结余率（绝对值）﹥0时，每增加5%（含）扣减0.5分，减至0分为止。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财政拨款结转和结余上下年变动率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财政拨款结转和结余：（本年年末数－上年年末数）/上年年末数*100%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变动率&lt;0，得满分；变动率≥0时，每增加5%（含）扣减0.5分，减至0分为止。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财政收回存量资金占上年财政拨款结转和结余比重</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财政收回存量资金：（财政收回存量资金数/上年财政拨款结转和结余数）*100%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比重＝0，得满分；比重（绝对值）﹥0时，每增加5%（含）扣减0.5分，减至0分为止。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“三公”经费支出预决算差异率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“三公”经费：（决算数－年初预算数/年初预算数）*100%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差异率≤0，得满分；差异率（绝对值）﹥0时，每增加5%（含）扣减1分，减至0分为止。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预算编制及执行的规范性</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项目支出中开支在职人员及离退休经费比重</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财政拨款项目支出：（工资福利支出+离休费+退休费）/项目支出合计*100%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比重＝0，得满分；比重﹥0时，每增加1%（含）扣减0.5分，减至0分为止。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财务状况</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资产状况</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资产类往来款变动率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应收账款+预付账款+其他应收款：（本年年末数－上年年末数）/上年年末数*100%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变动率≤0，得满分；变动率﹥0时，每增加5%（含）扣减0.5分，减至0分为止。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8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负债状况</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负债类往来款变动率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应付账款+预收账款+其他应付款+长期应付款：（本年年末数－上年年末数）/上年年末数*100%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变动率≤0，得满分；变动率﹥0时，每增加5%（含）扣减0.5分，减至0分为止。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事业单位借款变动率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短期借款+长期借款：（本年年末数－上年年末数）/上年年末数*100%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变动率≤0，得满分；变动率﹥0时，每增加5%（含）扣减0.5分，减至0分为止。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人员情况</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在职人员控制</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在职人员控制率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74.47</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在职人员数：（在职人员数/编制数）*100%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控制率≤100，得满分；控制率每超1%扣减0.5分，减至0分为止。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财政拨款（补助）人员控制</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一般公共预算财政拨款（补助）人员增减率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一般公共预算拨款（补助）开支在职人员数：（本年数－上年数）/上年数*100%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增减率≤0，得满分；在职人员控制率﹥100%时，增减率﹥0,扣减1分。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其他人员控制</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其他人员增减率</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其他人员数：（本年数－上年数）/上年数*100%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增减率≤0，得满分；增减率﹥0,扣减1分。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95.5</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bl>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四、评价结论及建议</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（一）评价结论。</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一是制定指导各部门建立和实施内部控制的基本制度。二是根据基本制度以及职责范围，结合单位廉政风险防控制度制定法规及政策风险、预算编制及执行风险、机关运转及管理风险(含公共关系、信息管理、岗位利益冲突)等风险内部控制办法。三是各部门根据基本制度和风险内部控制办法，在查找本单位风险并定级、完善工作流程、界定各环节各岗位责任的基础上制定内部控制操作规程。四是制订内部控制专项检查办法和内部控制考核评价指标体系，推动完善人事管理、资产财务管理、内部审计等内部控制制度，进一步健全财政内部控制制度体系。</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（二）存在问题。</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一是结合财政管理一体化信息系统和办公自动化系统建设，将基本制度和相应办法提出的内控理念、控制活动和控制措施固化在相关信息系统中，通过授权控制和流程控制防范业务风险，实现内部控制的程序化、常态化。二是组织人员参加省市组织的内控专题培训，增强内部控制制度建设人员队伍素质，切实推动财政系统内控机制落实。三是组织各部门开展内控日常检查，汇总分析各部门内部控制中的新情况。四是组织内控有效性专项检查和考核评价，督促各部门切实贯彻落实内部控制制度。</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（三）改进建议。</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强化责任担当。要坚持“一岗双责”、“一案双查”，各部门负责人要牢固树立内控理念，积极引导干部职工将内控意识贯穿于日常工作中，由“要我内控”变为“我要内控”，在部门(中心)内部营造良好的内控氛围。</w:t>
      </w:r>
    </w:p>
    <w:p>
      <w:pPr>
        <w:widowControl/>
        <w:jc w:val="left"/>
        <w:rPr>
          <w:rFonts w:ascii="仿宋_GB2312" w:hAnsi="仿宋_GB2312" w:eastAsia="仿宋_GB2312" w:cs="仿宋_GB2312"/>
          <w:sz w:val="32"/>
          <w:szCs w:val="32"/>
        </w:rPr>
      </w:pPr>
      <w:r>
        <w:rPr>
          <w:rFonts w:ascii="仿宋_GB2312" w:hAnsi="仿宋_GB2312" w:eastAsia="仿宋_GB2312" w:cs="仿宋_GB2312"/>
          <w:sz w:val="32"/>
          <w:szCs w:val="32"/>
        </w:rPr>
        <w:br w:type="page"/>
      </w:r>
    </w:p>
    <w:p>
      <w:pPr>
        <w:spacing w:line="600" w:lineRule="exact"/>
        <w:jc w:val="center"/>
        <w:outlineLvl w:val="0"/>
        <w:rPr>
          <w:rStyle w:val="16"/>
          <w:rFonts w:ascii="黑体" w:hAnsi="黑体" w:eastAsia="黑体"/>
          <w:b w:val="0"/>
        </w:rPr>
      </w:pPr>
      <w:bookmarkStart w:id="61" w:name="_Toc15396618"/>
      <w:r>
        <w:rPr>
          <w:rFonts w:hint="eastAsia" w:ascii="黑体" w:hAnsi="黑体" w:eastAsia="黑体"/>
          <w:color w:val="000000"/>
          <w:sz w:val="44"/>
          <w:szCs w:val="44"/>
        </w:rPr>
        <w:t>第</w:t>
      </w:r>
      <w:r>
        <w:rPr>
          <w:rStyle w:val="16"/>
          <w:rFonts w:hint="eastAsia" w:ascii="黑体" w:hAnsi="黑体" w:eastAsia="黑体"/>
          <w:b w:val="0"/>
        </w:rPr>
        <w:t>五部分</w:t>
      </w:r>
      <w:r>
        <w:rPr>
          <w:rStyle w:val="16"/>
          <w:rFonts w:ascii="黑体" w:hAnsi="黑体" w:eastAsia="黑体"/>
          <w:b w:val="0"/>
        </w:rPr>
        <w:t xml:space="preserve"> </w:t>
      </w:r>
      <w:r>
        <w:rPr>
          <w:rStyle w:val="16"/>
          <w:rFonts w:hint="eastAsia" w:ascii="黑体" w:hAnsi="黑体" w:eastAsia="黑体"/>
          <w:b w:val="0"/>
        </w:rPr>
        <w:t>附表</w:t>
      </w:r>
      <w:bookmarkEnd w:id="57"/>
      <w:bookmarkEnd w:id="61"/>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2" w:name="_Toc15396619"/>
      <w:r>
        <w:rPr>
          <w:rFonts w:hint="eastAsia" w:ascii="仿宋" w:hAnsi="仿宋" w:eastAsia="仿宋"/>
          <w:b w:val="0"/>
          <w:color w:val="000000"/>
        </w:rPr>
        <w:t>一、收</w:t>
      </w:r>
      <w:r>
        <w:rPr>
          <w:rStyle w:val="17"/>
          <w:rFonts w:hint="eastAsia" w:ascii="仿宋" w:hAnsi="仿宋" w:eastAsia="仿宋"/>
          <w:b w:val="0"/>
          <w:bCs w:val="0"/>
        </w:rPr>
        <w:t>入支出决算总表</w:t>
      </w:r>
      <w:bookmarkEnd w:id="62"/>
    </w:p>
    <w:p>
      <w:pPr>
        <w:pStyle w:val="3"/>
        <w:rPr>
          <w:rFonts w:ascii="仿宋" w:hAnsi="仿宋" w:eastAsia="仿宋"/>
          <w:color w:val="000000"/>
        </w:rPr>
      </w:pPr>
      <w:bookmarkStart w:id="63" w:name="_Toc15396620"/>
      <w:r>
        <w:rPr>
          <w:rFonts w:hint="eastAsia" w:ascii="仿宋" w:hAnsi="仿宋" w:eastAsia="仿宋"/>
          <w:b w:val="0"/>
          <w:color w:val="000000"/>
        </w:rPr>
        <w:t>二、收</w:t>
      </w:r>
      <w:r>
        <w:rPr>
          <w:rStyle w:val="17"/>
          <w:rFonts w:hint="eastAsia" w:ascii="仿宋" w:hAnsi="仿宋" w:eastAsia="仿宋"/>
          <w:b w:val="0"/>
          <w:bCs w:val="0"/>
        </w:rPr>
        <w:t>入总表</w:t>
      </w:r>
      <w:bookmarkEnd w:id="63"/>
    </w:p>
    <w:p>
      <w:pPr>
        <w:pStyle w:val="3"/>
        <w:rPr>
          <w:rFonts w:ascii="仿宋" w:hAnsi="仿宋" w:eastAsia="仿宋"/>
          <w:color w:val="000000"/>
        </w:rPr>
      </w:pPr>
      <w:bookmarkStart w:id="64" w:name="_Toc15396621"/>
      <w:r>
        <w:rPr>
          <w:rStyle w:val="17"/>
          <w:rFonts w:hint="eastAsia" w:ascii="仿宋" w:hAnsi="仿宋" w:eastAsia="仿宋"/>
          <w:b w:val="0"/>
          <w:bCs w:val="0"/>
        </w:rPr>
        <w:t>三、</w:t>
      </w:r>
      <w:r>
        <w:rPr>
          <w:rFonts w:hint="eastAsia" w:ascii="仿宋" w:hAnsi="仿宋" w:eastAsia="仿宋"/>
          <w:b w:val="0"/>
          <w:color w:val="000000"/>
        </w:rPr>
        <w:t>支</w:t>
      </w:r>
      <w:r>
        <w:rPr>
          <w:rStyle w:val="17"/>
          <w:rFonts w:hint="eastAsia" w:ascii="仿宋" w:hAnsi="仿宋" w:eastAsia="仿宋"/>
          <w:b w:val="0"/>
          <w:bCs w:val="0"/>
        </w:rPr>
        <w:t>出总表</w:t>
      </w:r>
      <w:bookmarkEnd w:id="64"/>
    </w:p>
    <w:p>
      <w:pPr>
        <w:pStyle w:val="3"/>
        <w:rPr>
          <w:rFonts w:ascii="仿宋" w:hAnsi="仿宋" w:eastAsia="仿宋"/>
          <w:b w:val="0"/>
          <w:color w:val="000000"/>
        </w:rPr>
      </w:pPr>
      <w:bookmarkStart w:id="65" w:name="_Toc15396622"/>
      <w:r>
        <w:rPr>
          <w:rStyle w:val="17"/>
          <w:rFonts w:hint="eastAsia" w:ascii="仿宋" w:hAnsi="仿宋" w:eastAsia="仿宋"/>
          <w:b w:val="0"/>
          <w:bCs w:val="0"/>
        </w:rPr>
        <w:t>四、</w:t>
      </w:r>
      <w:r>
        <w:rPr>
          <w:rFonts w:hint="eastAsia" w:ascii="仿宋" w:hAnsi="仿宋" w:eastAsia="仿宋"/>
          <w:b w:val="0"/>
          <w:color w:val="000000"/>
        </w:rPr>
        <w:t>财</w:t>
      </w:r>
      <w:r>
        <w:rPr>
          <w:rStyle w:val="17"/>
          <w:rFonts w:hint="eastAsia" w:ascii="仿宋" w:hAnsi="仿宋" w:eastAsia="仿宋"/>
          <w:b w:val="0"/>
          <w:bCs w:val="0"/>
        </w:rPr>
        <w:t>政拨款收入支出决算总表</w:t>
      </w:r>
      <w:bookmarkEnd w:id="65"/>
    </w:p>
    <w:p>
      <w:pPr>
        <w:pStyle w:val="3"/>
        <w:rPr>
          <w:rFonts w:ascii="仿宋" w:hAnsi="仿宋" w:eastAsia="仿宋"/>
          <w:color w:val="000000"/>
        </w:rPr>
      </w:pPr>
      <w:bookmarkStart w:id="66" w:name="_Toc15396623"/>
      <w:r>
        <w:rPr>
          <w:rStyle w:val="17"/>
          <w:rFonts w:hint="eastAsia" w:ascii="仿宋" w:hAnsi="仿宋" w:eastAsia="仿宋"/>
          <w:b w:val="0"/>
          <w:bCs w:val="0"/>
        </w:rPr>
        <w:t>五、</w:t>
      </w:r>
      <w:r>
        <w:rPr>
          <w:rFonts w:hint="eastAsia" w:ascii="仿宋" w:hAnsi="仿宋" w:eastAsia="仿宋"/>
          <w:b w:val="0"/>
          <w:color w:val="000000"/>
        </w:rPr>
        <w:t>财</w:t>
      </w:r>
      <w:r>
        <w:rPr>
          <w:rStyle w:val="17"/>
          <w:rFonts w:hint="eastAsia" w:ascii="仿宋" w:hAnsi="仿宋" w:eastAsia="仿宋"/>
          <w:b w:val="0"/>
          <w:bCs w:val="0"/>
        </w:rPr>
        <w:t>政拨款支出决算明细表（政府经济分类科目）</w:t>
      </w:r>
      <w:bookmarkEnd w:id="66"/>
    </w:p>
    <w:p>
      <w:pPr>
        <w:pStyle w:val="3"/>
        <w:rPr>
          <w:rFonts w:ascii="仿宋" w:hAnsi="仿宋" w:eastAsia="仿宋"/>
          <w:color w:val="000000"/>
        </w:rPr>
      </w:pPr>
      <w:bookmarkStart w:id="67" w:name="_Toc15396624"/>
      <w:r>
        <w:rPr>
          <w:rStyle w:val="17"/>
          <w:rFonts w:hint="eastAsia" w:ascii="仿宋" w:hAnsi="仿宋" w:eastAsia="仿宋"/>
          <w:b w:val="0"/>
          <w:bCs w:val="0"/>
        </w:rPr>
        <w:t>六、</w:t>
      </w:r>
      <w:r>
        <w:rPr>
          <w:rFonts w:hint="eastAsia" w:ascii="仿宋" w:hAnsi="仿宋" w:eastAsia="仿宋"/>
          <w:b w:val="0"/>
          <w:color w:val="000000"/>
        </w:rPr>
        <w:t>一</w:t>
      </w:r>
      <w:r>
        <w:rPr>
          <w:rStyle w:val="17"/>
          <w:rFonts w:hint="eastAsia" w:ascii="仿宋" w:hAnsi="仿宋" w:eastAsia="仿宋"/>
          <w:b w:val="0"/>
          <w:bCs w:val="0"/>
        </w:rPr>
        <w:t>般公共预算财政拨款支出决算表</w:t>
      </w:r>
      <w:bookmarkEnd w:id="67"/>
    </w:p>
    <w:p>
      <w:pPr>
        <w:pStyle w:val="3"/>
        <w:rPr>
          <w:rFonts w:ascii="仿宋" w:hAnsi="仿宋" w:eastAsia="仿宋"/>
          <w:color w:val="000000"/>
        </w:rPr>
      </w:pPr>
      <w:bookmarkStart w:id="68" w:name="_Toc15396625"/>
      <w:r>
        <w:rPr>
          <w:rStyle w:val="17"/>
          <w:rFonts w:hint="eastAsia" w:ascii="仿宋" w:hAnsi="仿宋" w:eastAsia="仿宋"/>
          <w:b w:val="0"/>
          <w:bCs w:val="0"/>
        </w:rPr>
        <w:t>七、</w:t>
      </w:r>
      <w:r>
        <w:rPr>
          <w:rFonts w:hint="eastAsia" w:ascii="仿宋" w:hAnsi="仿宋" w:eastAsia="仿宋"/>
          <w:b w:val="0"/>
          <w:color w:val="000000"/>
        </w:rPr>
        <w:t>一</w:t>
      </w:r>
      <w:r>
        <w:rPr>
          <w:rStyle w:val="17"/>
          <w:rFonts w:hint="eastAsia" w:ascii="仿宋" w:hAnsi="仿宋" w:eastAsia="仿宋"/>
          <w:b w:val="0"/>
          <w:bCs w:val="0"/>
        </w:rPr>
        <w:t>般公共预算财政拨款支出决算明细表</w:t>
      </w:r>
      <w:bookmarkEnd w:id="68"/>
    </w:p>
    <w:p>
      <w:pPr>
        <w:pStyle w:val="3"/>
        <w:rPr>
          <w:rFonts w:ascii="仿宋" w:hAnsi="仿宋" w:eastAsia="仿宋"/>
          <w:color w:val="000000"/>
        </w:rPr>
      </w:pPr>
      <w:bookmarkStart w:id="69" w:name="_Toc15396626"/>
      <w:r>
        <w:rPr>
          <w:rStyle w:val="17"/>
          <w:rFonts w:hint="eastAsia" w:ascii="仿宋" w:hAnsi="仿宋" w:eastAsia="仿宋"/>
          <w:b w:val="0"/>
          <w:bCs w:val="0"/>
        </w:rPr>
        <w:t>八、</w:t>
      </w:r>
      <w:r>
        <w:rPr>
          <w:rFonts w:hint="eastAsia" w:ascii="仿宋" w:hAnsi="仿宋" w:eastAsia="仿宋"/>
          <w:b w:val="0"/>
          <w:color w:val="000000"/>
        </w:rPr>
        <w:t>一</w:t>
      </w:r>
      <w:r>
        <w:rPr>
          <w:rStyle w:val="17"/>
          <w:rFonts w:hint="eastAsia" w:ascii="仿宋" w:hAnsi="仿宋" w:eastAsia="仿宋"/>
          <w:b w:val="0"/>
          <w:bCs w:val="0"/>
        </w:rPr>
        <w:t>般公共预算财政拨款基本支出决算表</w:t>
      </w:r>
      <w:bookmarkEnd w:id="69"/>
    </w:p>
    <w:p>
      <w:pPr>
        <w:pStyle w:val="3"/>
        <w:rPr>
          <w:rFonts w:ascii="仿宋" w:hAnsi="仿宋" w:eastAsia="仿宋"/>
          <w:color w:val="000000"/>
        </w:rPr>
      </w:pPr>
      <w:bookmarkStart w:id="70" w:name="_Toc15396627"/>
      <w:r>
        <w:rPr>
          <w:rStyle w:val="17"/>
          <w:rFonts w:hint="eastAsia" w:ascii="仿宋" w:hAnsi="仿宋" w:eastAsia="仿宋"/>
          <w:b w:val="0"/>
          <w:bCs w:val="0"/>
        </w:rPr>
        <w:t>九、</w:t>
      </w:r>
      <w:r>
        <w:rPr>
          <w:rFonts w:hint="eastAsia" w:ascii="仿宋" w:hAnsi="仿宋" w:eastAsia="仿宋"/>
          <w:b w:val="0"/>
          <w:color w:val="000000"/>
        </w:rPr>
        <w:t>一</w:t>
      </w:r>
      <w:r>
        <w:rPr>
          <w:rStyle w:val="17"/>
          <w:rFonts w:hint="eastAsia" w:ascii="仿宋" w:hAnsi="仿宋" w:eastAsia="仿宋"/>
          <w:b w:val="0"/>
          <w:bCs w:val="0"/>
        </w:rPr>
        <w:t>般公共预算财政拨款项目支出决算表</w:t>
      </w:r>
      <w:bookmarkEnd w:id="70"/>
    </w:p>
    <w:p>
      <w:pPr>
        <w:pStyle w:val="3"/>
        <w:rPr>
          <w:rFonts w:ascii="仿宋" w:hAnsi="仿宋" w:eastAsia="仿宋"/>
          <w:color w:val="000000"/>
        </w:rPr>
      </w:pPr>
      <w:bookmarkStart w:id="71" w:name="_Toc15396628"/>
      <w:r>
        <w:rPr>
          <w:rStyle w:val="17"/>
          <w:rFonts w:hint="eastAsia" w:ascii="仿宋" w:hAnsi="仿宋" w:eastAsia="仿宋"/>
          <w:b w:val="0"/>
          <w:bCs w:val="0"/>
        </w:rPr>
        <w:t>十、</w:t>
      </w:r>
      <w:r>
        <w:rPr>
          <w:rFonts w:hint="eastAsia" w:ascii="仿宋" w:hAnsi="仿宋" w:eastAsia="仿宋"/>
          <w:b w:val="0"/>
          <w:color w:val="000000"/>
        </w:rPr>
        <w:t>一</w:t>
      </w:r>
      <w:r>
        <w:rPr>
          <w:rStyle w:val="17"/>
          <w:rFonts w:hint="eastAsia" w:ascii="仿宋" w:hAnsi="仿宋" w:eastAsia="仿宋"/>
          <w:b w:val="0"/>
          <w:bCs w:val="0"/>
        </w:rPr>
        <w:t>般公共预算财政拨款“三公”经费支出决算表</w:t>
      </w:r>
      <w:bookmarkEnd w:id="71"/>
    </w:p>
    <w:p>
      <w:pPr>
        <w:pStyle w:val="3"/>
        <w:rPr>
          <w:rFonts w:ascii="仿宋" w:hAnsi="仿宋" w:eastAsia="仿宋"/>
          <w:color w:val="000000"/>
        </w:rPr>
      </w:pPr>
      <w:bookmarkStart w:id="72" w:name="_Toc15396629"/>
      <w:r>
        <w:rPr>
          <w:rStyle w:val="17"/>
          <w:rFonts w:hint="eastAsia" w:ascii="仿宋" w:hAnsi="仿宋" w:eastAsia="仿宋"/>
          <w:b w:val="0"/>
          <w:bCs w:val="0"/>
        </w:rPr>
        <w:t>十一、</w:t>
      </w:r>
      <w:r>
        <w:rPr>
          <w:rFonts w:hint="eastAsia" w:ascii="仿宋" w:hAnsi="仿宋" w:eastAsia="仿宋"/>
          <w:b w:val="0"/>
          <w:color w:val="000000"/>
        </w:rPr>
        <w:t>政</w:t>
      </w:r>
      <w:r>
        <w:rPr>
          <w:rStyle w:val="17"/>
          <w:rFonts w:hint="eastAsia" w:ascii="仿宋" w:hAnsi="仿宋" w:eastAsia="仿宋"/>
          <w:b w:val="0"/>
          <w:bCs w:val="0"/>
        </w:rPr>
        <w:t>府性基金预算财政拨款收入支出决算表</w:t>
      </w:r>
      <w:bookmarkEnd w:id="72"/>
    </w:p>
    <w:p>
      <w:pPr>
        <w:pStyle w:val="3"/>
        <w:rPr>
          <w:rFonts w:ascii="仿宋" w:hAnsi="仿宋" w:eastAsia="仿宋"/>
          <w:color w:val="000000"/>
        </w:rPr>
      </w:pPr>
      <w:bookmarkStart w:id="73" w:name="_Toc15396630"/>
      <w:r>
        <w:rPr>
          <w:rStyle w:val="17"/>
          <w:rFonts w:hint="eastAsia" w:ascii="仿宋" w:hAnsi="仿宋" w:eastAsia="仿宋"/>
          <w:b w:val="0"/>
          <w:bCs w:val="0"/>
        </w:rPr>
        <w:t>十二、</w:t>
      </w:r>
      <w:r>
        <w:rPr>
          <w:rFonts w:hint="eastAsia" w:ascii="仿宋" w:hAnsi="仿宋" w:eastAsia="仿宋"/>
          <w:b w:val="0"/>
          <w:color w:val="000000"/>
        </w:rPr>
        <w:t>政</w:t>
      </w:r>
      <w:r>
        <w:rPr>
          <w:rStyle w:val="17"/>
          <w:rFonts w:hint="eastAsia" w:ascii="仿宋" w:hAnsi="仿宋" w:eastAsia="仿宋"/>
          <w:b w:val="0"/>
          <w:bCs w:val="0"/>
        </w:rPr>
        <w:t>府性基金预算财政拨款“三公”经费支出决算表</w:t>
      </w:r>
      <w:bookmarkEnd w:id="73"/>
    </w:p>
    <w:p>
      <w:pPr>
        <w:pStyle w:val="3"/>
        <w:rPr>
          <w:rFonts w:ascii="仿宋" w:hAnsi="仿宋" w:eastAsia="仿宋"/>
          <w:color w:val="000000"/>
        </w:rPr>
      </w:pPr>
      <w:bookmarkStart w:id="74" w:name="_Toc15396631"/>
      <w:r>
        <w:rPr>
          <w:rStyle w:val="17"/>
          <w:rFonts w:hint="eastAsia" w:ascii="仿宋" w:hAnsi="仿宋" w:eastAsia="仿宋"/>
          <w:b w:val="0"/>
          <w:bCs w:val="0"/>
        </w:rPr>
        <w:t>十三、</w:t>
      </w:r>
      <w:r>
        <w:rPr>
          <w:rFonts w:hint="eastAsia" w:ascii="仿宋" w:hAnsi="仿宋" w:eastAsia="仿宋"/>
          <w:b w:val="0"/>
          <w:color w:val="000000"/>
        </w:rPr>
        <w:t>国</w:t>
      </w:r>
      <w:r>
        <w:rPr>
          <w:rStyle w:val="17"/>
          <w:rFonts w:hint="eastAsia" w:ascii="仿宋" w:hAnsi="仿宋" w:eastAsia="仿宋"/>
          <w:b w:val="0"/>
          <w:bCs w:val="0"/>
        </w:rPr>
        <w:t>有资本经营预算支出决算表</w:t>
      </w:r>
      <w:bookmarkEnd w:id="74"/>
    </w:p>
    <w:sectPr>
      <w:footerReference r:id="rId5" w:type="first"/>
      <w:headerReference r:id="rId3" w:type="default"/>
      <w:footerReference r:id="rId4" w:type="default"/>
      <w:pgSz w:w="11906" w:h="16838"/>
      <w:pgMar w:top="1440" w:right="1800" w:bottom="1440" w:left="1800"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center"/>
                            <w:rPr>
                              <w:rFonts w:hint="eastAsia" w:asciiTheme="minorEastAsia" w:hAnsiTheme="minorEastAsia" w:eastAsiaTheme="minorEastAsia" w:cstheme="minorEastAsia"/>
                              <w:sz w:val="28"/>
                              <w:szCs w:val="32"/>
                            </w:rPr>
                          </w:pPr>
                          <w:r>
                            <w:rPr>
                              <w:rFonts w:hint="eastAsia" w:asciiTheme="minorEastAsia" w:hAnsiTheme="minorEastAsia" w:eastAsiaTheme="minorEastAsia" w:cstheme="minorEastAsia"/>
                              <w:sz w:val="28"/>
                              <w:szCs w:val="32"/>
                            </w:rPr>
                            <w:fldChar w:fldCharType="begin"/>
                          </w:r>
                          <w:r>
                            <w:rPr>
                              <w:rFonts w:hint="eastAsia" w:asciiTheme="minorEastAsia" w:hAnsiTheme="minorEastAsia" w:eastAsiaTheme="minorEastAsia" w:cstheme="minorEastAsia"/>
                              <w:sz w:val="28"/>
                              <w:szCs w:val="32"/>
                            </w:rPr>
                            <w:instrText xml:space="preserve">PAGE   \* MERGEFORMAT</w:instrText>
                          </w:r>
                          <w:r>
                            <w:rPr>
                              <w:rFonts w:hint="eastAsia" w:asciiTheme="minorEastAsia" w:hAnsiTheme="minorEastAsia" w:eastAsiaTheme="minorEastAsia" w:cstheme="minorEastAsia"/>
                              <w:sz w:val="28"/>
                              <w:szCs w:val="32"/>
                            </w:rPr>
                            <w:fldChar w:fldCharType="separate"/>
                          </w:r>
                          <w:r>
                            <w:rPr>
                              <w:rFonts w:hint="eastAsia" w:asciiTheme="minorEastAsia" w:hAnsiTheme="minorEastAsia" w:eastAsiaTheme="minorEastAsia" w:cstheme="minorEastAsia"/>
                              <w:sz w:val="28"/>
                              <w:szCs w:val="32"/>
                              <w:lang w:val="zh-CN"/>
                            </w:rPr>
                            <w:t>8</w:t>
                          </w:r>
                          <w:r>
                            <w:rPr>
                              <w:rFonts w:hint="eastAsia" w:asciiTheme="minorEastAsia" w:hAnsiTheme="minorEastAsia" w:eastAsiaTheme="minorEastAsia" w:cstheme="minorEastAsia"/>
                              <w:sz w:val="28"/>
                              <w:szCs w:val="32"/>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jc w:val="center"/>
                      <w:rPr>
                        <w:rFonts w:hint="eastAsia" w:asciiTheme="minorEastAsia" w:hAnsiTheme="minorEastAsia" w:eastAsiaTheme="minorEastAsia" w:cstheme="minorEastAsia"/>
                        <w:sz w:val="28"/>
                        <w:szCs w:val="32"/>
                      </w:rPr>
                    </w:pPr>
                    <w:r>
                      <w:rPr>
                        <w:rFonts w:hint="eastAsia" w:asciiTheme="minorEastAsia" w:hAnsiTheme="minorEastAsia" w:eastAsiaTheme="minorEastAsia" w:cstheme="minorEastAsia"/>
                        <w:sz w:val="28"/>
                        <w:szCs w:val="32"/>
                      </w:rPr>
                      <w:fldChar w:fldCharType="begin"/>
                    </w:r>
                    <w:r>
                      <w:rPr>
                        <w:rFonts w:hint="eastAsia" w:asciiTheme="minorEastAsia" w:hAnsiTheme="minorEastAsia" w:eastAsiaTheme="minorEastAsia" w:cstheme="minorEastAsia"/>
                        <w:sz w:val="28"/>
                        <w:szCs w:val="32"/>
                      </w:rPr>
                      <w:instrText xml:space="preserve">PAGE   \* MERGEFORMAT</w:instrText>
                    </w:r>
                    <w:r>
                      <w:rPr>
                        <w:rFonts w:hint="eastAsia" w:asciiTheme="minorEastAsia" w:hAnsiTheme="minorEastAsia" w:eastAsiaTheme="minorEastAsia" w:cstheme="minorEastAsia"/>
                        <w:sz w:val="28"/>
                        <w:szCs w:val="32"/>
                      </w:rPr>
                      <w:fldChar w:fldCharType="separate"/>
                    </w:r>
                    <w:r>
                      <w:rPr>
                        <w:rFonts w:hint="eastAsia" w:asciiTheme="minorEastAsia" w:hAnsiTheme="minorEastAsia" w:eastAsiaTheme="minorEastAsia" w:cstheme="minorEastAsia"/>
                        <w:sz w:val="28"/>
                        <w:szCs w:val="32"/>
                        <w:lang w:val="zh-CN"/>
                      </w:rPr>
                      <w:t>8</w:t>
                    </w:r>
                    <w:r>
                      <w:rPr>
                        <w:rFonts w:hint="eastAsia" w:asciiTheme="minorEastAsia" w:hAnsiTheme="minorEastAsia" w:eastAsiaTheme="minorEastAsia" w:cstheme="minorEastAsia"/>
                        <w:sz w:val="28"/>
                        <w:szCs w:val="32"/>
                        <w:lang w:val="zh-CN"/>
                      </w:rPr>
                      <w:fldChar w:fldCharType="end"/>
                    </w:r>
                  </w:p>
                </w:txbxContent>
              </v:textbox>
            </v:shape>
          </w:pict>
        </mc:Fallback>
      </mc:AlternateContent>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eastAsia="宋体"/>
                              <w:lang w:val="en-US" w:eastAsia="zh-CN"/>
                            </w:rPr>
                          </w:pPr>
                          <w:r>
                            <w:rPr>
                              <w:rFonts w:hint="eastAsia" w:asciiTheme="minorEastAsia" w:hAnsiTheme="minorEastAsia" w:eastAsiaTheme="minorEastAsia" w:cstheme="minorEastAsia"/>
                              <w:sz w:val="28"/>
                              <w:szCs w:val="32"/>
                              <w:lang w:val="en-US" w:eastAsia="zh-CN"/>
                            </w:rPr>
                            <w:t>1</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default" w:eastAsia="宋体"/>
                        <w:lang w:val="en-US" w:eastAsia="zh-CN"/>
                      </w:rPr>
                    </w:pPr>
                    <w:r>
                      <w:rPr>
                        <w:rFonts w:hint="eastAsia" w:asciiTheme="minorEastAsia" w:hAnsiTheme="minorEastAsia" w:eastAsiaTheme="minorEastAsia" w:cstheme="minorEastAsia"/>
                        <w:sz w:val="28"/>
                        <w:szCs w:val="32"/>
                        <w:lang w:val="en-US" w:eastAsia="zh-CN"/>
                      </w:rPr>
                      <w:t>1</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EC0BEF30"/>
    <w:multiLevelType w:val="singleLevel"/>
    <w:tmpl w:val="EC0BEF30"/>
    <w:lvl w:ilvl="0" w:tentative="0">
      <w:start w:val="1"/>
      <w:numFmt w:val="chineseCounting"/>
      <w:suff w:val="nothing"/>
      <w:lvlText w:val="（%1）"/>
      <w:lvlJc w:val="left"/>
      <w:rPr>
        <w:rFonts w:hint="eastAsia" w:ascii="楷体_GB2312" w:hAnsi="楷体_GB2312" w:eastAsia="楷体_GB2312" w:cs="楷体_GB2312"/>
        <w:b/>
        <w:bCs/>
        <w:sz w:val="32"/>
        <w:szCs w:val="32"/>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4">
    <w:nsid w:val="17F426B7"/>
    <w:multiLevelType w:val="multilevel"/>
    <w:tmpl w:val="17F426B7"/>
    <w:lvl w:ilvl="0" w:tentative="0">
      <w:start w:val="10"/>
      <w:numFmt w:val="japaneseCounting"/>
      <w:lvlText w:val="%1、"/>
      <w:lvlJc w:val="left"/>
      <w:pPr>
        <w:ind w:left="1429" w:hanging="720"/>
      </w:pPr>
      <w:rPr>
        <w:rFonts w:hint="default" w:cs="Times New Roman"/>
      </w:rPr>
    </w:lvl>
    <w:lvl w:ilvl="1" w:tentative="0">
      <w:start w:val="1"/>
      <w:numFmt w:val="lowerLetter"/>
      <w:lvlText w:val="%2)"/>
      <w:lvlJc w:val="left"/>
      <w:pPr>
        <w:ind w:left="1549" w:hanging="420"/>
      </w:pPr>
      <w:rPr>
        <w:rFonts w:cs="Times New Roman"/>
      </w:rPr>
    </w:lvl>
    <w:lvl w:ilvl="2" w:tentative="0">
      <w:start w:val="1"/>
      <w:numFmt w:val="lowerRoman"/>
      <w:lvlText w:val="%3."/>
      <w:lvlJc w:val="right"/>
      <w:pPr>
        <w:ind w:left="1969" w:hanging="420"/>
      </w:pPr>
      <w:rPr>
        <w:rFonts w:cs="Times New Roman"/>
      </w:rPr>
    </w:lvl>
    <w:lvl w:ilvl="3" w:tentative="0">
      <w:start w:val="1"/>
      <w:numFmt w:val="decimal"/>
      <w:lvlText w:val="%4."/>
      <w:lvlJc w:val="left"/>
      <w:pPr>
        <w:ind w:left="2389" w:hanging="420"/>
      </w:pPr>
      <w:rPr>
        <w:rFonts w:cs="Times New Roman"/>
      </w:rPr>
    </w:lvl>
    <w:lvl w:ilvl="4" w:tentative="0">
      <w:start w:val="1"/>
      <w:numFmt w:val="lowerLetter"/>
      <w:lvlText w:val="%5)"/>
      <w:lvlJc w:val="left"/>
      <w:pPr>
        <w:ind w:left="2809" w:hanging="420"/>
      </w:pPr>
      <w:rPr>
        <w:rFonts w:cs="Times New Roman"/>
      </w:rPr>
    </w:lvl>
    <w:lvl w:ilvl="5" w:tentative="0">
      <w:start w:val="1"/>
      <w:numFmt w:val="lowerRoman"/>
      <w:lvlText w:val="%6."/>
      <w:lvlJc w:val="right"/>
      <w:pPr>
        <w:ind w:left="3229" w:hanging="420"/>
      </w:pPr>
      <w:rPr>
        <w:rFonts w:cs="Times New Roman"/>
      </w:rPr>
    </w:lvl>
    <w:lvl w:ilvl="6" w:tentative="0">
      <w:start w:val="1"/>
      <w:numFmt w:val="decimal"/>
      <w:lvlText w:val="%7."/>
      <w:lvlJc w:val="left"/>
      <w:pPr>
        <w:ind w:left="3649" w:hanging="420"/>
      </w:pPr>
      <w:rPr>
        <w:rFonts w:cs="Times New Roman"/>
      </w:rPr>
    </w:lvl>
    <w:lvl w:ilvl="7" w:tentative="0">
      <w:start w:val="1"/>
      <w:numFmt w:val="lowerLetter"/>
      <w:lvlText w:val="%8)"/>
      <w:lvlJc w:val="left"/>
      <w:pPr>
        <w:ind w:left="4069" w:hanging="420"/>
      </w:pPr>
      <w:rPr>
        <w:rFonts w:cs="Times New Roman"/>
      </w:rPr>
    </w:lvl>
    <w:lvl w:ilvl="8" w:tentative="0">
      <w:start w:val="1"/>
      <w:numFmt w:val="lowerRoman"/>
      <w:lvlText w:val="%9."/>
      <w:lvlJc w:val="right"/>
      <w:pPr>
        <w:ind w:left="4489" w:hanging="420"/>
      </w:pPr>
      <w:rPr>
        <w:rFonts w:cs="Times New Roman"/>
      </w:rPr>
    </w:lvl>
  </w:abstractNum>
  <w:abstractNum w:abstractNumId="5">
    <w:nsid w:val="5D6CD4CA"/>
    <w:multiLevelType w:val="singleLevel"/>
    <w:tmpl w:val="5D6CD4CA"/>
    <w:lvl w:ilvl="0" w:tentative="0">
      <w:start w:val="2"/>
      <w:numFmt w:val="chineseCounting"/>
      <w:suff w:val="nothing"/>
      <w:lvlText w:val="（%1）"/>
      <w:lvlJc w:val="left"/>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6487A"/>
    <w:rsid w:val="00065F8F"/>
    <w:rsid w:val="00073F21"/>
    <w:rsid w:val="000768F2"/>
    <w:rsid w:val="0009184B"/>
    <w:rsid w:val="0009593C"/>
    <w:rsid w:val="000B047F"/>
    <w:rsid w:val="000B5923"/>
    <w:rsid w:val="000B5A48"/>
    <w:rsid w:val="000B6FF3"/>
    <w:rsid w:val="000C3467"/>
    <w:rsid w:val="000C3CA6"/>
    <w:rsid w:val="000D1267"/>
    <w:rsid w:val="000D1D50"/>
    <w:rsid w:val="000D5782"/>
    <w:rsid w:val="000E6613"/>
    <w:rsid w:val="000E7119"/>
    <w:rsid w:val="00114E9B"/>
    <w:rsid w:val="0014729F"/>
    <w:rsid w:val="00157BAB"/>
    <w:rsid w:val="001654D1"/>
    <w:rsid w:val="0018106D"/>
    <w:rsid w:val="001877A7"/>
    <w:rsid w:val="00191536"/>
    <w:rsid w:val="00196687"/>
    <w:rsid w:val="001C0962"/>
    <w:rsid w:val="001D7531"/>
    <w:rsid w:val="001E737D"/>
    <w:rsid w:val="001F0592"/>
    <w:rsid w:val="001F7506"/>
    <w:rsid w:val="002006CD"/>
    <w:rsid w:val="00202B36"/>
    <w:rsid w:val="00204B7A"/>
    <w:rsid w:val="0021101A"/>
    <w:rsid w:val="00220536"/>
    <w:rsid w:val="00235629"/>
    <w:rsid w:val="00260C38"/>
    <w:rsid w:val="002616C0"/>
    <w:rsid w:val="002662AA"/>
    <w:rsid w:val="00280496"/>
    <w:rsid w:val="00295495"/>
    <w:rsid w:val="002B2613"/>
    <w:rsid w:val="002F1818"/>
    <w:rsid w:val="002F567B"/>
    <w:rsid w:val="003216A9"/>
    <w:rsid w:val="0037013F"/>
    <w:rsid w:val="00380C92"/>
    <w:rsid w:val="003A484F"/>
    <w:rsid w:val="003B0BE0"/>
    <w:rsid w:val="003B0C1B"/>
    <w:rsid w:val="003B688C"/>
    <w:rsid w:val="003C0291"/>
    <w:rsid w:val="003C39AE"/>
    <w:rsid w:val="003C7B60"/>
    <w:rsid w:val="003D1FB2"/>
    <w:rsid w:val="003D3DEB"/>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7481D"/>
    <w:rsid w:val="0058486E"/>
    <w:rsid w:val="005D1C8B"/>
    <w:rsid w:val="005D5CED"/>
    <w:rsid w:val="005F0F51"/>
    <w:rsid w:val="005F1A4C"/>
    <w:rsid w:val="005F28C9"/>
    <w:rsid w:val="00605688"/>
    <w:rsid w:val="006070AF"/>
    <w:rsid w:val="00607E6C"/>
    <w:rsid w:val="006101B1"/>
    <w:rsid w:val="00614E44"/>
    <w:rsid w:val="00622830"/>
    <w:rsid w:val="00630AEF"/>
    <w:rsid w:val="006325F8"/>
    <w:rsid w:val="00634C9A"/>
    <w:rsid w:val="006440E4"/>
    <w:rsid w:val="0066343B"/>
    <w:rsid w:val="00664777"/>
    <w:rsid w:val="006748A4"/>
    <w:rsid w:val="00683E73"/>
    <w:rsid w:val="006A3141"/>
    <w:rsid w:val="006A5E34"/>
    <w:rsid w:val="006B2422"/>
    <w:rsid w:val="006B2B9A"/>
    <w:rsid w:val="006C1937"/>
    <w:rsid w:val="006E49AE"/>
    <w:rsid w:val="006F020C"/>
    <w:rsid w:val="007127B7"/>
    <w:rsid w:val="007416B6"/>
    <w:rsid w:val="00746F48"/>
    <w:rsid w:val="0075404D"/>
    <w:rsid w:val="0076182A"/>
    <w:rsid w:val="00767B7E"/>
    <w:rsid w:val="007770C3"/>
    <w:rsid w:val="00784D24"/>
    <w:rsid w:val="00785FBA"/>
    <w:rsid w:val="00786E4A"/>
    <w:rsid w:val="007875EB"/>
    <w:rsid w:val="0079426B"/>
    <w:rsid w:val="007D312A"/>
    <w:rsid w:val="007D3F19"/>
    <w:rsid w:val="007E23B0"/>
    <w:rsid w:val="007F1991"/>
    <w:rsid w:val="007F2C2F"/>
    <w:rsid w:val="007F55FC"/>
    <w:rsid w:val="007F5665"/>
    <w:rsid w:val="00800112"/>
    <w:rsid w:val="008253BB"/>
    <w:rsid w:val="0083706E"/>
    <w:rsid w:val="008423A5"/>
    <w:rsid w:val="00850625"/>
    <w:rsid w:val="00853718"/>
    <w:rsid w:val="00855221"/>
    <w:rsid w:val="00860645"/>
    <w:rsid w:val="00871F71"/>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46945"/>
    <w:rsid w:val="00951248"/>
    <w:rsid w:val="0095152F"/>
    <w:rsid w:val="00954C49"/>
    <w:rsid w:val="00963E0E"/>
    <w:rsid w:val="0097099F"/>
    <w:rsid w:val="00971997"/>
    <w:rsid w:val="00971FFC"/>
    <w:rsid w:val="0098660A"/>
    <w:rsid w:val="009931C3"/>
    <w:rsid w:val="009B2C43"/>
    <w:rsid w:val="009B4EAE"/>
    <w:rsid w:val="009B7573"/>
    <w:rsid w:val="009C22F4"/>
    <w:rsid w:val="009C2E98"/>
    <w:rsid w:val="009D3447"/>
    <w:rsid w:val="009D4711"/>
    <w:rsid w:val="009F1185"/>
    <w:rsid w:val="009F18CD"/>
    <w:rsid w:val="009F2A13"/>
    <w:rsid w:val="00A04EB0"/>
    <w:rsid w:val="00A13CC1"/>
    <w:rsid w:val="00A16847"/>
    <w:rsid w:val="00A237D8"/>
    <w:rsid w:val="00A268C4"/>
    <w:rsid w:val="00A307CD"/>
    <w:rsid w:val="00A40A00"/>
    <w:rsid w:val="00A4142F"/>
    <w:rsid w:val="00A56DF2"/>
    <w:rsid w:val="00A67AB5"/>
    <w:rsid w:val="00A91760"/>
    <w:rsid w:val="00A93B00"/>
    <w:rsid w:val="00A93C21"/>
    <w:rsid w:val="00AC3C6A"/>
    <w:rsid w:val="00AD5620"/>
    <w:rsid w:val="00AD7C1B"/>
    <w:rsid w:val="00AE16BA"/>
    <w:rsid w:val="00AE1EBE"/>
    <w:rsid w:val="00AE2CC8"/>
    <w:rsid w:val="00B03C9D"/>
    <w:rsid w:val="00B0458C"/>
    <w:rsid w:val="00B060AE"/>
    <w:rsid w:val="00B10517"/>
    <w:rsid w:val="00B14E76"/>
    <w:rsid w:val="00B161B8"/>
    <w:rsid w:val="00B2048C"/>
    <w:rsid w:val="00B310B9"/>
    <w:rsid w:val="00B35F3F"/>
    <w:rsid w:val="00B36CBB"/>
    <w:rsid w:val="00B425E0"/>
    <w:rsid w:val="00B440AA"/>
    <w:rsid w:val="00B44B70"/>
    <w:rsid w:val="00B53C56"/>
    <w:rsid w:val="00B77EA6"/>
    <w:rsid w:val="00B81598"/>
    <w:rsid w:val="00B841F1"/>
    <w:rsid w:val="00B944D6"/>
    <w:rsid w:val="00BB4DF0"/>
    <w:rsid w:val="00BC289F"/>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91CBB"/>
    <w:rsid w:val="00CC09B6"/>
    <w:rsid w:val="00CC666F"/>
    <w:rsid w:val="00CD1E3F"/>
    <w:rsid w:val="00CE44F6"/>
    <w:rsid w:val="00CE49DA"/>
    <w:rsid w:val="00CE7B61"/>
    <w:rsid w:val="00D00095"/>
    <w:rsid w:val="00D20620"/>
    <w:rsid w:val="00D26091"/>
    <w:rsid w:val="00D34E7C"/>
    <w:rsid w:val="00D35489"/>
    <w:rsid w:val="00D51276"/>
    <w:rsid w:val="00D7035F"/>
    <w:rsid w:val="00DA65AC"/>
    <w:rsid w:val="00DB0F51"/>
    <w:rsid w:val="00DB1913"/>
    <w:rsid w:val="00DC410D"/>
    <w:rsid w:val="00DC68CA"/>
    <w:rsid w:val="00DC7CBA"/>
    <w:rsid w:val="00DD73B7"/>
    <w:rsid w:val="00DF28BC"/>
    <w:rsid w:val="00DF34B9"/>
    <w:rsid w:val="00E01053"/>
    <w:rsid w:val="00E07ACF"/>
    <w:rsid w:val="00E331A1"/>
    <w:rsid w:val="00E33202"/>
    <w:rsid w:val="00E336A9"/>
    <w:rsid w:val="00E50624"/>
    <w:rsid w:val="00E568DF"/>
    <w:rsid w:val="00E64269"/>
    <w:rsid w:val="00E82267"/>
    <w:rsid w:val="00EA010F"/>
    <w:rsid w:val="00ED1B63"/>
    <w:rsid w:val="00ED3C1F"/>
    <w:rsid w:val="00ED4085"/>
    <w:rsid w:val="00ED420E"/>
    <w:rsid w:val="00EE2F57"/>
    <w:rsid w:val="00EF4C34"/>
    <w:rsid w:val="00EF77C6"/>
    <w:rsid w:val="00F05438"/>
    <w:rsid w:val="00F1361C"/>
    <w:rsid w:val="00F160C7"/>
    <w:rsid w:val="00F36D8F"/>
    <w:rsid w:val="00F417B1"/>
    <w:rsid w:val="00F602DF"/>
    <w:rsid w:val="00F81FD9"/>
    <w:rsid w:val="00F841AA"/>
    <w:rsid w:val="00FA23E8"/>
    <w:rsid w:val="00FD3CC1"/>
    <w:rsid w:val="00FF1E02"/>
    <w:rsid w:val="00FF30B4"/>
    <w:rsid w:val="025D5EE7"/>
    <w:rsid w:val="03B92189"/>
    <w:rsid w:val="072D5E48"/>
    <w:rsid w:val="08EE2639"/>
    <w:rsid w:val="09AF292F"/>
    <w:rsid w:val="0B631E1F"/>
    <w:rsid w:val="0FEF1C55"/>
    <w:rsid w:val="10C055FF"/>
    <w:rsid w:val="15E06C6A"/>
    <w:rsid w:val="16BB723D"/>
    <w:rsid w:val="176A11DB"/>
    <w:rsid w:val="19B216DF"/>
    <w:rsid w:val="1D477BC9"/>
    <w:rsid w:val="240371BF"/>
    <w:rsid w:val="29FD04D3"/>
    <w:rsid w:val="2DFC0A1E"/>
    <w:rsid w:val="319F7F4E"/>
    <w:rsid w:val="3259151F"/>
    <w:rsid w:val="34F545D6"/>
    <w:rsid w:val="42D230B7"/>
    <w:rsid w:val="4D2661C9"/>
    <w:rsid w:val="4D3805C3"/>
    <w:rsid w:val="4D872549"/>
    <w:rsid w:val="4E015201"/>
    <w:rsid w:val="52276CA6"/>
    <w:rsid w:val="5778081F"/>
    <w:rsid w:val="59B700C9"/>
    <w:rsid w:val="5A490BC3"/>
    <w:rsid w:val="6C1B2ED5"/>
    <w:rsid w:val="6F6E7671"/>
    <w:rsid w:val="76EE059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7"/>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18"/>
    <w:qFormat/>
    <w:uiPriority w:val="99"/>
    <w:pPr>
      <w:keepNext/>
      <w:keepLines/>
      <w:spacing w:before="260" w:after="260" w:line="416" w:lineRule="auto"/>
      <w:outlineLvl w:val="2"/>
    </w:pPr>
    <w:rPr>
      <w:b/>
      <w:bCs/>
      <w:sz w:val="32"/>
      <w:szCs w:val="32"/>
    </w:rPr>
  </w:style>
  <w:style w:type="character" w:default="1" w:styleId="13">
    <w:name w:val="Default Paragraph Font"/>
    <w:semiHidden/>
    <w:qFormat/>
    <w:uiPriority w:val="99"/>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link w:val="24"/>
    <w:qFormat/>
    <w:uiPriority w:val="99"/>
    <w:pPr>
      <w:spacing w:beforeLines="30"/>
    </w:pPr>
    <w:rPr>
      <w:rFonts w:ascii="仿宋_GB2312" w:eastAsia="仿宋_GB2312"/>
      <w:kern w:val="0"/>
      <w:sz w:val="24"/>
      <w:szCs w:val="20"/>
    </w:rPr>
  </w:style>
  <w:style w:type="paragraph" w:styleId="6">
    <w:name w:val="toc 3"/>
    <w:basedOn w:val="1"/>
    <w:next w:val="1"/>
    <w:qFormat/>
    <w:uiPriority w:val="99"/>
    <w:pPr>
      <w:tabs>
        <w:tab w:val="right" w:leader="dot" w:pos="8296"/>
      </w:tabs>
      <w:ind w:left="840" w:leftChars="400"/>
    </w:pPr>
  </w:style>
  <w:style w:type="paragraph" w:styleId="7">
    <w:name w:val="Balloon Text"/>
    <w:basedOn w:val="1"/>
    <w:link w:val="28"/>
    <w:semiHidden/>
    <w:qFormat/>
    <w:uiPriority w:val="99"/>
    <w:rPr>
      <w:sz w:val="18"/>
      <w:szCs w:val="18"/>
    </w:rPr>
  </w:style>
  <w:style w:type="paragraph" w:styleId="8">
    <w:name w:val="footer"/>
    <w:basedOn w:val="1"/>
    <w:link w:val="23"/>
    <w:qFormat/>
    <w:uiPriority w:val="99"/>
    <w:pPr>
      <w:tabs>
        <w:tab w:val="center" w:pos="4153"/>
        <w:tab w:val="right" w:pos="8306"/>
      </w:tabs>
      <w:snapToGrid w:val="0"/>
      <w:jc w:val="left"/>
    </w:pPr>
    <w:rPr>
      <w:rFonts w:ascii="Calibri" w:hAnsi="Calibri"/>
      <w:kern w:val="0"/>
      <w:sz w:val="18"/>
      <w:szCs w:val="20"/>
    </w:rPr>
  </w:style>
  <w:style w:type="paragraph" w:styleId="9">
    <w:name w:val="header"/>
    <w:basedOn w:val="1"/>
    <w:link w:val="22"/>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10">
    <w:name w:val="toc 1"/>
    <w:basedOn w:val="1"/>
    <w:next w:val="1"/>
    <w:qFormat/>
    <w:uiPriority w:val="99"/>
    <w:pPr>
      <w:tabs>
        <w:tab w:val="right" w:leader="dot" w:pos="8296"/>
      </w:tabs>
      <w:spacing w:before="93"/>
      <w:jc w:val="center"/>
    </w:pPr>
    <w:rPr>
      <w:rFonts w:ascii="仿宋" w:hAnsi="仿宋" w:eastAsia="仿宋"/>
      <w:sz w:val="28"/>
      <w:szCs w:val="28"/>
    </w:rPr>
  </w:style>
  <w:style w:type="paragraph" w:styleId="11">
    <w:name w:val="toc 2"/>
    <w:basedOn w:val="1"/>
    <w:next w:val="1"/>
    <w:qFormat/>
    <w:uiPriority w:val="99"/>
    <w:pPr>
      <w:tabs>
        <w:tab w:val="right" w:leader="dot" w:pos="8296"/>
      </w:tabs>
      <w:ind w:left="420" w:leftChars="200"/>
    </w:pPr>
  </w:style>
  <w:style w:type="character" w:styleId="14">
    <w:name w:val="Strong"/>
    <w:basedOn w:val="13"/>
    <w:qFormat/>
    <w:uiPriority w:val="99"/>
    <w:rPr>
      <w:rFonts w:cs="Times New Roman"/>
      <w:b/>
    </w:rPr>
  </w:style>
  <w:style w:type="character" w:styleId="15">
    <w:name w:val="Hyperlink"/>
    <w:basedOn w:val="13"/>
    <w:qFormat/>
    <w:uiPriority w:val="99"/>
    <w:rPr>
      <w:rFonts w:cs="Times New Roman"/>
      <w:color w:val="0000FF"/>
      <w:u w:val="single"/>
    </w:rPr>
  </w:style>
  <w:style w:type="character" w:customStyle="1" w:styleId="16">
    <w:name w:val="Heading 1 Char"/>
    <w:basedOn w:val="13"/>
    <w:link w:val="2"/>
    <w:qFormat/>
    <w:locked/>
    <w:uiPriority w:val="99"/>
    <w:rPr>
      <w:rFonts w:ascii="Times New Roman" w:hAnsi="Times New Roman" w:cs="Times New Roman"/>
      <w:b/>
      <w:bCs/>
      <w:kern w:val="44"/>
      <w:sz w:val="44"/>
      <w:szCs w:val="44"/>
    </w:rPr>
  </w:style>
  <w:style w:type="character" w:customStyle="1" w:styleId="17">
    <w:name w:val="Heading 2 Char"/>
    <w:basedOn w:val="13"/>
    <w:link w:val="3"/>
    <w:qFormat/>
    <w:locked/>
    <w:uiPriority w:val="99"/>
    <w:rPr>
      <w:rFonts w:ascii="Cambria" w:hAnsi="Cambria" w:eastAsia="宋体" w:cs="Times New Roman"/>
      <w:b/>
      <w:bCs/>
      <w:kern w:val="2"/>
      <w:sz w:val="32"/>
      <w:szCs w:val="32"/>
    </w:rPr>
  </w:style>
  <w:style w:type="character" w:customStyle="1" w:styleId="18">
    <w:name w:val="Heading 3 Char"/>
    <w:basedOn w:val="13"/>
    <w:link w:val="4"/>
    <w:qFormat/>
    <w:locked/>
    <w:uiPriority w:val="99"/>
    <w:rPr>
      <w:rFonts w:ascii="Times New Roman" w:hAnsi="Times New Roman" w:cs="Times New Roman"/>
      <w:b/>
      <w:bCs/>
      <w:kern w:val="2"/>
      <w:sz w:val="32"/>
      <w:szCs w:val="32"/>
    </w:rPr>
  </w:style>
  <w:style w:type="character" w:customStyle="1" w:styleId="19">
    <w:name w:val="Body Text Char"/>
    <w:basedOn w:val="13"/>
    <w:link w:val="5"/>
    <w:semiHidden/>
    <w:qFormat/>
    <w:uiPriority w:val="99"/>
    <w:rPr>
      <w:rFonts w:ascii="Times New Roman" w:hAnsi="Times New Roman" w:cs="Times New Roman"/>
      <w:sz w:val="24"/>
      <w:szCs w:val="24"/>
    </w:rPr>
  </w:style>
  <w:style w:type="character" w:customStyle="1" w:styleId="20">
    <w:name w:val="Footer Char"/>
    <w:basedOn w:val="13"/>
    <w:link w:val="8"/>
    <w:semiHidden/>
    <w:qFormat/>
    <w:uiPriority w:val="99"/>
    <w:rPr>
      <w:rFonts w:ascii="Times New Roman" w:hAnsi="Times New Roman" w:cs="Times New Roman"/>
      <w:sz w:val="18"/>
      <w:szCs w:val="18"/>
    </w:rPr>
  </w:style>
  <w:style w:type="character" w:customStyle="1" w:styleId="21">
    <w:name w:val="Header Char"/>
    <w:basedOn w:val="13"/>
    <w:link w:val="9"/>
    <w:semiHidden/>
    <w:qFormat/>
    <w:uiPriority w:val="99"/>
    <w:rPr>
      <w:rFonts w:ascii="Times New Roman" w:hAnsi="Times New Roman" w:cs="Times New Roman"/>
      <w:sz w:val="18"/>
      <w:szCs w:val="18"/>
    </w:rPr>
  </w:style>
  <w:style w:type="character" w:customStyle="1" w:styleId="22">
    <w:name w:val="Header Char1"/>
    <w:link w:val="9"/>
    <w:semiHidden/>
    <w:qFormat/>
    <w:locked/>
    <w:uiPriority w:val="99"/>
    <w:rPr>
      <w:sz w:val="18"/>
    </w:rPr>
  </w:style>
  <w:style w:type="character" w:customStyle="1" w:styleId="23">
    <w:name w:val="Footer Char1"/>
    <w:link w:val="8"/>
    <w:qFormat/>
    <w:locked/>
    <w:uiPriority w:val="99"/>
    <w:rPr>
      <w:sz w:val="18"/>
    </w:rPr>
  </w:style>
  <w:style w:type="character" w:customStyle="1" w:styleId="24">
    <w:name w:val="Body Text Char1"/>
    <w:link w:val="5"/>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26">
    <w:name w:val="List Paragraph"/>
    <w:basedOn w:val="1"/>
    <w:qFormat/>
    <w:uiPriority w:val="99"/>
    <w:pPr>
      <w:ind w:firstLine="420" w:firstLineChars="200"/>
    </w:pPr>
  </w:style>
  <w:style w:type="paragraph" w:customStyle="1" w:styleId="27">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8">
    <w:name w:val="Balloon Text Char"/>
    <w:basedOn w:val="13"/>
    <w:link w:val="7"/>
    <w:semiHidden/>
    <w:qFormat/>
    <w:locked/>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7.e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6.emf"/><Relationship Id="rId17" Type="http://schemas.openxmlformats.org/officeDocument/2006/relationships/oleObject" Target="embeddings/oleObject6.bin"/><Relationship Id="rId16" Type="http://schemas.openxmlformats.org/officeDocument/2006/relationships/image" Target="media/image5.emf"/><Relationship Id="rId15" Type="http://schemas.openxmlformats.org/officeDocument/2006/relationships/oleObject" Target="embeddings/oleObject5.bin"/><Relationship Id="rId14" Type="http://schemas.openxmlformats.org/officeDocument/2006/relationships/image" Target="media/image4.emf"/><Relationship Id="rId13" Type="http://schemas.openxmlformats.org/officeDocument/2006/relationships/oleObject" Target="embeddings/oleObject4.bin"/><Relationship Id="rId12" Type="http://schemas.openxmlformats.org/officeDocument/2006/relationships/image" Target="media/image3.emf"/><Relationship Id="rId11" Type="http://schemas.openxmlformats.org/officeDocument/2006/relationships/oleObject" Target="embeddings/oleObject3.bin"/><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四川省财政厅</Company>
  <Pages>22</Pages>
  <Words>1437</Words>
  <Characters>8193</Characters>
  <Lines>0</Lines>
  <Paragraphs>0</Paragraphs>
  <TotalTime>6</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2019-08-01T01:14:00Z</dcterms:created>
  <dc:creator>张彬茜</dc:creator>
  <cp:lastModifiedBy>tyu</cp:lastModifiedBy>
  <cp:lastPrinted>2019-09-05T09:25:00Z</cp:lastPrinted>
  <dcterms:modified xsi:type="dcterms:W3CDTF">2019-09-06T01:59:27Z</dcterms:modified>
  <dc:title>四川省***</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