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宋体" w:eastAsia="方正小标宋简体"/>
          <w:color w:val="000000"/>
          <w:sz w:val="72"/>
          <w:szCs w:val="72"/>
        </w:rPr>
      </w:pPr>
      <w:bookmarkStart w:id="0" w:name="_Toc15306267"/>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spacing w:line="600" w:lineRule="exact"/>
        <w:jc w:val="center"/>
        <w:outlineLvl w:val="0"/>
        <w:rPr>
          <w:rFonts w:ascii="方正小标宋简体" w:hAnsi="宋体" w:eastAsia="方正小标宋简体"/>
          <w:color w:val="000000"/>
          <w:sz w:val="72"/>
          <w:szCs w:val="72"/>
        </w:rPr>
      </w:pPr>
    </w:p>
    <w:p>
      <w:pPr>
        <w:adjustRightInd w:val="0"/>
        <w:snapToGrid w:val="0"/>
        <w:spacing w:line="360" w:lineRule="auto"/>
        <w:jc w:val="center"/>
        <w:outlineLvl w:val="0"/>
        <w:rPr>
          <w:rFonts w:ascii="方正小标宋简体" w:hAnsi="宋体" w:eastAsia="方正小标宋简体"/>
          <w:color w:val="000000"/>
          <w:sz w:val="72"/>
          <w:szCs w:val="72"/>
        </w:rPr>
      </w:pPr>
      <w:bookmarkStart w:id="1" w:name="_Toc15396475"/>
      <w:bookmarkStart w:id="2" w:name="_Toc15377193"/>
      <w:bookmarkStart w:id="3" w:name="_Toc15378441"/>
      <w:bookmarkStart w:id="4" w:name="_Toc15396597"/>
      <w:bookmarkStart w:id="5" w:name="_Toc15377425"/>
      <w:r>
        <w:rPr>
          <w:rFonts w:ascii="黑体" w:hAnsi="黑体" w:eastAsia="黑体"/>
          <w:color w:val="000000"/>
          <w:sz w:val="72"/>
          <w:szCs w:val="72"/>
        </w:rPr>
        <w:t>201</w:t>
      </w:r>
      <w:r>
        <w:rPr>
          <w:rFonts w:hint="eastAsia" w:ascii="黑体" w:hAnsi="黑体" w:eastAsia="黑体"/>
          <w:color w:val="000000"/>
          <w:sz w:val="72"/>
          <w:szCs w:val="72"/>
          <w:lang w:val="en-US" w:eastAsia="zh-CN"/>
        </w:rPr>
        <w:t>9</w:t>
      </w:r>
      <w:r>
        <w:rPr>
          <w:rFonts w:hint="eastAsia" w:ascii="方正小标宋简体" w:hAnsi="宋体" w:eastAsia="方正小标宋简体"/>
          <w:color w:val="000000"/>
          <w:sz w:val="72"/>
          <w:szCs w:val="72"/>
        </w:rPr>
        <w:t>年度</w:t>
      </w:r>
      <w:bookmarkEnd w:id="1"/>
      <w:bookmarkEnd w:id="2"/>
      <w:bookmarkEnd w:id="3"/>
      <w:bookmarkEnd w:id="4"/>
      <w:bookmarkEnd w:id="5"/>
    </w:p>
    <w:p>
      <w:pPr>
        <w:adjustRightInd w:val="0"/>
        <w:snapToGrid w:val="0"/>
        <w:spacing w:line="360" w:lineRule="auto"/>
        <w:jc w:val="center"/>
        <w:outlineLvl w:val="0"/>
        <w:rPr>
          <w:rFonts w:ascii="方正小标宋简体" w:hAnsi="宋体" w:eastAsia="方正小标宋简体"/>
          <w:color w:val="000000"/>
          <w:sz w:val="72"/>
          <w:szCs w:val="72"/>
        </w:rPr>
      </w:pPr>
      <w:bookmarkStart w:id="6" w:name="_Toc15396598"/>
      <w:bookmarkStart w:id="7" w:name="_Toc15377426"/>
      <w:bookmarkStart w:id="8" w:name="_Toc15396476"/>
      <w:bookmarkStart w:id="9" w:name="_Toc15377194"/>
      <w:bookmarkStart w:id="10" w:name="_Toc15378442"/>
      <w:r>
        <w:rPr>
          <w:rFonts w:hint="eastAsia" w:ascii="方正小标宋简体" w:hAnsi="宋体" w:eastAsia="方正小标宋简体"/>
          <w:color w:val="000000"/>
          <w:sz w:val="72"/>
          <w:szCs w:val="72"/>
        </w:rPr>
        <w:t>四川省万源市</w:t>
      </w:r>
      <w:bookmarkEnd w:id="0"/>
      <w:bookmarkStart w:id="11" w:name="_Toc15306268"/>
      <w:r>
        <w:rPr>
          <w:rFonts w:hint="eastAsia" w:ascii="方正小标宋简体" w:hAnsi="宋体" w:eastAsia="方正小标宋简体"/>
          <w:color w:val="000000"/>
          <w:sz w:val="72"/>
          <w:szCs w:val="72"/>
          <w:lang w:eastAsia="zh-CN"/>
        </w:rPr>
        <w:t>柳黄乡中心小学校</w:t>
      </w:r>
      <w:r>
        <w:rPr>
          <w:rFonts w:hint="eastAsia" w:ascii="方正小标宋简体" w:hAnsi="宋体" w:eastAsia="方正小标宋简体"/>
          <w:color w:val="000000"/>
          <w:sz w:val="72"/>
          <w:szCs w:val="72"/>
        </w:rPr>
        <w:t>部门决算</w:t>
      </w:r>
      <w:bookmarkEnd w:id="6"/>
      <w:bookmarkEnd w:id="7"/>
      <w:bookmarkEnd w:id="8"/>
      <w:bookmarkEnd w:id="9"/>
      <w:bookmarkEnd w:id="10"/>
      <w:bookmarkEnd w:id="11"/>
    </w:p>
    <w:p>
      <w:pPr>
        <w:adjustRightInd w:val="0"/>
        <w:snapToGrid w:val="0"/>
        <w:spacing w:line="360" w:lineRule="auto"/>
        <w:jc w:val="center"/>
        <w:outlineLvl w:val="0"/>
        <w:rPr>
          <w:rFonts w:ascii="方正小标宋简体" w:hAnsi="宋体" w:eastAsia="方正小标宋简体"/>
          <w:color w:val="000000"/>
          <w:sz w:val="52"/>
          <w:szCs w:val="52"/>
        </w:rPr>
      </w:pPr>
      <w:r>
        <w:rPr>
          <w:rFonts w:ascii="方正小标宋简体" w:hAnsi="宋体" w:eastAsia="方正小标宋简体"/>
          <w:color w:val="000000"/>
          <w:sz w:val="52"/>
          <w:szCs w:val="52"/>
        </w:rPr>
        <w:t>(</w:t>
      </w:r>
      <w:r>
        <w:rPr>
          <w:rFonts w:hint="eastAsia" w:ascii="方正小标宋简体" w:hAnsi="宋体" w:eastAsia="方正小标宋简体"/>
          <w:color w:val="000000"/>
          <w:sz w:val="52"/>
          <w:szCs w:val="52"/>
        </w:rPr>
        <w:t>编制说明</w:t>
      </w:r>
      <w:r>
        <w:rPr>
          <w:rFonts w:ascii="方正小标宋简体" w:hAnsi="宋体" w:eastAsia="方正小标宋简体"/>
          <w:color w:val="000000"/>
          <w:sz w:val="52"/>
          <w:szCs w:val="52"/>
        </w:rPr>
        <w:t>)</w:t>
      </w:r>
    </w:p>
    <w:p>
      <w:pPr>
        <w:widowControl/>
        <w:jc w:val="center"/>
        <w:rPr>
          <w:rFonts w:ascii="黑体" w:hAnsi="黑体" w:eastAsia="黑体"/>
          <w:color w:val="000000"/>
          <w:sz w:val="48"/>
          <w:szCs w:val="48"/>
        </w:rPr>
      </w:pPr>
      <w:r>
        <w:rPr>
          <w:rFonts w:ascii="方正小标宋简体" w:hAnsi="宋体" w:eastAsia="方正小标宋简体"/>
          <w:color w:val="000000"/>
          <w:sz w:val="36"/>
          <w:szCs w:val="36"/>
        </w:rPr>
        <w:br w:type="page"/>
      </w:r>
      <w:r>
        <w:rPr>
          <w:rFonts w:hint="eastAsia" w:ascii="黑体" w:hAnsi="黑体" w:eastAsia="黑体"/>
          <w:color w:val="000000"/>
          <w:sz w:val="48"/>
          <w:szCs w:val="48"/>
        </w:rPr>
        <w:t>目录</w:t>
      </w:r>
    </w:p>
    <w:p>
      <w:pPr>
        <w:widowControl/>
        <w:jc w:val="center"/>
        <w:rPr>
          <w:rFonts w:ascii="黑体" w:hAnsi="黑体" w:eastAsia="黑体"/>
          <w:sz w:val="28"/>
          <w:szCs w:val="28"/>
        </w:rPr>
      </w:pPr>
      <w:r>
        <w:rPr>
          <w:rFonts w:ascii="黑体" w:hAnsi="黑体" w:eastAsia="黑体"/>
          <w:color w:val="000000"/>
          <w:sz w:val="48"/>
          <w:szCs w:val="48"/>
        </w:rPr>
        <w:fldChar w:fldCharType="begin"/>
      </w:r>
      <w:r>
        <w:rPr>
          <w:rFonts w:ascii="黑体" w:hAnsi="黑体" w:eastAsia="黑体"/>
          <w:color w:val="000000"/>
          <w:sz w:val="48"/>
          <w:szCs w:val="48"/>
        </w:rPr>
        <w:instrText xml:space="preserve"> TOC \o "1-2" \h \z \u </w:instrText>
      </w:r>
      <w:r>
        <w:rPr>
          <w:rFonts w:ascii="黑体" w:hAnsi="黑体" w:eastAsia="黑体"/>
          <w:color w:val="000000"/>
          <w:sz w:val="48"/>
          <w:szCs w:val="48"/>
        </w:rPr>
        <w:fldChar w:fldCharType="separate"/>
      </w:r>
    </w:p>
    <w:p>
      <w:pPr>
        <w:pStyle w:val="10"/>
        <w:ind w:left="210" w:leftChars="100"/>
      </w:pPr>
      <w:r>
        <w:rPr>
          <w:rFonts w:hint="eastAsia"/>
        </w:rPr>
        <w:t>公开时间：</w:t>
      </w:r>
      <w:r>
        <w:t>20</w:t>
      </w:r>
      <w:r>
        <w:rPr>
          <w:rFonts w:hint="eastAsia"/>
          <w:lang w:val="en-US" w:eastAsia="zh-CN"/>
        </w:rPr>
        <w:t>20</w:t>
      </w:r>
      <w:r>
        <w:rPr>
          <w:rFonts w:hint="eastAsia"/>
        </w:rPr>
        <w:t>年</w:t>
      </w:r>
      <w:r>
        <w:rPr>
          <w:rFonts w:hint="eastAsia"/>
          <w:lang w:val="en-US" w:eastAsia="zh-CN"/>
        </w:rPr>
        <w:t>9</w:t>
      </w:r>
      <w:r>
        <w:rPr>
          <w:rFonts w:hint="eastAsia"/>
        </w:rPr>
        <w:t>月</w:t>
      </w:r>
      <w:r>
        <w:rPr>
          <w:rFonts w:hint="eastAsia"/>
          <w:lang w:val="en-US" w:eastAsia="zh-CN"/>
        </w:rPr>
        <w:t>18</w:t>
      </w:r>
      <w:r>
        <w:rPr>
          <w:rFonts w:hint="eastAsia"/>
        </w:rPr>
        <w:t>日</w:t>
      </w:r>
    </w:p>
    <w:p/>
    <w:p>
      <w:pPr>
        <w:pStyle w:val="10"/>
      </w:pPr>
      <w:r>
        <w:fldChar w:fldCharType="begin"/>
      </w:r>
      <w:r>
        <w:instrText xml:space="preserve"> HYPERLINK \l "_Toc15396599" </w:instrText>
      </w:r>
      <w:r>
        <w:fldChar w:fldCharType="separate"/>
      </w:r>
      <w:r>
        <w:rPr>
          <w:rStyle w:val="15"/>
          <w:rFonts w:hint="eastAsia"/>
        </w:rPr>
        <w:t>第一部分</w:t>
      </w:r>
      <w:r>
        <w:rPr>
          <w:rStyle w:val="15"/>
        </w:rPr>
        <w:t xml:space="preserve"> </w:t>
      </w:r>
      <w:r>
        <w:rPr>
          <w:rStyle w:val="15"/>
          <w:rFonts w:hint="eastAsia"/>
        </w:rPr>
        <w:t>部门概况</w:t>
      </w:r>
      <w:r>
        <w:tab/>
      </w:r>
      <w:r>
        <w:t>4</w:t>
      </w:r>
      <w:r>
        <w:fldChar w:fldCharType="end"/>
      </w:r>
    </w:p>
    <w:p>
      <w:pPr>
        <w:pStyle w:val="11"/>
        <w:rPr>
          <w:rFonts w:ascii="仿宋" w:hAnsi="仿宋" w:eastAsia="仿宋"/>
          <w:sz w:val="28"/>
          <w:szCs w:val="28"/>
        </w:rPr>
      </w:pPr>
      <w:r>
        <w:fldChar w:fldCharType="begin"/>
      </w:r>
      <w:r>
        <w:instrText xml:space="preserve"> HYPERLINK \l "_Toc15396600" </w:instrText>
      </w:r>
      <w:r>
        <w:fldChar w:fldCharType="separate"/>
      </w:r>
      <w:r>
        <w:rPr>
          <w:rStyle w:val="15"/>
          <w:rFonts w:hint="eastAsia" w:ascii="仿宋" w:hAnsi="仿宋" w:eastAsia="仿宋"/>
          <w:sz w:val="28"/>
          <w:szCs w:val="28"/>
        </w:rPr>
        <w:t>一、基本职能及主要工作</w:t>
      </w:r>
      <w:r>
        <w:rPr>
          <w:rFonts w:ascii="仿宋" w:hAnsi="仿宋" w:eastAsia="仿宋"/>
          <w:sz w:val="28"/>
          <w:szCs w:val="28"/>
        </w:rPr>
        <w:tab/>
      </w:r>
      <w:r>
        <w:rPr>
          <w:rFonts w:ascii="仿宋" w:hAnsi="仿宋" w:eastAsia="仿宋"/>
          <w:sz w:val="28"/>
          <w:szCs w:val="28"/>
        </w:rPr>
        <w:t>4</w:t>
      </w:r>
      <w:r>
        <w:rPr>
          <w:rFonts w:ascii="仿宋" w:hAnsi="仿宋" w:eastAsia="仿宋"/>
          <w:sz w:val="28"/>
          <w:szCs w:val="28"/>
        </w:rPr>
        <w:fldChar w:fldCharType="end"/>
      </w:r>
    </w:p>
    <w:p>
      <w:pPr>
        <w:pStyle w:val="11"/>
        <w:rPr>
          <w:rFonts w:ascii="仿宋" w:hAnsi="仿宋" w:eastAsia="仿宋"/>
          <w:sz w:val="28"/>
          <w:szCs w:val="28"/>
        </w:rPr>
      </w:pPr>
      <w:r>
        <w:fldChar w:fldCharType="begin"/>
      </w:r>
      <w:r>
        <w:instrText xml:space="preserve"> HYPERLINK \l "_Toc15396601" </w:instrText>
      </w:r>
      <w:r>
        <w:fldChar w:fldCharType="separate"/>
      </w:r>
      <w:r>
        <w:rPr>
          <w:rStyle w:val="15"/>
          <w:rFonts w:hint="eastAsia" w:ascii="仿宋" w:hAnsi="仿宋" w:eastAsia="仿宋"/>
          <w:sz w:val="28"/>
          <w:szCs w:val="28"/>
        </w:rPr>
        <w:t>二、机构设置</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_Toc15396601 \h </w:instrText>
      </w:r>
      <w:r>
        <w:rPr>
          <w:rFonts w:ascii="仿宋" w:hAnsi="仿宋" w:eastAsia="仿宋"/>
          <w:sz w:val="28"/>
          <w:szCs w:val="28"/>
        </w:rPr>
        <w:fldChar w:fldCharType="separate"/>
      </w:r>
      <w:r>
        <w:rPr>
          <w:rFonts w:ascii="仿宋" w:hAnsi="仿宋" w:eastAsia="仿宋"/>
          <w:sz w:val="28"/>
          <w:szCs w:val="28"/>
        </w:rPr>
        <w:t>7</w:t>
      </w:r>
      <w:r>
        <w:rPr>
          <w:rFonts w:ascii="仿宋" w:hAnsi="仿宋" w:eastAsia="仿宋"/>
          <w:sz w:val="28"/>
          <w:szCs w:val="28"/>
        </w:rPr>
        <w:fldChar w:fldCharType="end"/>
      </w:r>
      <w:r>
        <w:rPr>
          <w:rFonts w:ascii="仿宋" w:hAnsi="仿宋" w:eastAsia="仿宋"/>
          <w:sz w:val="28"/>
          <w:szCs w:val="28"/>
        </w:rPr>
        <w:fldChar w:fldCharType="end"/>
      </w:r>
    </w:p>
    <w:p>
      <w:pPr>
        <w:pStyle w:val="10"/>
      </w:pPr>
      <w:r>
        <w:fldChar w:fldCharType="begin"/>
      </w:r>
      <w:r>
        <w:instrText xml:space="preserve"> HYPERLINK \l "_Toc15396602" </w:instrText>
      </w:r>
      <w:r>
        <w:fldChar w:fldCharType="separate"/>
      </w:r>
      <w:r>
        <w:rPr>
          <w:rStyle w:val="15"/>
          <w:rFonts w:hint="eastAsia"/>
        </w:rPr>
        <w:t>第二部分</w:t>
      </w:r>
      <w:r>
        <w:rPr>
          <w:rStyle w:val="15"/>
        </w:rPr>
        <w:t xml:space="preserve"> 201</w:t>
      </w:r>
      <w:r>
        <w:rPr>
          <w:rStyle w:val="15"/>
          <w:rFonts w:hint="eastAsia"/>
          <w:lang w:val="en-US" w:eastAsia="zh-CN"/>
        </w:rPr>
        <w:t>9</w:t>
      </w:r>
      <w:r>
        <w:rPr>
          <w:rStyle w:val="15"/>
          <w:rFonts w:hint="eastAsia"/>
        </w:rPr>
        <w:t>年度部门决算情况说明</w:t>
      </w:r>
      <w:r>
        <w:tab/>
      </w:r>
      <w:r>
        <w:fldChar w:fldCharType="begin"/>
      </w:r>
      <w:r>
        <w:instrText xml:space="preserve"> PAGEREF _Toc15396602 \h </w:instrText>
      </w:r>
      <w:r>
        <w:fldChar w:fldCharType="separate"/>
      </w:r>
      <w:r>
        <w:t>8</w:t>
      </w:r>
      <w:r>
        <w:fldChar w:fldCharType="end"/>
      </w:r>
      <w:r>
        <w:fldChar w:fldCharType="end"/>
      </w:r>
    </w:p>
    <w:p>
      <w:pPr>
        <w:pStyle w:val="11"/>
        <w:rPr>
          <w:rFonts w:ascii="仿宋" w:hAnsi="仿宋" w:eastAsia="仿宋"/>
          <w:sz w:val="28"/>
          <w:szCs w:val="28"/>
        </w:rPr>
      </w:pPr>
      <w:r>
        <w:fldChar w:fldCharType="begin"/>
      </w:r>
      <w:r>
        <w:instrText xml:space="preserve"> HYPERLINK \l "_Toc15396603" </w:instrText>
      </w:r>
      <w:r>
        <w:fldChar w:fldCharType="separate"/>
      </w:r>
      <w:r>
        <w:rPr>
          <w:rStyle w:val="15"/>
          <w:rFonts w:hint="eastAsia" w:ascii="仿宋" w:hAnsi="仿宋" w:eastAsia="仿宋"/>
          <w:bCs/>
          <w:sz w:val="28"/>
          <w:szCs w:val="28"/>
        </w:rPr>
        <w:t>一、</w:t>
      </w:r>
      <w:r>
        <w:rPr>
          <w:rStyle w:val="15"/>
          <w:rFonts w:hint="eastAsia" w:ascii="仿宋" w:hAnsi="仿宋" w:eastAsia="仿宋"/>
          <w:sz w:val="28"/>
          <w:szCs w:val="28"/>
        </w:rPr>
        <w:t>收</w:t>
      </w:r>
      <w:r>
        <w:rPr>
          <w:rStyle w:val="15"/>
          <w:rFonts w:hint="eastAsia" w:ascii="仿宋" w:hAnsi="仿宋" w:eastAsia="仿宋"/>
          <w:bCs/>
          <w:sz w:val="28"/>
          <w:szCs w:val="28"/>
        </w:rPr>
        <w:t>入支出决算总体情况说明</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_Toc15396603 \h </w:instrText>
      </w:r>
      <w:r>
        <w:rPr>
          <w:rFonts w:ascii="仿宋" w:hAnsi="仿宋" w:eastAsia="仿宋"/>
          <w:sz w:val="28"/>
          <w:szCs w:val="28"/>
        </w:rPr>
        <w:fldChar w:fldCharType="separate"/>
      </w:r>
      <w:r>
        <w:rPr>
          <w:rFonts w:ascii="仿宋" w:hAnsi="仿宋" w:eastAsia="仿宋"/>
          <w:sz w:val="28"/>
          <w:szCs w:val="28"/>
        </w:rPr>
        <w:t>8</w:t>
      </w:r>
      <w:r>
        <w:rPr>
          <w:rFonts w:ascii="仿宋" w:hAnsi="仿宋" w:eastAsia="仿宋"/>
          <w:sz w:val="28"/>
          <w:szCs w:val="28"/>
        </w:rPr>
        <w:fldChar w:fldCharType="end"/>
      </w:r>
      <w:r>
        <w:rPr>
          <w:rFonts w:ascii="仿宋" w:hAnsi="仿宋" w:eastAsia="仿宋"/>
          <w:sz w:val="28"/>
          <w:szCs w:val="28"/>
        </w:rPr>
        <w:fldChar w:fldCharType="end"/>
      </w:r>
    </w:p>
    <w:p>
      <w:pPr>
        <w:pStyle w:val="11"/>
        <w:rPr>
          <w:rFonts w:ascii="仿宋" w:hAnsi="仿宋" w:eastAsia="仿宋"/>
          <w:sz w:val="28"/>
          <w:szCs w:val="28"/>
        </w:rPr>
      </w:pPr>
      <w:r>
        <w:fldChar w:fldCharType="begin"/>
      </w:r>
      <w:r>
        <w:instrText xml:space="preserve"> HYPERLINK \l "_Toc15396604" </w:instrText>
      </w:r>
      <w:r>
        <w:fldChar w:fldCharType="separate"/>
      </w:r>
      <w:r>
        <w:rPr>
          <w:rStyle w:val="15"/>
          <w:rFonts w:hint="eastAsia" w:ascii="仿宋" w:hAnsi="仿宋" w:eastAsia="仿宋"/>
          <w:bCs/>
          <w:sz w:val="28"/>
          <w:szCs w:val="28"/>
        </w:rPr>
        <w:t>二、</w:t>
      </w:r>
      <w:r>
        <w:rPr>
          <w:rStyle w:val="15"/>
          <w:rFonts w:hint="eastAsia" w:ascii="仿宋" w:hAnsi="仿宋" w:eastAsia="仿宋"/>
          <w:sz w:val="28"/>
          <w:szCs w:val="28"/>
        </w:rPr>
        <w:t>收</w:t>
      </w:r>
      <w:r>
        <w:rPr>
          <w:rStyle w:val="15"/>
          <w:rFonts w:hint="eastAsia" w:ascii="仿宋" w:hAnsi="仿宋" w:eastAsia="仿宋"/>
          <w:bCs/>
          <w:sz w:val="28"/>
          <w:szCs w:val="28"/>
        </w:rPr>
        <w:t>入决算情况说明</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_Toc15396604 \h </w:instrText>
      </w:r>
      <w:r>
        <w:rPr>
          <w:rFonts w:ascii="仿宋" w:hAnsi="仿宋" w:eastAsia="仿宋"/>
          <w:sz w:val="28"/>
          <w:szCs w:val="28"/>
        </w:rPr>
        <w:fldChar w:fldCharType="separate"/>
      </w:r>
      <w:r>
        <w:rPr>
          <w:rFonts w:ascii="仿宋" w:hAnsi="仿宋" w:eastAsia="仿宋"/>
          <w:sz w:val="28"/>
          <w:szCs w:val="28"/>
        </w:rPr>
        <w:t>8</w:t>
      </w:r>
      <w:r>
        <w:rPr>
          <w:rFonts w:ascii="仿宋" w:hAnsi="仿宋" w:eastAsia="仿宋"/>
          <w:sz w:val="28"/>
          <w:szCs w:val="28"/>
        </w:rPr>
        <w:fldChar w:fldCharType="end"/>
      </w:r>
      <w:r>
        <w:rPr>
          <w:rFonts w:ascii="仿宋" w:hAnsi="仿宋" w:eastAsia="仿宋"/>
          <w:sz w:val="28"/>
          <w:szCs w:val="28"/>
        </w:rPr>
        <w:fldChar w:fldCharType="end"/>
      </w:r>
    </w:p>
    <w:p>
      <w:pPr>
        <w:pStyle w:val="11"/>
        <w:rPr>
          <w:rFonts w:ascii="仿宋" w:hAnsi="仿宋" w:eastAsia="仿宋"/>
          <w:sz w:val="28"/>
          <w:szCs w:val="28"/>
        </w:rPr>
      </w:pPr>
      <w:r>
        <w:fldChar w:fldCharType="begin"/>
      </w:r>
      <w:r>
        <w:instrText xml:space="preserve"> HYPERLINK \l "_Toc15396605" </w:instrText>
      </w:r>
      <w:r>
        <w:fldChar w:fldCharType="separate"/>
      </w:r>
      <w:r>
        <w:rPr>
          <w:rStyle w:val="15"/>
          <w:rFonts w:hint="eastAsia" w:ascii="仿宋" w:hAnsi="仿宋" w:eastAsia="仿宋"/>
          <w:bCs/>
          <w:sz w:val="28"/>
          <w:szCs w:val="28"/>
        </w:rPr>
        <w:t>三、</w:t>
      </w:r>
      <w:r>
        <w:rPr>
          <w:rStyle w:val="15"/>
          <w:rFonts w:hint="eastAsia" w:ascii="仿宋" w:hAnsi="仿宋" w:eastAsia="仿宋"/>
          <w:sz w:val="28"/>
          <w:szCs w:val="28"/>
        </w:rPr>
        <w:t>支</w:t>
      </w:r>
      <w:r>
        <w:rPr>
          <w:rStyle w:val="15"/>
          <w:rFonts w:hint="eastAsia" w:ascii="仿宋" w:hAnsi="仿宋" w:eastAsia="仿宋"/>
          <w:bCs/>
          <w:sz w:val="28"/>
          <w:szCs w:val="28"/>
        </w:rPr>
        <w:t>出决算情况说明</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_Toc15396605 \h </w:instrText>
      </w:r>
      <w:r>
        <w:rPr>
          <w:rFonts w:ascii="仿宋" w:hAnsi="仿宋" w:eastAsia="仿宋"/>
          <w:sz w:val="28"/>
          <w:szCs w:val="28"/>
        </w:rPr>
        <w:fldChar w:fldCharType="separate"/>
      </w:r>
      <w:r>
        <w:rPr>
          <w:rFonts w:ascii="仿宋" w:hAnsi="仿宋" w:eastAsia="仿宋"/>
          <w:sz w:val="28"/>
          <w:szCs w:val="28"/>
        </w:rPr>
        <w:t>9</w:t>
      </w:r>
      <w:r>
        <w:rPr>
          <w:rFonts w:ascii="仿宋" w:hAnsi="仿宋" w:eastAsia="仿宋"/>
          <w:sz w:val="28"/>
          <w:szCs w:val="28"/>
        </w:rPr>
        <w:fldChar w:fldCharType="end"/>
      </w:r>
      <w:r>
        <w:rPr>
          <w:rFonts w:ascii="仿宋" w:hAnsi="仿宋" w:eastAsia="仿宋"/>
          <w:sz w:val="28"/>
          <w:szCs w:val="28"/>
        </w:rPr>
        <w:fldChar w:fldCharType="end"/>
      </w:r>
    </w:p>
    <w:p>
      <w:pPr>
        <w:pStyle w:val="11"/>
        <w:rPr>
          <w:rFonts w:ascii="仿宋" w:hAnsi="仿宋" w:eastAsia="仿宋"/>
          <w:sz w:val="28"/>
          <w:szCs w:val="28"/>
        </w:rPr>
      </w:pPr>
      <w:r>
        <w:fldChar w:fldCharType="begin"/>
      </w:r>
      <w:r>
        <w:instrText xml:space="preserve"> HYPERLINK \l "_Toc15396606" </w:instrText>
      </w:r>
      <w:r>
        <w:fldChar w:fldCharType="separate"/>
      </w:r>
      <w:r>
        <w:rPr>
          <w:rStyle w:val="15"/>
          <w:rFonts w:hint="eastAsia" w:ascii="仿宋" w:hAnsi="仿宋" w:eastAsia="仿宋"/>
          <w:sz w:val="28"/>
          <w:szCs w:val="28"/>
        </w:rPr>
        <w:t>四、财</w:t>
      </w:r>
      <w:r>
        <w:rPr>
          <w:rStyle w:val="15"/>
          <w:rFonts w:hint="eastAsia" w:ascii="仿宋" w:hAnsi="仿宋" w:eastAsia="仿宋"/>
          <w:bCs/>
          <w:sz w:val="28"/>
          <w:szCs w:val="28"/>
        </w:rPr>
        <w:t>政拨款收入支出决算总体情况说明</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_Toc15396606 \h </w:instrText>
      </w:r>
      <w:r>
        <w:rPr>
          <w:rFonts w:ascii="仿宋" w:hAnsi="仿宋" w:eastAsia="仿宋"/>
          <w:sz w:val="28"/>
          <w:szCs w:val="28"/>
        </w:rPr>
        <w:fldChar w:fldCharType="separate"/>
      </w:r>
      <w:r>
        <w:rPr>
          <w:rFonts w:ascii="仿宋" w:hAnsi="仿宋" w:eastAsia="仿宋"/>
          <w:sz w:val="28"/>
          <w:szCs w:val="28"/>
        </w:rPr>
        <w:t>9</w:t>
      </w:r>
      <w:r>
        <w:rPr>
          <w:rFonts w:ascii="仿宋" w:hAnsi="仿宋" w:eastAsia="仿宋"/>
          <w:sz w:val="28"/>
          <w:szCs w:val="28"/>
        </w:rPr>
        <w:fldChar w:fldCharType="end"/>
      </w:r>
      <w:r>
        <w:rPr>
          <w:rFonts w:ascii="仿宋" w:hAnsi="仿宋" w:eastAsia="仿宋"/>
          <w:sz w:val="28"/>
          <w:szCs w:val="28"/>
        </w:rPr>
        <w:fldChar w:fldCharType="end"/>
      </w:r>
    </w:p>
    <w:p>
      <w:pPr>
        <w:pStyle w:val="11"/>
        <w:rPr>
          <w:rFonts w:ascii="仿宋" w:hAnsi="仿宋" w:eastAsia="仿宋"/>
          <w:sz w:val="28"/>
          <w:szCs w:val="28"/>
        </w:rPr>
      </w:pPr>
      <w:r>
        <w:fldChar w:fldCharType="begin"/>
      </w:r>
      <w:r>
        <w:instrText xml:space="preserve"> HYPERLINK \l "_Toc15396607" </w:instrText>
      </w:r>
      <w:r>
        <w:fldChar w:fldCharType="separate"/>
      </w:r>
      <w:r>
        <w:rPr>
          <w:rStyle w:val="15"/>
          <w:rFonts w:hint="eastAsia" w:ascii="仿宋" w:hAnsi="仿宋" w:eastAsia="仿宋"/>
          <w:sz w:val="28"/>
          <w:szCs w:val="28"/>
        </w:rPr>
        <w:t>五、一</w:t>
      </w:r>
      <w:r>
        <w:rPr>
          <w:rStyle w:val="15"/>
          <w:rFonts w:hint="eastAsia" w:ascii="仿宋" w:hAnsi="仿宋" w:eastAsia="仿宋"/>
          <w:bCs/>
          <w:sz w:val="28"/>
          <w:szCs w:val="28"/>
        </w:rPr>
        <w:t>般公共预算财政拨款支出决算情况说明</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_Toc15396607 \h </w:instrText>
      </w:r>
      <w:r>
        <w:rPr>
          <w:rFonts w:ascii="仿宋" w:hAnsi="仿宋" w:eastAsia="仿宋"/>
          <w:sz w:val="28"/>
          <w:szCs w:val="28"/>
        </w:rPr>
        <w:fldChar w:fldCharType="separate"/>
      </w:r>
      <w:r>
        <w:rPr>
          <w:rFonts w:ascii="仿宋" w:hAnsi="仿宋" w:eastAsia="仿宋"/>
          <w:sz w:val="28"/>
          <w:szCs w:val="28"/>
        </w:rPr>
        <w:t>10</w:t>
      </w:r>
      <w:r>
        <w:rPr>
          <w:rFonts w:ascii="仿宋" w:hAnsi="仿宋" w:eastAsia="仿宋"/>
          <w:sz w:val="28"/>
          <w:szCs w:val="28"/>
        </w:rPr>
        <w:fldChar w:fldCharType="end"/>
      </w:r>
      <w:r>
        <w:rPr>
          <w:rFonts w:ascii="仿宋" w:hAnsi="仿宋" w:eastAsia="仿宋"/>
          <w:sz w:val="28"/>
          <w:szCs w:val="28"/>
        </w:rPr>
        <w:fldChar w:fldCharType="end"/>
      </w:r>
    </w:p>
    <w:p>
      <w:pPr>
        <w:pStyle w:val="11"/>
        <w:rPr>
          <w:rFonts w:ascii="仿宋" w:hAnsi="仿宋" w:eastAsia="仿宋"/>
          <w:sz w:val="28"/>
          <w:szCs w:val="28"/>
        </w:rPr>
      </w:pPr>
      <w:r>
        <w:fldChar w:fldCharType="begin"/>
      </w:r>
      <w:r>
        <w:instrText xml:space="preserve"> HYPERLINK \l "_Toc15396608" </w:instrText>
      </w:r>
      <w:r>
        <w:fldChar w:fldCharType="separate"/>
      </w:r>
      <w:r>
        <w:rPr>
          <w:rStyle w:val="15"/>
          <w:rFonts w:hint="eastAsia" w:ascii="仿宋" w:hAnsi="仿宋" w:eastAsia="仿宋"/>
          <w:sz w:val="28"/>
          <w:szCs w:val="28"/>
        </w:rPr>
        <w:t>六、一</w:t>
      </w:r>
      <w:r>
        <w:rPr>
          <w:rStyle w:val="15"/>
          <w:rFonts w:hint="eastAsia" w:ascii="仿宋" w:hAnsi="仿宋" w:eastAsia="仿宋"/>
          <w:bCs/>
          <w:sz w:val="28"/>
          <w:szCs w:val="28"/>
        </w:rPr>
        <w:t>般公共预算财政拨款基本支出决算情况说明</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_Toc15396608 \h </w:instrText>
      </w:r>
      <w:r>
        <w:rPr>
          <w:rFonts w:ascii="仿宋" w:hAnsi="仿宋" w:eastAsia="仿宋"/>
          <w:sz w:val="28"/>
          <w:szCs w:val="28"/>
        </w:rPr>
        <w:fldChar w:fldCharType="separate"/>
      </w:r>
      <w:r>
        <w:rPr>
          <w:rFonts w:ascii="仿宋" w:hAnsi="仿宋" w:eastAsia="仿宋"/>
          <w:sz w:val="28"/>
          <w:szCs w:val="28"/>
        </w:rPr>
        <w:t>11</w:t>
      </w:r>
      <w:r>
        <w:rPr>
          <w:rFonts w:ascii="仿宋" w:hAnsi="仿宋" w:eastAsia="仿宋"/>
          <w:sz w:val="28"/>
          <w:szCs w:val="28"/>
        </w:rPr>
        <w:fldChar w:fldCharType="end"/>
      </w:r>
      <w:r>
        <w:rPr>
          <w:rFonts w:ascii="仿宋" w:hAnsi="仿宋" w:eastAsia="仿宋"/>
          <w:sz w:val="28"/>
          <w:szCs w:val="28"/>
        </w:rPr>
        <w:fldChar w:fldCharType="end"/>
      </w:r>
    </w:p>
    <w:p>
      <w:pPr>
        <w:pStyle w:val="11"/>
        <w:rPr>
          <w:rFonts w:ascii="仿宋" w:hAnsi="仿宋" w:eastAsia="仿宋"/>
          <w:sz w:val="28"/>
          <w:szCs w:val="28"/>
        </w:rPr>
      </w:pPr>
      <w:r>
        <w:fldChar w:fldCharType="begin"/>
      </w:r>
      <w:r>
        <w:instrText xml:space="preserve"> HYPERLINK \l "_Toc15396609" </w:instrText>
      </w:r>
      <w:r>
        <w:fldChar w:fldCharType="separate"/>
      </w:r>
      <w:r>
        <w:rPr>
          <w:rStyle w:val="15"/>
          <w:rFonts w:hint="eastAsia" w:ascii="仿宋" w:hAnsi="仿宋" w:eastAsia="仿宋"/>
          <w:sz w:val="28"/>
          <w:szCs w:val="28"/>
        </w:rPr>
        <w:t>七、“</w:t>
      </w:r>
      <w:r>
        <w:rPr>
          <w:rStyle w:val="15"/>
          <w:rFonts w:hint="eastAsia" w:ascii="仿宋" w:hAnsi="仿宋" w:eastAsia="仿宋"/>
          <w:bCs/>
          <w:sz w:val="28"/>
          <w:szCs w:val="28"/>
        </w:rPr>
        <w:t>三公”经费财政拨款支出决算情况说明</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_Toc15396609 \h </w:instrText>
      </w:r>
      <w:r>
        <w:rPr>
          <w:rFonts w:ascii="仿宋" w:hAnsi="仿宋" w:eastAsia="仿宋"/>
          <w:sz w:val="28"/>
          <w:szCs w:val="28"/>
        </w:rPr>
        <w:fldChar w:fldCharType="separate"/>
      </w:r>
      <w:r>
        <w:rPr>
          <w:rFonts w:ascii="仿宋" w:hAnsi="仿宋" w:eastAsia="仿宋"/>
          <w:sz w:val="28"/>
          <w:szCs w:val="28"/>
        </w:rPr>
        <w:t>12</w:t>
      </w:r>
      <w:r>
        <w:rPr>
          <w:rFonts w:ascii="仿宋" w:hAnsi="仿宋" w:eastAsia="仿宋"/>
          <w:sz w:val="28"/>
          <w:szCs w:val="28"/>
        </w:rPr>
        <w:fldChar w:fldCharType="end"/>
      </w:r>
      <w:r>
        <w:rPr>
          <w:rFonts w:ascii="仿宋" w:hAnsi="仿宋" w:eastAsia="仿宋"/>
          <w:sz w:val="28"/>
          <w:szCs w:val="28"/>
        </w:rPr>
        <w:fldChar w:fldCharType="end"/>
      </w:r>
    </w:p>
    <w:p>
      <w:pPr>
        <w:pStyle w:val="11"/>
        <w:rPr>
          <w:rFonts w:ascii="仿宋" w:hAnsi="仿宋" w:eastAsia="仿宋"/>
          <w:sz w:val="28"/>
          <w:szCs w:val="28"/>
        </w:rPr>
      </w:pPr>
      <w:r>
        <w:fldChar w:fldCharType="begin"/>
      </w:r>
      <w:r>
        <w:instrText xml:space="preserve"> HYPERLINK \l "_Toc15396610" </w:instrText>
      </w:r>
      <w:r>
        <w:fldChar w:fldCharType="separate"/>
      </w:r>
      <w:r>
        <w:rPr>
          <w:rStyle w:val="15"/>
          <w:rFonts w:hint="eastAsia" w:ascii="仿宋" w:hAnsi="仿宋" w:eastAsia="仿宋"/>
          <w:sz w:val="28"/>
          <w:szCs w:val="28"/>
        </w:rPr>
        <w:t>八、</w:t>
      </w:r>
      <w:r>
        <w:rPr>
          <w:rStyle w:val="15"/>
          <w:rFonts w:hint="eastAsia" w:ascii="仿宋" w:hAnsi="仿宋" w:eastAsia="仿宋"/>
          <w:bCs/>
          <w:sz w:val="28"/>
          <w:szCs w:val="28"/>
        </w:rPr>
        <w:t>政府性基金预算支出决算情况说明</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_Toc15396610 \h </w:instrText>
      </w:r>
      <w:r>
        <w:rPr>
          <w:rFonts w:ascii="仿宋" w:hAnsi="仿宋" w:eastAsia="仿宋"/>
          <w:sz w:val="28"/>
          <w:szCs w:val="28"/>
        </w:rPr>
        <w:fldChar w:fldCharType="separate"/>
      </w:r>
      <w:r>
        <w:rPr>
          <w:rFonts w:ascii="仿宋" w:hAnsi="仿宋" w:eastAsia="仿宋"/>
          <w:sz w:val="28"/>
          <w:szCs w:val="28"/>
        </w:rPr>
        <w:t>13</w:t>
      </w:r>
      <w:r>
        <w:rPr>
          <w:rFonts w:ascii="仿宋" w:hAnsi="仿宋" w:eastAsia="仿宋"/>
          <w:sz w:val="28"/>
          <w:szCs w:val="28"/>
        </w:rPr>
        <w:fldChar w:fldCharType="end"/>
      </w:r>
      <w:r>
        <w:rPr>
          <w:rFonts w:ascii="仿宋" w:hAnsi="仿宋" w:eastAsia="仿宋"/>
          <w:sz w:val="28"/>
          <w:szCs w:val="28"/>
        </w:rPr>
        <w:fldChar w:fldCharType="end"/>
      </w:r>
    </w:p>
    <w:p>
      <w:pPr>
        <w:pStyle w:val="11"/>
        <w:rPr>
          <w:rFonts w:ascii="仿宋" w:hAnsi="仿宋" w:eastAsia="仿宋"/>
          <w:sz w:val="28"/>
          <w:szCs w:val="28"/>
        </w:rPr>
      </w:pPr>
      <w:r>
        <w:fldChar w:fldCharType="begin"/>
      </w:r>
      <w:r>
        <w:instrText xml:space="preserve"> HYPERLINK \l "_Toc15396611" </w:instrText>
      </w:r>
      <w:r>
        <w:fldChar w:fldCharType="separate"/>
      </w:r>
      <w:r>
        <w:rPr>
          <w:rStyle w:val="15"/>
          <w:rFonts w:hint="eastAsia" w:ascii="仿宋" w:hAnsi="仿宋" w:eastAsia="仿宋"/>
          <w:bCs/>
          <w:sz w:val="28"/>
          <w:szCs w:val="28"/>
        </w:rPr>
        <w:t>九、</w:t>
      </w:r>
      <w:r>
        <w:rPr>
          <w:rStyle w:val="15"/>
          <w:rFonts w:ascii="仿宋" w:hAnsi="仿宋" w:eastAsia="仿宋"/>
          <w:sz w:val="28"/>
          <w:szCs w:val="28"/>
        </w:rPr>
        <w:t xml:space="preserve"> </w:t>
      </w:r>
      <w:r>
        <w:rPr>
          <w:rStyle w:val="15"/>
          <w:rFonts w:hint="eastAsia" w:ascii="仿宋" w:hAnsi="仿宋" w:eastAsia="仿宋"/>
          <w:sz w:val="28"/>
          <w:szCs w:val="28"/>
        </w:rPr>
        <w:t>国</w:t>
      </w:r>
      <w:r>
        <w:rPr>
          <w:rStyle w:val="15"/>
          <w:rFonts w:hint="eastAsia" w:ascii="仿宋" w:hAnsi="仿宋" w:eastAsia="仿宋"/>
          <w:bCs/>
          <w:sz w:val="28"/>
          <w:szCs w:val="28"/>
        </w:rPr>
        <w:t>有资本经营预算支出决算情况说明</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_Toc15396611 \h </w:instrText>
      </w:r>
      <w:r>
        <w:rPr>
          <w:rFonts w:ascii="仿宋" w:hAnsi="仿宋" w:eastAsia="仿宋"/>
          <w:sz w:val="28"/>
          <w:szCs w:val="28"/>
        </w:rPr>
        <w:fldChar w:fldCharType="separate"/>
      </w:r>
      <w:r>
        <w:rPr>
          <w:rFonts w:ascii="仿宋" w:hAnsi="仿宋" w:eastAsia="仿宋"/>
          <w:sz w:val="28"/>
          <w:szCs w:val="28"/>
        </w:rPr>
        <w:t>13</w:t>
      </w:r>
      <w:r>
        <w:rPr>
          <w:rFonts w:ascii="仿宋" w:hAnsi="仿宋" w:eastAsia="仿宋"/>
          <w:sz w:val="28"/>
          <w:szCs w:val="28"/>
        </w:rPr>
        <w:fldChar w:fldCharType="end"/>
      </w:r>
      <w:r>
        <w:rPr>
          <w:rFonts w:ascii="仿宋" w:hAnsi="仿宋" w:eastAsia="仿宋"/>
          <w:sz w:val="28"/>
          <w:szCs w:val="28"/>
        </w:rPr>
        <w:fldChar w:fldCharType="end"/>
      </w:r>
    </w:p>
    <w:p>
      <w:pPr>
        <w:pStyle w:val="11"/>
        <w:rPr>
          <w:rFonts w:hint="eastAsia" w:ascii="仿宋" w:hAnsi="仿宋" w:eastAsia="仿宋"/>
          <w:sz w:val="28"/>
          <w:szCs w:val="28"/>
          <w:lang w:val="en-US" w:eastAsia="zh-CN"/>
        </w:rPr>
      </w:pPr>
      <w:r>
        <w:fldChar w:fldCharType="begin"/>
      </w:r>
      <w:r>
        <w:instrText xml:space="preserve"> HYPERLINK \l "_Toc15396612" </w:instrText>
      </w:r>
      <w:r>
        <w:fldChar w:fldCharType="separate"/>
      </w:r>
      <w:r>
        <w:rPr>
          <w:rStyle w:val="15"/>
          <w:rFonts w:hint="eastAsia" w:ascii="仿宋" w:hAnsi="仿宋" w:eastAsia="仿宋"/>
          <w:sz w:val="28"/>
          <w:szCs w:val="28"/>
        </w:rPr>
        <w:t>十</w:t>
      </w:r>
      <w:r>
        <w:rPr>
          <w:rStyle w:val="15"/>
          <w:rFonts w:hint="eastAsia" w:ascii="仿宋" w:hAnsi="仿宋" w:eastAsia="仿宋"/>
          <w:bCs/>
          <w:sz w:val="28"/>
          <w:szCs w:val="28"/>
        </w:rPr>
        <w:t>、其他重要事项的情况说明</w:t>
      </w:r>
      <w:r>
        <w:rPr>
          <w:rFonts w:ascii="仿宋" w:hAnsi="仿宋" w:eastAsia="仿宋"/>
          <w:sz w:val="28"/>
          <w:szCs w:val="28"/>
        </w:rPr>
        <w:tab/>
      </w:r>
      <w:r>
        <w:rPr>
          <w:rFonts w:hint="eastAsia" w:ascii="仿宋" w:hAnsi="仿宋" w:eastAsia="仿宋"/>
          <w:sz w:val="28"/>
          <w:szCs w:val="28"/>
          <w:lang w:val="en-US" w:eastAsia="zh-CN"/>
        </w:rPr>
        <w:t>1</w:t>
      </w:r>
      <w:r>
        <w:rPr>
          <w:rFonts w:ascii="仿宋" w:hAnsi="仿宋" w:eastAsia="仿宋"/>
          <w:sz w:val="28"/>
          <w:szCs w:val="28"/>
        </w:rPr>
        <w:fldChar w:fldCharType="end"/>
      </w:r>
      <w:r>
        <w:rPr>
          <w:rFonts w:hint="eastAsia" w:ascii="仿宋" w:hAnsi="仿宋" w:eastAsia="仿宋"/>
          <w:sz w:val="28"/>
          <w:szCs w:val="28"/>
          <w:lang w:val="en-US" w:eastAsia="zh-CN"/>
        </w:rPr>
        <w:t>4</w:t>
      </w:r>
    </w:p>
    <w:p>
      <w:pPr>
        <w:pStyle w:val="10"/>
      </w:pPr>
      <w:r>
        <w:fldChar w:fldCharType="begin"/>
      </w:r>
      <w:r>
        <w:instrText xml:space="preserve"> HYPERLINK \l "_Toc15396613" </w:instrText>
      </w:r>
      <w:r>
        <w:fldChar w:fldCharType="separate"/>
      </w:r>
      <w:r>
        <w:rPr>
          <w:rStyle w:val="15"/>
          <w:rFonts w:hint="eastAsia"/>
          <w:bCs/>
          <w:kern w:val="44"/>
        </w:rPr>
        <w:t>第三部分</w:t>
      </w:r>
      <w:r>
        <w:rPr>
          <w:rStyle w:val="15"/>
        </w:rPr>
        <w:t xml:space="preserve"> </w:t>
      </w:r>
      <w:r>
        <w:rPr>
          <w:rStyle w:val="15"/>
          <w:rFonts w:hint="eastAsia"/>
        </w:rPr>
        <w:t>名</w:t>
      </w:r>
      <w:r>
        <w:rPr>
          <w:rStyle w:val="15"/>
          <w:rFonts w:hint="eastAsia"/>
          <w:bCs/>
          <w:kern w:val="44"/>
        </w:rPr>
        <w:t>词解释</w:t>
      </w:r>
      <w:r>
        <w:tab/>
      </w:r>
      <w:r>
        <w:fldChar w:fldCharType="begin"/>
      </w:r>
      <w:r>
        <w:instrText xml:space="preserve"> PAGEREF _Toc15396613 \h </w:instrText>
      </w:r>
      <w:r>
        <w:fldChar w:fldCharType="separate"/>
      </w:r>
      <w:r>
        <w:t>17</w:t>
      </w:r>
      <w:r>
        <w:fldChar w:fldCharType="end"/>
      </w:r>
      <w:r>
        <w:fldChar w:fldCharType="end"/>
      </w:r>
    </w:p>
    <w:p>
      <w:pPr>
        <w:pStyle w:val="10"/>
      </w:pPr>
      <w:r>
        <w:fldChar w:fldCharType="begin"/>
      </w:r>
      <w:r>
        <w:instrText xml:space="preserve"> HYPERLINK \l "_Toc15396614" </w:instrText>
      </w:r>
      <w:r>
        <w:fldChar w:fldCharType="separate"/>
      </w:r>
      <w:r>
        <w:rPr>
          <w:rStyle w:val="15"/>
          <w:rFonts w:hint="eastAsia"/>
        </w:rPr>
        <w:t>第</w:t>
      </w:r>
      <w:r>
        <w:rPr>
          <w:rStyle w:val="15"/>
          <w:rFonts w:hint="eastAsia"/>
          <w:bCs/>
          <w:kern w:val="44"/>
        </w:rPr>
        <w:t>四部分</w:t>
      </w:r>
      <w:r>
        <w:rPr>
          <w:rStyle w:val="15"/>
          <w:bCs/>
          <w:kern w:val="44"/>
        </w:rPr>
        <w:t xml:space="preserve"> </w:t>
      </w:r>
      <w:r>
        <w:rPr>
          <w:rStyle w:val="15"/>
          <w:rFonts w:hint="eastAsia"/>
          <w:bCs/>
          <w:kern w:val="44"/>
        </w:rPr>
        <w:t>附件</w:t>
      </w:r>
      <w:r>
        <w:tab/>
      </w:r>
      <w:r>
        <w:fldChar w:fldCharType="begin"/>
      </w:r>
      <w:r>
        <w:instrText xml:space="preserve"> PAGEREF _Toc15396614 \h </w:instrText>
      </w:r>
      <w:r>
        <w:fldChar w:fldCharType="separate"/>
      </w:r>
      <w:r>
        <w:t>17</w:t>
      </w:r>
      <w:r>
        <w:fldChar w:fldCharType="end"/>
      </w:r>
      <w:r>
        <w:fldChar w:fldCharType="end"/>
      </w:r>
    </w:p>
    <w:p>
      <w:pPr>
        <w:pStyle w:val="11"/>
        <w:rPr>
          <w:rFonts w:ascii="仿宋" w:hAnsi="仿宋" w:eastAsia="仿宋"/>
          <w:sz w:val="28"/>
          <w:szCs w:val="28"/>
        </w:rPr>
      </w:pPr>
      <w:r>
        <w:fldChar w:fldCharType="begin"/>
      </w:r>
      <w:r>
        <w:instrText xml:space="preserve"> HYPERLINK \l "_Toc15396615" </w:instrText>
      </w:r>
      <w:r>
        <w:fldChar w:fldCharType="separate"/>
      </w:r>
      <w:r>
        <w:rPr>
          <w:rStyle w:val="15"/>
          <w:rFonts w:hint="eastAsia" w:ascii="仿宋" w:hAnsi="仿宋" w:eastAsia="仿宋"/>
          <w:kern w:val="44"/>
          <w:sz w:val="28"/>
          <w:szCs w:val="28"/>
        </w:rPr>
        <w:t>附件</w:t>
      </w:r>
      <w:r>
        <w:rPr>
          <w:rStyle w:val="15"/>
          <w:rFonts w:ascii="仿宋" w:hAnsi="仿宋" w:eastAsia="仿宋"/>
          <w:kern w:val="44"/>
          <w:sz w:val="28"/>
          <w:szCs w:val="28"/>
        </w:rPr>
        <w:t>1</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_Toc15396615 \h </w:instrText>
      </w:r>
      <w:r>
        <w:rPr>
          <w:rFonts w:ascii="仿宋" w:hAnsi="仿宋" w:eastAsia="仿宋"/>
          <w:sz w:val="28"/>
          <w:szCs w:val="28"/>
        </w:rPr>
        <w:fldChar w:fldCharType="separate"/>
      </w:r>
      <w:r>
        <w:rPr>
          <w:rFonts w:ascii="仿宋" w:hAnsi="仿宋" w:eastAsia="仿宋"/>
          <w:sz w:val="28"/>
          <w:szCs w:val="28"/>
        </w:rPr>
        <w:t>20</w:t>
      </w:r>
      <w:r>
        <w:rPr>
          <w:rFonts w:ascii="仿宋" w:hAnsi="仿宋" w:eastAsia="仿宋"/>
          <w:sz w:val="28"/>
          <w:szCs w:val="28"/>
        </w:rPr>
        <w:fldChar w:fldCharType="end"/>
      </w:r>
      <w:r>
        <w:rPr>
          <w:rFonts w:ascii="仿宋" w:hAnsi="仿宋" w:eastAsia="仿宋"/>
          <w:sz w:val="28"/>
          <w:szCs w:val="28"/>
        </w:rPr>
        <w:fldChar w:fldCharType="end"/>
      </w:r>
    </w:p>
    <w:p>
      <w:pPr>
        <w:pStyle w:val="11"/>
        <w:rPr>
          <w:rFonts w:hint="eastAsia" w:ascii="仿宋" w:hAnsi="仿宋" w:eastAsia="仿宋"/>
          <w:sz w:val="28"/>
          <w:szCs w:val="28"/>
          <w:lang w:val="en-US" w:eastAsia="zh-CN"/>
        </w:rPr>
      </w:pPr>
      <w:r>
        <w:fldChar w:fldCharType="begin"/>
      </w:r>
      <w:r>
        <w:instrText xml:space="preserve"> HYPERLINK \l "_Toc15396617" </w:instrText>
      </w:r>
      <w:r>
        <w:fldChar w:fldCharType="separate"/>
      </w:r>
      <w:r>
        <w:rPr>
          <w:rStyle w:val="15"/>
          <w:rFonts w:hint="eastAsia" w:ascii="仿宋" w:hAnsi="仿宋" w:eastAsia="仿宋"/>
          <w:kern w:val="44"/>
          <w:sz w:val="28"/>
          <w:szCs w:val="28"/>
        </w:rPr>
        <w:t>附件</w:t>
      </w:r>
      <w:r>
        <w:rPr>
          <w:rStyle w:val="15"/>
          <w:rFonts w:ascii="仿宋" w:hAnsi="仿宋" w:eastAsia="仿宋"/>
          <w:kern w:val="44"/>
          <w:sz w:val="28"/>
          <w:szCs w:val="28"/>
        </w:rPr>
        <w:t>2</w:t>
      </w:r>
      <w:r>
        <w:rPr>
          <w:rFonts w:ascii="仿宋" w:hAnsi="仿宋" w:eastAsia="仿宋"/>
          <w:sz w:val="28"/>
          <w:szCs w:val="28"/>
        </w:rPr>
        <w:tab/>
      </w:r>
      <w:r>
        <w:rPr>
          <w:rFonts w:hint="eastAsia" w:ascii="仿宋" w:hAnsi="仿宋" w:eastAsia="仿宋"/>
          <w:sz w:val="28"/>
          <w:szCs w:val="28"/>
          <w:lang w:val="en-US" w:eastAsia="zh-CN"/>
        </w:rPr>
        <w:t>1</w:t>
      </w:r>
      <w:r>
        <w:rPr>
          <w:rFonts w:ascii="仿宋" w:hAnsi="仿宋" w:eastAsia="仿宋"/>
          <w:sz w:val="28"/>
          <w:szCs w:val="28"/>
        </w:rPr>
        <w:fldChar w:fldCharType="end"/>
      </w:r>
      <w:r>
        <w:rPr>
          <w:rFonts w:hint="eastAsia" w:ascii="仿宋" w:hAnsi="仿宋" w:eastAsia="仿宋"/>
          <w:sz w:val="28"/>
          <w:szCs w:val="28"/>
          <w:lang w:val="en-US" w:eastAsia="zh-CN"/>
        </w:rPr>
        <w:t>9</w:t>
      </w:r>
    </w:p>
    <w:p>
      <w:pPr>
        <w:pStyle w:val="10"/>
      </w:pPr>
      <w:r>
        <w:fldChar w:fldCharType="begin"/>
      </w:r>
      <w:r>
        <w:instrText xml:space="preserve"> HYPERLINK \l "_Toc15396618" </w:instrText>
      </w:r>
      <w:r>
        <w:fldChar w:fldCharType="separate"/>
      </w:r>
      <w:r>
        <w:rPr>
          <w:rStyle w:val="15"/>
          <w:rFonts w:hint="eastAsia"/>
        </w:rPr>
        <w:t>第</w:t>
      </w:r>
      <w:r>
        <w:rPr>
          <w:rStyle w:val="15"/>
          <w:rFonts w:hint="eastAsia"/>
          <w:bCs/>
          <w:kern w:val="44"/>
        </w:rPr>
        <w:t>五部分</w:t>
      </w:r>
      <w:r>
        <w:rPr>
          <w:rStyle w:val="15"/>
          <w:bCs/>
          <w:kern w:val="44"/>
        </w:rPr>
        <w:t xml:space="preserve"> </w:t>
      </w:r>
      <w:r>
        <w:rPr>
          <w:rStyle w:val="15"/>
          <w:rFonts w:hint="eastAsia"/>
          <w:bCs/>
          <w:kern w:val="44"/>
        </w:rPr>
        <w:t>附表</w:t>
      </w:r>
      <w:r>
        <w:tab/>
      </w:r>
      <w:r>
        <w:fldChar w:fldCharType="begin"/>
      </w:r>
      <w:r>
        <w:instrText xml:space="preserve"> PAGEREF _Toc15396618 \h </w:instrText>
      </w:r>
      <w:r>
        <w:fldChar w:fldCharType="separate"/>
      </w:r>
      <w:r>
        <w:t>22</w:t>
      </w:r>
      <w:r>
        <w:fldChar w:fldCharType="end"/>
      </w:r>
      <w:r>
        <w:fldChar w:fldCharType="end"/>
      </w:r>
    </w:p>
    <w:p>
      <w:pPr>
        <w:pStyle w:val="11"/>
        <w:rPr>
          <w:rFonts w:ascii="仿宋" w:hAnsi="仿宋" w:eastAsia="仿宋"/>
          <w:sz w:val="28"/>
          <w:szCs w:val="28"/>
        </w:rPr>
      </w:pPr>
      <w:r>
        <w:rPr>
          <w:rFonts w:hint="eastAsia" w:ascii="仿宋" w:hAnsi="仿宋" w:eastAsia="仿宋"/>
          <w:sz w:val="28"/>
          <w:szCs w:val="28"/>
        </w:rPr>
        <w:t>一、</w:t>
      </w:r>
      <w:r>
        <w:fldChar w:fldCharType="begin"/>
      </w:r>
      <w:r>
        <w:instrText xml:space="preserve"> HYPERLINK \l "_Toc15396619" </w:instrText>
      </w:r>
      <w:r>
        <w:fldChar w:fldCharType="separate"/>
      </w:r>
      <w:r>
        <w:rPr>
          <w:rStyle w:val="15"/>
          <w:rFonts w:hint="eastAsia" w:ascii="仿宋" w:hAnsi="仿宋" w:eastAsia="仿宋"/>
          <w:sz w:val="28"/>
          <w:szCs w:val="28"/>
        </w:rPr>
        <w:t>收入支出决算总表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_Toc15396619 \h </w:instrText>
      </w:r>
      <w:r>
        <w:rPr>
          <w:rFonts w:ascii="仿宋" w:hAnsi="仿宋" w:eastAsia="仿宋"/>
          <w:sz w:val="28"/>
          <w:szCs w:val="28"/>
        </w:rPr>
        <w:fldChar w:fldCharType="separate"/>
      </w:r>
      <w:r>
        <w:rPr>
          <w:rFonts w:ascii="仿宋" w:hAnsi="仿宋" w:eastAsia="仿宋"/>
          <w:sz w:val="28"/>
          <w:szCs w:val="28"/>
        </w:rPr>
        <w:t>22</w:t>
      </w:r>
      <w:r>
        <w:rPr>
          <w:rFonts w:ascii="仿宋" w:hAnsi="仿宋" w:eastAsia="仿宋"/>
          <w:sz w:val="28"/>
          <w:szCs w:val="28"/>
        </w:rPr>
        <w:fldChar w:fldCharType="end"/>
      </w:r>
      <w:r>
        <w:rPr>
          <w:rFonts w:ascii="仿宋" w:hAnsi="仿宋" w:eastAsia="仿宋"/>
          <w:sz w:val="28"/>
          <w:szCs w:val="28"/>
        </w:rPr>
        <w:fldChar w:fldCharType="end"/>
      </w:r>
    </w:p>
    <w:p>
      <w:pPr>
        <w:pStyle w:val="11"/>
        <w:rPr>
          <w:rFonts w:ascii="仿宋" w:hAnsi="仿宋" w:eastAsia="仿宋"/>
          <w:sz w:val="28"/>
          <w:szCs w:val="28"/>
        </w:rPr>
      </w:pPr>
      <w:r>
        <w:rPr>
          <w:rFonts w:hint="eastAsia" w:ascii="仿宋" w:hAnsi="仿宋" w:eastAsia="仿宋"/>
          <w:sz w:val="28"/>
          <w:szCs w:val="28"/>
        </w:rPr>
        <w:t>二、</w:t>
      </w:r>
      <w:r>
        <w:fldChar w:fldCharType="begin"/>
      </w:r>
      <w:r>
        <w:instrText xml:space="preserve"> HYPERLINK \l "_Toc15396620" </w:instrText>
      </w:r>
      <w:r>
        <w:fldChar w:fldCharType="separate"/>
      </w:r>
      <w:r>
        <w:rPr>
          <w:rStyle w:val="15"/>
          <w:rFonts w:hint="eastAsia" w:ascii="仿宋" w:hAnsi="仿宋" w:eastAsia="仿宋"/>
          <w:sz w:val="28"/>
          <w:szCs w:val="28"/>
        </w:rPr>
        <w:t>收入总表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_Toc15396620 \h </w:instrText>
      </w:r>
      <w:r>
        <w:rPr>
          <w:rFonts w:ascii="仿宋" w:hAnsi="仿宋" w:eastAsia="仿宋"/>
          <w:sz w:val="28"/>
          <w:szCs w:val="28"/>
        </w:rPr>
        <w:fldChar w:fldCharType="separate"/>
      </w:r>
      <w:r>
        <w:rPr>
          <w:rFonts w:ascii="仿宋" w:hAnsi="仿宋" w:eastAsia="仿宋"/>
          <w:sz w:val="28"/>
          <w:szCs w:val="28"/>
        </w:rPr>
        <w:t>22</w:t>
      </w:r>
      <w:r>
        <w:rPr>
          <w:rFonts w:ascii="仿宋" w:hAnsi="仿宋" w:eastAsia="仿宋"/>
          <w:sz w:val="28"/>
          <w:szCs w:val="28"/>
        </w:rPr>
        <w:fldChar w:fldCharType="end"/>
      </w:r>
      <w:r>
        <w:rPr>
          <w:rFonts w:ascii="仿宋" w:hAnsi="仿宋" w:eastAsia="仿宋"/>
          <w:sz w:val="28"/>
          <w:szCs w:val="28"/>
        </w:rPr>
        <w:fldChar w:fldCharType="end"/>
      </w:r>
    </w:p>
    <w:p>
      <w:pPr>
        <w:pStyle w:val="11"/>
        <w:rPr>
          <w:rFonts w:ascii="仿宋" w:hAnsi="仿宋" w:eastAsia="仿宋"/>
          <w:sz w:val="28"/>
          <w:szCs w:val="28"/>
        </w:rPr>
      </w:pPr>
      <w:r>
        <w:rPr>
          <w:rFonts w:hint="eastAsia" w:ascii="仿宋" w:hAnsi="仿宋" w:eastAsia="仿宋"/>
          <w:sz w:val="28"/>
          <w:szCs w:val="28"/>
        </w:rPr>
        <w:t>三、</w:t>
      </w:r>
      <w:r>
        <w:fldChar w:fldCharType="begin"/>
      </w:r>
      <w:r>
        <w:instrText xml:space="preserve"> HYPERLINK \l "_Toc15396621" </w:instrText>
      </w:r>
      <w:r>
        <w:fldChar w:fldCharType="separate"/>
      </w:r>
      <w:r>
        <w:rPr>
          <w:rStyle w:val="15"/>
          <w:rFonts w:hint="eastAsia" w:ascii="仿宋" w:hAnsi="仿宋" w:eastAsia="仿宋"/>
          <w:sz w:val="28"/>
          <w:szCs w:val="28"/>
        </w:rPr>
        <w:t>支出总表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_Toc15396621 \h </w:instrText>
      </w:r>
      <w:r>
        <w:rPr>
          <w:rFonts w:ascii="仿宋" w:hAnsi="仿宋" w:eastAsia="仿宋"/>
          <w:sz w:val="28"/>
          <w:szCs w:val="28"/>
        </w:rPr>
        <w:fldChar w:fldCharType="separate"/>
      </w:r>
      <w:r>
        <w:rPr>
          <w:rFonts w:ascii="仿宋" w:hAnsi="仿宋" w:eastAsia="仿宋"/>
          <w:sz w:val="28"/>
          <w:szCs w:val="28"/>
        </w:rPr>
        <w:t>22</w:t>
      </w:r>
      <w:r>
        <w:rPr>
          <w:rFonts w:ascii="仿宋" w:hAnsi="仿宋" w:eastAsia="仿宋"/>
          <w:sz w:val="28"/>
          <w:szCs w:val="28"/>
        </w:rPr>
        <w:fldChar w:fldCharType="end"/>
      </w:r>
      <w:r>
        <w:rPr>
          <w:rFonts w:ascii="仿宋" w:hAnsi="仿宋" w:eastAsia="仿宋"/>
          <w:sz w:val="28"/>
          <w:szCs w:val="28"/>
        </w:rPr>
        <w:fldChar w:fldCharType="end"/>
      </w:r>
    </w:p>
    <w:p>
      <w:pPr>
        <w:pStyle w:val="11"/>
        <w:rPr>
          <w:rFonts w:ascii="仿宋" w:hAnsi="仿宋" w:eastAsia="仿宋"/>
          <w:sz w:val="28"/>
          <w:szCs w:val="28"/>
        </w:rPr>
      </w:pPr>
      <w:r>
        <w:rPr>
          <w:rFonts w:hint="eastAsia" w:ascii="仿宋" w:hAnsi="仿宋" w:eastAsia="仿宋"/>
          <w:sz w:val="28"/>
          <w:szCs w:val="28"/>
        </w:rPr>
        <w:t>四、</w:t>
      </w:r>
      <w:r>
        <w:fldChar w:fldCharType="begin"/>
      </w:r>
      <w:r>
        <w:instrText xml:space="preserve"> HYPERLINK \l "_Toc15396622" </w:instrText>
      </w:r>
      <w:r>
        <w:fldChar w:fldCharType="separate"/>
      </w:r>
      <w:r>
        <w:rPr>
          <w:rStyle w:val="15"/>
          <w:rFonts w:hint="eastAsia" w:ascii="仿宋" w:hAnsi="仿宋" w:eastAsia="仿宋"/>
          <w:sz w:val="28"/>
          <w:szCs w:val="28"/>
        </w:rPr>
        <w:t>财政拨款收入支出决算总表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_Toc15396622 \h </w:instrText>
      </w:r>
      <w:r>
        <w:rPr>
          <w:rFonts w:ascii="仿宋" w:hAnsi="仿宋" w:eastAsia="仿宋"/>
          <w:sz w:val="28"/>
          <w:szCs w:val="28"/>
        </w:rPr>
        <w:fldChar w:fldCharType="separate"/>
      </w:r>
      <w:r>
        <w:rPr>
          <w:rFonts w:ascii="仿宋" w:hAnsi="仿宋" w:eastAsia="仿宋"/>
          <w:sz w:val="28"/>
          <w:szCs w:val="28"/>
        </w:rPr>
        <w:t>22</w:t>
      </w:r>
      <w:r>
        <w:rPr>
          <w:rFonts w:ascii="仿宋" w:hAnsi="仿宋" w:eastAsia="仿宋"/>
          <w:sz w:val="28"/>
          <w:szCs w:val="28"/>
        </w:rPr>
        <w:fldChar w:fldCharType="end"/>
      </w:r>
      <w:r>
        <w:rPr>
          <w:rFonts w:ascii="仿宋" w:hAnsi="仿宋" w:eastAsia="仿宋"/>
          <w:sz w:val="28"/>
          <w:szCs w:val="28"/>
        </w:rPr>
        <w:fldChar w:fldCharType="end"/>
      </w:r>
    </w:p>
    <w:p>
      <w:pPr>
        <w:pStyle w:val="11"/>
        <w:rPr>
          <w:rFonts w:ascii="仿宋" w:hAnsi="仿宋" w:eastAsia="仿宋"/>
          <w:sz w:val="28"/>
          <w:szCs w:val="28"/>
        </w:rPr>
      </w:pPr>
      <w:r>
        <w:rPr>
          <w:rFonts w:hint="eastAsia" w:ascii="仿宋" w:hAnsi="仿宋" w:eastAsia="仿宋"/>
          <w:sz w:val="28"/>
          <w:szCs w:val="28"/>
        </w:rPr>
        <w:t>五、</w:t>
      </w:r>
      <w:r>
        <w:fldChar w:fldCharType="begin"/>
      </w:r>
      <w:r>
        <w:instrText xml:space="preserve"> HYPERLINK \l "_Toc15396623" </w:instrText>
      </w:r>
      <w:r>
        <w:fldChar w:fldCharType="separate"/>
      </w:r>
      <w:r>
        <w:rPr>
          <w:rFonts w:hint="eastAsia" w:ascii="仿宋" w:hAnsi="仿宋" w:eastAsia="仿宋"/>
          <w:sz w:val="28"/>
          <w:szCs w:val="28"/>
        </w:rPr>
        <w:t>财政拨款支出决算明细表（政府经济分类科目）</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_Toc15396623 \h </w:instrText>
      </w:r>
      <w:r>
        <w:rPr>
          <w:rFonts w:ascii="仿宋" w:hAnsi="仿宋" w:eastAsia="仿宋"/>
          <w:sz w:val="28"/>
          <w:szCs w:val="28"/>
        </w:rPr>
        <w:fldChar w:fldCharType="separate"/>
      </w:r>
      <w:r>
        <w:rPr>
          <w:rFonts w:ascii="仿宋" w:hAnsi="仿宋" w:eastAsia="仿宋"/>
          <w:sz w:val="28"/>
          <w:szCs w:val="28"/>
        </w:rPr>
        <w:t>22</w:t>
      </w:r>
      <w:r>
        <w:rPr>
          <w:rFonts w:ascii="仿宋" w:hAnsi="仿宋" w:eastAsia="仿宋"/>
          <w:sz w:val="28"/>
          <w:szCs w:val="28"/>
        </w:rPr>
        <w:fldChar w:fldCharType="end"/>
      </w:r>
      <w:r>
        <w:rPr>
          <w:rFonts w:ascii="仿宋" w:hAnsi="仿宋" w:eastAsia="仿宋"/>
          <w:sz w:val="28"/>
          <w:szCs w:val="28"/>
        </w:rPr>
        <w:fldChar w:fldCharType="end"/>
      </w:r>
    </w:p>
    <w:p>
      <w:pPr>
        <w:pStyle w:val="11"/>
        <w:rPr>
          <w:rFonts w:ascii="仿宋" w:hAnsi="仿宋" w:eastAsia="仿宋"/>
          <w:sz w:val="28"/>
          <w:szCs w:val="28"/>
        </w:rPr>
      </w:pPr>
      <w:r>
        <w:rPr>
          <w:rFonts w:hint="eastAsia" w:ascii="仿宋" w:hAnsi="仿宋" w:eastAsia="仿宋"/>
          <w:sz w:val="28"/>
          <w:szCs w:val="28"/>
        </w:rPr>
        <w:t>六、</w:t>
      </w:r>
      <w:r>
        <w:fldChar w:fldCharType="begin"/>
      </w:r>
      <w:r>
        <w:instrText xml:space="preserve"> HYPERLINK \l "_Toc15396624" </w:instrText>
      </w:r>
      <w:r>
        <w:fldChar w:fldCharType="separate"/>
      </w:r>
      <w:r>
        <w:rPr>
          <w:rStyle w:val="15"/>
          <w:rFonts w:hint="eastAsia" w:ascii="仿宋" w:hAnsi="仿宋" w:eastAsia="仿宋"/>
          <w:sz w:val="28"/>
          <w:szCs w:val="28"/>
        </w:rPr>
        <w:t>一般公共预算财政拨款支出决算表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_Toc15396624 \h </w:instrText>
      </w:r>
      <w:r>
        <w:rPr>
          <w:rFonts w:ascii="仿宋" w:hAnsi="仿宋" w:eastAsia="仿宋"/>
          <w:sz w:val="28"/>
          <w:szCs w:val="28"/>
        </w:rPr>
        <w:fldChar w:fldCharType="separate"/>
      </w:r>
      <w:r>
        <w:rPr>
          <w:rFonts w:ascii="仿宋" w:hAnsi="仿宋" w:eastAsia="仿宋"/>
          <w:sz w:val="28"/>
          <w:szCs w:val="28"/>
        </w:rPr>
        <w:t>22</w:t>
      </w:r>
      <w:r>
        <w:rPr>
          <w:rFonts w:ascii="仿宋" w:hAnsi="仿宋" w:eastAsia="仿宋"/>
          <w:sz w:val="28"/>
          <w:szCs w:val="28"/>
        </w:rPr>
        <w:fldChar w:fldCharType="end"/>
      </w:r>
      <w:r>
        <w:rPr>
          <w:rFonts w:ascii="仿宋" w:hAnsi="仿宋" w:eastAsia="仿宋"/>
          <w:sz w:val="28"/>
          <w:szCs w:val="28"/>
        </w:rPr>
        <w:fldChar w:fldCharType="end"/>
      </w:r>
    </w:p>
    <w:p>
      <w:pPr>
        <w:pStyle w:val="11"/>
        <w:rPr>
          <w:rFonts w:ascii="仿宋" w:hAnsi="仿宋" w:eastAsia="仿宋"/>
          <w:sz w:val="28"/>
          <w:szCs w:val="28"/>
        </w:rPr>
      </w:pPr>
      <w:r>
        <w:rPr>
          <w:rFonts w:hint="eastAsia" w:ascii="仿宋" w:hAnsi="仿宋" w:eastAsia="仿宋"/>
          <w:sz w:val="28"/>
          <w:szCs w:val="28"/>
        </w:rPr>
        <w:t>七、</w:t>
      </w:r>
      <w:r>
        <w:fldChar w:fldCharType="begin"/>
      </w:r>
      <w:r>
        <w:instrText xml:space="preserve"> HYPERLINK \l "_Toc15396625" </w:instrText>
      </w:r>
      <w:r>
        <w:fldChar w:fldCharType="separate"/>
      </w:r>
      <w:r>
        <w:rPr>
          <w:rStyle w:val="15"/>
          <w:rFonts w:hint="eastAsia" w:ascii="仿宋" w:hAnsi="仿宋" w:eastAsia="仿宋"/>
          <w:sz w:val="28"/>
          <w:szCs w:val="28"/>
        </w:rPr>
        <w:t>一般公共预算财政拨款支出决算明细表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_Toc15396625 \h </w:instrText>
      </w:r>
      <w:r>
        <w:rPr>
          <w:rFonts w:ascii="仿宋" w:hAnsi="仿宋" w:eastAsia="仿宋"/>
          <w:sz w:val="28"/>
          <w:szCs w:val="28"/>
        </w:rPr>
        <w:fldChar w:fldCharType="separate"/>
      </w:r>
      <w:r>
        <w:rPr>
          <w:rFonts w:ascii="仿宋" w:hAnsi="仿宋" w:eastAsia="仿宋"/>
          <w:sz w:val="28"/>
          <w:szCs w:val="28"/>
        </w:rPr>
        <w:t>22</w:t>
      </w:r>
      <w:r>
        <w:rPr>
          <w:rFonts w:ascii="仿宋" w:hAnsi="仿宋" w:eastAsia="仿宋"/>
          <w:sz w:val="28"/>
          <w:szCs w:val="28"/>
        </w:rPr>
        <w:fldChar w:fldCharType="end"/>
      </w:r>
      <w:r>
        <w:rPr>
          <w:rFonts w:ascii="仿宋" w:hAnsi="仿宋" w:eastAsia="仿宋"/>
          <w:sz w:val="28"/>
          <w:szCs w:val="28"/>
        </w:rPr>
        <w:fldChar w:fldCharType="end"/>
      </w:r>
    </w:p>
    <w:p>
      <w:pPr>
        <w:pStyle w:val="11"/>
        <w:rPr>
          <w:rFonts w:ascii="仿宋" w:hAnsi="仿宋" w:eastAsia="仿宋"/>
          <w:sz w:val="28"/>
          <w:szCs w:val="28"/>
        </w:rPr>
      </w:pPr>
      <w:r>
        <w:rPr>
          <w:rFonts w:hint="eastAsia" w:ascii="仿宋" w:hAnsi="仿宋" w:eastAsia="仿宋"/>
          <w:sz w:val="28"/>
          <w:szCs w:val="28"/>
        </w:rPr>
        <w:t>八、</w:t>
      </w:r>
      <w:r>
        <w:fldChar w:fldCharType="begin"/>
      </w:r>
      <w:r>
        <w:instrText xml:space="preserve"> HYPERLINK \l "_Toc15396626" </w:instrText>
      </w:r>
      <w:r>
        <w:fldChar w:fldCharType="separate"/>
      </w:r>
      <w:r>
        <w:rPr>
          <w:rStyle w:val="15"/>
          <w:rFonts w:hint="eastAsia" w:ascii="仿宋" w:hAnsi="仿宋" w:eastAsia="仿宋"/>
          <w:sz w:val="28"/>
          <w:szCs w:val="28"/>
        </w:rPr>
        <w:t>一般公共预算财政拨款基本支出决算表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_Toc15396626 \h </w:instrText>
      </w:r>
      <w:r>
        <w:rPr>
          <w:rFonts w:ascii="仿宋" w:hAnsi="仿宋" w:eastAsia="仿宋"/>
          <w:sz w:val="28"/>
          <w:szCs w:val="28"/>
        </w:rPr>
        <w:fldChar w:fldCharType="separate"/>
      </w:r>
      <w:r>
        <w:rPr>
          <w:rFonts w:ascii="仿宋" w:hAnsi="仿宋" w:eastAsia="仿宋"/>
          <w:sz w:val="28"/>
          <w:szCs w:val="28"/>
        </w:rPr>
        <w:t>22</w:t>
      </w:r>
      <w:r>
        <w:rPr>
          <w:rFonts w:ascii="仿宋" w:hAnsi="仿宋" w:eastAsia="仿宋"/>
          <w:sz w:val="28"/>
          <w:szCs w:val="28"/>
        </w:rPr>
        <w:fldChar w:fldCharType="end"/>
      </w:r>
      <w:r>
        <w:rPr>
          <w:rFonts w:ascii="仿宋" w:hAnsi="仿宋" w:eastAsia="仿宋"/>
          <w:sz w:val="28"/>
          <w:szCs w:val="28"/>
        </w:rPr>
        <w:fldChar w:fldCharType="end"/>
      </w:r>
    </w:p>
    <w:p>
      <w:pPr>
        <w:pStyle w:val="11"/>
        <w:rPr>
          <w:rFonts w:ascii="仿宋" w:hAnsi="仿宋" w:eastAsia="仿宋"/>
          <w:sz w:val="28"/>
          <w:szCs w:val="28"/>
        </w:rPr>
      </w:pPr>
      <w:r>
        <w:rPr>
          <w:rFonts w:hint="eastAsia" w:ascii="仿宋" w:hAnsi="仿宋" w:eastAsia="仿宋"/>
          <w:sz w:val="28"/>
          <w:szCs w:val="28"/>
        </w:rPr>
        <w:t>九、</w:t>
      </w:r>
      <w:r>
        <w:fldChar w:fldCharType="begin"/>
      </w:r>
      <w:r>
        <w:instrText xml:space="preserve"> HYPERLINK \l "_Toc15396627" </w:instrText>
      </w:r>
      <w:r>
        <w:fldChar w:fldCharType="separate"/>
      </w:r>
      <w:r>
        <w:rPr>
          <w:rStyle w:val="15"/>
          <w:rFonts w:hint="eastAsia" w:ascii="仿宋" w:hAnsi="仿宋" w:eastAsia="仿宋"/>
          <w:sz w:val="28"/>
          <w:szCs w:val="28"/>
        </w:rPr>
        <w:t>一般公共预算财政拨款项目支出决算表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_Toc15396627 \h </w:instrText>
      </w:r>
      <w:r>
        <w:rPr>
          <w:rFonts w:ascii="仿宋" w:hAnsi="仿宋" w:eastAsia="仿宋"/>
          <w:sz w:val="28"/>
          <w:szCs w:val="28"/>
        </w:rPr>
        <w:fldChar w:fldCharType="separate"/>
      </w:r>
      <w:r>
        <w:rPr>
          <w:rFonts w:ascii="仿宋" w:hAnsi="仿宋" w:eastAsia="仿宋"/>
          <w:sz w:val="28"/>
          <w:szCs w:val="28"/>
        </w:rPr>
        <w:t>22</w:t>
      </w:r>
      <w:r>
        <w:rPr>
          <w:rFonts w:ascii="仿宋" w:hAnsi="仿宋" w:eastAsia="仿宋"/>
          <w:sz w:val="28"/>
          <w:szCs w:val="28"/>
        </w:rPr>
        <w:fldChar w:fldCharType="end"/>
      </w:r>
      <w:r>
        <w:rPr>
          <w:rFonts w:ascii="仿宋" w:hAnsi="仿宋" w:eastAsia="仿宋"/>
          <w:sz w:val="28"/>
          <w:szCs w:val="28"/>
        </w:rPr>
        <w:fldChar w:fldCharType="end"/>
      </w:r>
    </w:p>
    <w:p>
      <w:pPr>
        <w:pStyle w:val="11"/>
        <w:rPr>
          <w:rFonts w:ascii="仿宋" w:hAnsi="仿宋" w:eastAsia="仿宋"/>
          <w:sz w:val="28"/>
          <w:szCs w:val="28"/>
        </w:rPr>
      </w:pPr>
      <w:r>
        <w:rPr>
          <w:rFonts w:hint="eastAsia" w:ascii="仿宋" w:hAnsi="仿宋" w:eastAsia="仿宋"/>
          <w:sz w:val="28"/>
          <w:szCs w:val="28"/>
        </w:rPr>
        <w:t>十、</w:t>
      </w:r>
      <w:r>
        <w:fldChar w:fldCharType="begin"/>
      </w:r>
      <w:r>
        <w:instrText xml:space="preserve"> HYPERLINK \l "_Toc15396628" </w:instrText>
      </w:r>
      <w:r>
        <w:fldChar w:fldCharType="separate"/>
      </w:r>
      <w:r>
        <w:rPr>
          <w:rStyle w:val="15"/>
          <w:rFonts w:hint="eastAsia" w:ascii="仿宋" w:hAnsi="仿宋" w:eastAsia="仿宋"/>
          <w:sz w:val="28"/>
          <w:szCs w:val="28"/>
        </w:rPr>
        <w:t>一般公共预算财政拨款“三公”经费支出决算表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_Toc15396628 \h </w:instrText>
      </w:r>
      <w:r>
        <w:rPr>
          <w:rFonts w:ascii="仿宋" w:hAnsi="仿宋" w:eastAsia="仿宋"/>
          <w:sz w:val="28"/>
          <w:szCs w:val="28"/>
        </w:rPr>
        <w:fldChar w:fldCharType="separate"/>
      </w:r>
      <w:r>
        <w:rPr>
          <w:rFonts w:ascii="仿宋" w:hAnsi="仿宋" w:eastAsia="仿宋"/>
          <w:sz w:val="28"/>
          <w:szCs w:val="28"/>
        </w:rPr>
        <w:t>22</w:t>
      </w:r>
      <w:r>
        <w:rPr>
          <w:rFonts w:ascii="仿宋" w:hAnsi="仿宋" w:eastAsia="仿宋"/>
          <w:sz w:val="28"/>
          <w:szCs w:val="28"/>
        </w:rPr>
        <w:fldChar w:fldCharType="end"/>
      </w:r>
      <w:r>
        <w:rPr>
          <w:rFonts w:ascii="仿宋" w:hAnsi="仿宋" w:eastAsia="仿宋"/>
          <w:sz w:val="28"/>
          <w:szCs w:val="28"/>
        </w:rPr>
        <w:fldChar w:fldCharType="end"/>
      </w:r>
    </w:p>
    <w:p>
      <w:pPr>
        <w:pStyle w:val="11"/>
        <w:rPr>
          <w:rFonts w:ascii="仿宋" w:hAnsi="仿宋" w:eastAsia="仿宋"/>
          <w:sz w:val="28"/>
          <w:szCs w:val="28"/>
        </w:rPr>
      </w:pPr>
      <w:r>
        <w:rPr>
          <w:rFonts w:hint="eastAsia" w:ascii="仿宋" w:hAnsi="仿宋" w:eastAsia="仿宋"/>
          <w:sz w:val="28"/>
          <w:szCs w:val="28"/>
        </w:rPr>
        <w:t>十一、</w:t>
      </w:r>
      <w:r>
        <w:fldChar w:fldCharType="begin"/>
      </w:r>
      <w:r>
        <w:instrText xml:space="preserve"> HYPERLINK \l "_Toc15396629" </w:instrText>
      </w:r>
      <w:r>
        <w:fldChar w:fldCharType="separate"/>
      </w:r>
      <w:r>
        <w:rPr>
          <w:rStyle w:val="15"/>
          <w:rFonts w:hint="eastAsia" w:ascii="仿宋" w:hAnsi="仿宋" w:eastAsia="仿宋"/>
          <w:sz w:val="28"/>
          <w:szCs w:val="28"/>
        </w:rPr>
        <w:t>政府性基金预算财政拨款收入支出决算表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_Toc15396629 \h </w:instrText>
      </w:r>
      <w:r>
        <w:rPr>
          <w:rFonts w:ascii="仿宋" w:hAnsi="仿宋" w:eastAsia="仿宋"/>
          <w:sz w:val="28"/>
          <w:szCs w:val="28"/>
        </w:rPr>
        <w:fldChar w:fldCharType="separate"/>
      </w:r>
      <w:r>
        <w:rPr>
          <w:rFonts w:ascii="仿宋" w:hAnsi="仿宋" w:eastAsia="仿宋"/>
          <w:sz w:val="28"/>
          <w:szCs w:val="28"/>
        </w:rPr>
        <w:t>22</w:t>
      </w:r>
      <w:r>
        <w:rPr>
          <w:rFonts w:ascii="仿宋" w:hAnsi="仿宋" w:eastAsia="仿宋"/>
          <w:sz w:val="28"/>
          <w:szCs w:val="28"/>
        </w:rPr>
        <w:fldChar w:fldCharType="end"/>
      </w:r>
      <w:r>
        <w:rPr>
          <w:rFonts w:ascii="仿宋" w:hAnsi="仿宋" w:eastAsia="仿宋"/>
          <w:sz w:val="28"/>
          <w:szCs w:val="28"/>
        </w:rPr>
        <w:fldChar w:fldCharType="end"/>
      </w:r>
    </w:p>
    <w:p>
      <w:pPr>
        <w:pStyle w:val="11"/>
        <w:rPr>
          <w:rFonts w:ascii="仿宋" w:hAnsi="仿宋" w:eastAsia="仿宋"/>
          <w:sz w:val="28"/>
          <w:szCs w:val="28"/>
        </w:rPr>
      </w:pPr>
      <w:r>
        <w:rPr>
          <w:rFonts w:hint="eastAsia" w:ascii="仿宋" w:hAnsi="仿宋" w:eastAsia="仿宋"/>
          <w:sz w:val="28"/>
          <w:szCs w:val="28"/>
        </w:rPr>
        <w:t>十二、</w:t>
      </w:r>
      <w:r>
        <w:fldChar w:fldCharType="begin"/>
      </w:r>
      <w:r>
        <w:instrText xml:space="preserve"> HYPERLINK \l "_Toc15396630" </w:instrText>
      </w:r>
      <w:r>
        <w:fldChar w:fldCharType="separate"/>
      </w:r>
      <w:r>
        <w:rPr>
          <w:rStyle w:val="15"/>
          <w:rFonts w:hint="eastAsia" w:ascii="仿宋" w:hAnsi="仿宋" w:eastAsia="仿宋"/>
          <w:sz w:val="28"/>
          <w:szCs w:val="28"/>
        </w:rPr>
        <w:t>政府性基金预算财政拨款“三公”经费支出决算表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_Toc15396630 \h </w:instrText>
      </w:r>
      <w:r>
        <w:rPr>
          <w:rFonts w:ascii="仿宋" w:hAnsi="仿宋" w:eastAsia="仿宋"/>
          <w:sz w:val="28"/>
          <w:szCs w:val="28"/>
        </w:rPr>
        <w:fldChar w:fldCharType="separate"/>
      </w:r>
      <w:r>
        <w:rPr>
          <w:rFonts w:ascii="仿宋" w:hAnsi="仿宋" w:eastAsia="仿宋"/>
          <w:sz w:val="28"/>
          <w:szCs w:val="28"/>
        </w:rPr>
        <w:t>22</w:t>
      </w:r>
      <w:r>
        <w:rPr>
          <w:rFonts w:ascii="仿宋" w:hAnsi="仿宋" w:eastAsia="仿宋"/>
          <w:sz w:val="28"/>
          <w:szCs w:val="28"/>
        </w:rPr>
        <w:fldChar w:fldCharType="end"/>
      </w:r>
      <w:r>
        <w:rPr>
          <w:rFonts w:ascii="仿宋" w:hAnsi="仿宋" w:eastAsia="仿宋"/>
          <w:sz w:val="28"/>
          <w:szCs w:val="28"/>
        </w:rPr>
        <w:fldChar w:fldCharType="end"/>
      </w:r>
    </w:p>
    <w:p>
      <w:pPr>
        <w:pStyle w:val="11"/>
        <w:rPr>
          <w:rFonts w:ascii="仿宋" w:hAnsi="仿宋" w:eastAsia="仿宋"/>
          <w:sz w:val="24"/>
        </w:rPr>
      </w:pPr>
      <w:r>
        <w:rPr>
          <w:rFonts w:hint="eastAsia" w:ascii="仿宋" w:hAnsi="仿宋" w:eastAsia="仿宋"/>
          <w:sz w:val="28"/>
          <w:szCs w:val="28"/>
        </w:rPr>
        <w:t>十三、</w:t>
      </w:r>
      <w:r>
        <w:fldChar w:fldCharType="begin"/>
      </w:r>
      <w:r>
        <w:instrText xml:space="preserve"> HYPERLINK \l "_Toc15396631" </w:instrText>
      </w:r>
      <w:r>
        <w:fldChar w:fldCharType="separate"/>
      </w:r>
      <w:r>
        <w:rPr>
          <w:rStyle w:val="15"/>
          <w:rFonts w:hint="eastAsia" w:ascii="仿宋" w:hAnsi="仿宋" w:eastAsia="仿宋"/>
          <w:sz w:val="28"/>
          <w:szCs w:val="28"/>
        </w:rPr>
        <w:t>国有资本经营预算支出决算表</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_Toc15396631 \h </w:instrText>
      </w:r>
      <w:r>
        <w:rPr>
          <w:rFonts w:ascii="仿宋" w:hAnsi="仿宋" w:eastAsia="仿宋"/>
          <w:sz w:val="28"/>
          <w:szCs w:val="28"/>
        </w:rPr>
        <w:fldChar w:fldCharType="separate"/>
      </w:r>
      <w:r>
        <w:rPr>
          <w:rFonts w:ascii="仿宋" w:hAnsi="仿宋" w:eastAsia="仿宋"/>
          <w:sz w:val="28"/>
          <w:szCs w:val="28"/>
        </w:rPr>
        <w:t>22</w:t>
      </w:r>
      <w:r>
        <w:rPr>
          <w:rFonts w:ascii="仿宋" w:hAnsi="仿宋" w:eastAsia="仿宋"/>
          <w:sz w:val="28"/>
          <w:szCs w:val="28"/>
        </w:rPr>
        <w:fldChar w:fldCharType="end"/>
      </w:r>
      <w:r>
        <w:rPr>
          <w:rFonts w:ascii="仿宋" w:hAnsi="仿宋" w:eastAsia="仿宋"/>
          <w:sz w:val="28"/>
          <w:szCs w:val="28"/>
        </w:rPr>
        <w:fldChar w:fldCharType="end"/>
      </w:r>
    </w:p>
    <w:p>
      <w:pPr>
        <w:widowControl/>
        <w:jc w:val="left"/>
        <w:rPr>
          <w:rFonts w:ascii="仿宋" w:hAnsi="仿宋" w:eastAsia="仿宋"/>
          <w:color w:val="000000"/>
          <w:sz w:val="24"/>
        </w:rPr>
      </w:pPr>
      <w:r>
        <w:rPr>
          <w:rFonts w:ascii="黑体" w:hAnsi="黑体" w:eastAsia="黑体"/>
          <w:color w:val="000000"/>
          <w:sz w:val="48"/>
          <w:szCs w:val="48"/>
        </w:rPr>
        <w:fldChar w:fldCharType="end"/>
      </w:r>
    </w:p>
    <w:p>
      <w:pPr>
        <w:widowControl/>
        <w:jc w:val="left"/>
        <w:rPr>
          <w:rFonts w:ascii="黑体" w:hAnsi="黑体" w:eastAsia="黑体"/>
          <w:bCs/>
          <w:kern w:val="44"/>
          <w:sz w:val="44"/>
          <w:szCs w:val="44"/>
        </w:rPr>
      </w:pPr>
      <w:bookmarkStart w:id="12" w:name="_Toc15396599"/>
      <w:bookmarkStart w:id="13" w:name="_Toc15377196"/>
      <w:r>
        <w:rPr>
          <w:rFonts w:ascii="黑体" w:hAnsi="黑体" w:eastAsia="黑体"/>
          <w:b/>
        </w:rPr>
        <w:br w:type="page"/>
      </w:r>
    </w:p>
    <w:p>
      <w:pPr>
        <w:pStyle w:val="2"/>
        <w:jc w:val="center"/>
        <w:rPr>
          <w:rStyle w:val="17"/>
          <w:rFonts w:ascii="黑体" w:hAnsi="黑体" w:eastAsia="黑体"/>
          <w:b/>
          <w:bCs w:val="0"/>
        </w:rPr>
      </w:pPr>
      <w:r>
        <w:rPr>
          <w:rFonts w:hint="eastAsia" w:ascii="黑体" w:hAnsi="黑体" w:eastAsia="黑体"/>
          <w:b w:val="0"/>
        </w:rPr>
        <w:t>第一部分</w:t>
      </w:r>
      <w:r>
        <w:rPr>
          <w:rFonts w:ascii="黑体" w:hAnsi="黑体" w:eastAsia="黑体"/>
          <w:b w:val="0"/>
        </w:rPr>
        <w:t xml:space="preserve"> </w:t>
      </w:r>
      <w:r>
        <w:rPr>
          <w:rStyle w:val="17"/>
          <w:rFonts w:hint="eastAsia" w:ascii="黑体" w:hAnsi="黑体" w:eastAsia="黑体"/>
          <w:b w:val="0"/>
          <w:bCs w:val="0"/>
        </w:rPr>
        <w:t>部门概况</w:t>
      </w:r>
      <w:bookmarkEnd w:id="12"/>
      <w:bookmarkEnd w:id="13"/>
    </w:p>
    <w:p>
      <w:pPr>
        <w:widowControl/>
        <w:jc w:val="left"/>
        <w:rPr>
          <w:rFonts w:ascii="黑体" w:eastAsia="黑体"/>
          <w:color w:val="000000"/>
          <w:sz w:val="32"/>
          <w:szCs w:val="32"/>
        </w:rPr>
      </w:pPr>
    </w:p>
    <w:p>
      <w:pPr>
        <w:pStyle w:val="3"/>
        <w:rPr>
          <w:rStyle w:val="18"/>
          <w:rFonts w:ascii="仿宋" w:hAnsi="仿宋" w:eastAsia="仿宋"/>
          <w:b w:val="0"/>
          <w:bCs w:val="0"/>
        </w:rPr>
      </w:pPr>
      <w:bookmarkStart w:id="14" w:name="_Toc15377197"/>
      <w:bookmarkStart w:id="15" w:name="_Toc15396600"/>
      <w:r>
        <w:rPr>
          <w:rFonts w:hint="eastAsia" w:ascii="黑体" w:hAnsi="黑体" w:eastAsia="黑体"/>
          <w:b w:val="0"/>
          <w:color w:val="000000"/>
        </w:rPr>
        <w:t>一、基</w:t>
      </w:r>
      <w:r>
        <w:rPr>
          <w:rStyle w:val="18"/>
          <w:rFonts w:hint="eastAsia" w:ascii="黑体" w:hAnsi="黑体" w:eastAsia="黑体"/>
          <w:b w:val="0"/>
          <w:bCs w:val="0"/>
        </w:rPr>
        <w:t>本职能及主要工作</w:t>
      </w:r>
      <w:bookmarkEnd w:id="14"/>
      <w:bookmarkEnd w:id="15"/>
    </w:p>
    <w:p>
      <w:pPr>
        <w:spacing w:line="360" w:lineRule="auto"/>
        <w:ind w:firstLine="768" w:firstLineChars="240"/>
        <w:rPr>
          <w:rFonts w:ascii="仿宋" w:hAnsi="仿宋" w:eastAsia="仿宋"/>
          <w:bCs/>
          <w:color w:val="000000"/>
          <w:sz w:val="32"/>
          <w:szCs w:val="32"/>
        </w:rPr>
      </w:pPr>
      <w:bookmarkStart w:id="16" w:name="_Toc15377198"/>
      <w:bookmarkStart w:id="17" w:name="_Toc15378445"/>
      <w:r>
        <w:rPr>
          <w:rFonts w:hint="eastAsia" w:ascii="仿宋" w:hAnsi="仿宋" w:eastAsia="仿宋"/>
          <w:bCs/>
          <w:color w:val="000000"/>
          <w:sz w:val="32"/>
          <w:szCs w:val="32"/>
        </w:rPr>
        <w:t>（一）主要职能。</w:t>
      </w:r>
      <w:bookmarkEnd w:id="16"/>
      <w:bookmarkEnd w:id="17"/>
      <w:bookmarkStart w:id="18" w:name="_Toc15377199"/>
      <w:bookmarkStart w:id="19" w:name="_Toc15378446"/>
    </w:p>
    <w:p>
      <w:pPr>
        <w:spacing w:line="360" w:lineRule="auto"/>
        <w:ind w:firstLine="768" w:firstLineChars="240"/>
        <w:rPr>
          <w:rFonts w:ascii="仿宋_GB2312" w:hAnsi="仿宋_GB2312" w:eastAsia="仿宋_GB2312" w:cs="仿宋_GB2312"/>
          <w:bCs/>
          <w:color w:val="000000"/>
          <w:sz w:val="32"/>
          <w:szCs w:val="32"/>
        </w:rPr>
      </w:pPr>
      <w:r>
        <w:rPr>
          <w:rFonts w:hint="eastAsia" w:ascii="仿宋" w:hAnsi="仿宋" w:eastAsia="仿宋" w:cs="仿宋_GB2312"/>
          <w:bCs/>
          <w:sz w:val="32"/>
          <w:szCs w:val="32"/>
        </w:rPr>
        <w:t>万源市</w:t>
      </w:r>
      <w:r>
        <w:rPr>
          <w:rFonts w:hint="eastAsia" w:ascii="仿宋" w:hAnsi="仿宋" w:eastAsia="仿宋" w:cs="仿宋_GB2312"/>
          <w:bCs/>
          <w:sz w:val="32"/>
          <w:szCs w:val="32"/>
          <w:lang w:eastAsia="zh-CN"/>
        </w:rPr>
        <w:t>柳黄乡中心小学校</w:t>
      </w:r>
      <w:r>
        <w:rPr>
          <w:rFonts w:hint="eastAsia" w:ascii="仿宋" w:hAnsi="仿宋" w:eastAsia="仿宋" w:cs="仿宋_GB2312"/>
          <w:bCs/>
          <w:sz w:val="32"/>
          <w:szCs w:val="32"/>
        </w:rPr>
        <w:t>是一所</w:t>
      </w:r>
      <w:r>
        <w:rPr>
          <w:rFonts w:hint="eastAsia" w:ascii="仿宋" w:hAnsi="仿宋" w:eastAsia="仿宋" w:cs="仿宋_GB2312"/>
          <w:bCs/>
          <w:sz w:val="32"/>
          <w:szCs w:val="32"/>
          <w:lang w:eastAsia="zh-CN"/>
        </w:rPr>
        <w:t>农村小</w:t>
      </w:r>
      <w:r>
        <w:rPr>
          <w:rFonts w:hint="eastAsia" w:ascii="仿宋" w:hAnsi="仿宋" w:eastAsia="仿宋" w:cs="仿宋_GB2312"/>
          <w:bCs/>
          <w:sz w:val="32"/>
          <w:szCs w:val="32"/>
        </w:rPr>
        <w:t>学</w:t>
      </w:r>
      <w:r>
        <w:rPr>
          <w:rFonts w:hint="eastAsia" w:ascii="仿宋" w:hAnsi="仿宋" w:eastAsia="仿宋" w:cs="仿宋_GB2312"/>
          <w:sz w:val="32"/>
          <w:szCs w:val="32"/>
        </w:rPr>
        <w:t>，</w:t>
      </w:r>
      <w:r>
        <w:rPr>
          <w:rFonts w:hint="eastAsia" w:ascii="仿宋" w:hAnsi="仿宋" w:eastAsia="仿宋" w:cs="仿宋_GB2312"/>
          <w:sz w:val="32"/>
          <w:szCs w:val="32"/>
          <w:lang w:eastAsia="zh-CN"/>
        </w:rPr>
        <w:t>一级预算单位，无下属单位</w:t>
      </w:r>
      <w:r>
        <w:rPr>
          <w:rFonts w:hint="eastAsia" w:ascii="仿宋" w:hAnsi="仿宋" w:eastAsia="仿宋" w:cs="仿宋_GB2312"/>
          <w:sz w:val="32"/>
          <w:szCs w:val="32"/>
        </w:rPr>
        <w:t>。主要职能是实施小学义务教育，促进基础教育发展，</w:t>
      </w:r>
      <w:r>
        <w:rPr>
          <w:rFonts w:hint="eastAsia" w:ascii="仿宋" w:hAnsi="仿宋" w:eastAsia="仿宋" w:cs="仿宋_GB2312"/>
          <w:sz w:val="32"/>
          <w:szCs w:val="32"/>
          <w:lang w:eastAsia="zh-CN"/>
        </w:rPr>
        <w:t>小学</w:t>
      </w:r>
      <w:r>
        <w:rPr>
          <w:rFonts w:hint="eastAsia" w:ascii="仿宋" w:hAnsi="仿宋" w:eastAsia="仿宋" w:cs="仿宋_GB2312"/>
          <w:sz w:val="32"/>
          <w:szCs w:val="32"/>
        </w:rPr>
        <w:t>学历教育</w:t>
      </w:r>
      <w:r>
        <w:rPr>
          <w:rFonts w:hint="eastAsia" w:ascii="仿宋" w:hAnsi="仿宋" w:eastAsia="仿宋" w:cs="仿宋_GB2312"/>
          <w:sz w:val="32"/>
          <w:szCs w:val="32"/>
          <w:lang w:eastAsia="zh-CN"/>
        </w:rPr>
        <w:t>（相关社会服务）</w:t>
      </w:r>
      <w:r>
        <w:rPr>
          <w:rFonts w:hint="eastAsia" w:ascii="仿宋" w:hAnsi="仿宋" w:eastAsia="仿宋" w:cs="仿宋_GB2312"/>
          <w:sz w:val="32"/>
          <w:szCs w:val="32"/>
        </w:rPr>
        <w:t>。</w:t>
      </w:r>
    </w:p>
    <w:p>
      <w:pPr>
        <w:spacing w:line="360" w:lineRule="auto"/>
        <w:ind w:firstLine="768" w:firstLineChars="240"/>
        <w:rPr>
          <w:rFonts w:ascii="仿宋" w:hAnsi="仿宋" w:eastAsia="仿宋"/>
          <w:bCs/>
          <w:color w:val="000000"/>
          <w:sz w:val="32"/>
          <w:szCs w:val="32"/>
        </w:rPr>
      </w:pPr>
      <w:r>
        <w:rPr>
          <w:rFonts w:hint="eastAsia" w:ascii="仿宋" w:hAnsi="仿宋" w:eastAsia="仿宋"/>
          <w:bCs/>
          <w:color w:val="000000"/>
          <w:sz w:val="32"/>
          <w:szCs w:val="32"/>
        </w:rPr>
        <w:t>（二）</w:t>
      </w:r>
      <w:r>
        <w:rPr>
          <w:rFonts w:ascii="仿宋" w:hAnsi="仿宋" w:eastAsia="仿宋"/>
          <w:bCs/>
          <w:color w:val="000000"/>
          <w:sz w:val="32"/>
          <w:szCs w:val="32"/>
        </w:rPr>
        <w:t>201</w:t>
      </w:r>
      <w:r>
        <w:rPr>
          <w:rFonts w:hint="eastAsia" w:ascii="仿宋" w:hAnsi="仿宋" w:eastAsia="仿宋"/>
          <w:bCs/>
          <w:color w:val="000000"/>
          <w:sz w:val="32"/>
          <w:szCs w:val="32"/>
          <w:lang w:val="en-US" w:eastAsia="zh-CN"/>
        </w:rPr>
        <w:t>9</w:t>
      </w:r>
      <w:r>
        <w:rPr>
          <w:rFonts w:hint="eastAsia" w:ascii="仿宋" w:hAnsi="仿宋" w:eastAsia="仿宋"/>
          <w:bCs/>
          <w:color w:val="000000"/>
          <w:sz w:val="32"/>
          <w:szCs w:val="32"/>
        </w:rPr>
        <w:t>年重点工作完成情况。</w:t>
      </w:r>
      <w:bookmarkEnd w:id="18"/>
      <w:bookmarkEnd w:id="19"/>
    </w:p>
    <w:p>
      <w:pPr>
        <w:spacing w:line="360" w:lineRule="auto"/>
        <w:ind w:firstLine="768" w:firstLineChars="240"/>
        <w:rPr>
          <w:rFonts w:ascii="仿宋" w:hAnsi="仿宋" w:eastAsia="仿宋" w:cs="仿宋_GB2312"/>
          <w:color w:val="FF0000"/>
          <w:sz w:val="32"/>
          <w:szCs w:val="32"/>
        </w:rPr>
      </w:pPr>
      <w:r>
        <w:rPr>
          <w:rFonts w:hint="eastAsia" w:ascii="仿宋" w:hAnsi="仿宋" w:eastAsia="仿宋" w:cs="仿宋_GB2312"/>
          <w:sz w:val="32"/>
          <w:szCs w:val="32"/>
        </w:rPr>
        <w:t>201</w:t>
      </w:r>
      <w:r>
        <w:rPr>
          <w:rFonts w:hint="eastAsia" w:ascii="仿宋" w:hAnsi="仿宋" w:eastAsia="仿宋" w:cs="仿宋_GB2312"/>
          <w:sz w:val="32"/>
          <w:szCs w:val="32"/>
          <w:lang w:val="en-US" w:eastAsia="zh-CN"/>
        </w:rPr>
        <w:t>9</w:t>
      </w:r>
      <w:r>
        <w:rPr>
          <w:rFonts w:hint="eastAsia" w:ascii="仿宋" w:hAnsi="仿宋" w:eastAsia="仿宋" w:cs="仿宋_GB2312"/>
          <w:sz w:val="32"/>
          <w:szCs w:val="32"/>
        </w:rPr>
        <w:t>年，我校在上级各部门的领导下，紧紧围绕万源市教科局“抓素质提升，强管理落实，办人民满意教育”的思路，狠抓党建工作，认真贯彻落实与教育相关的法律法规，建立健全各项规章制度，积极推进精细化管理、目标责任管理，增强管理的针对性和时效性，进一步提升了学校的管理水平和管理效益，实现了我校“狠抓学校常规管理，努力提升教育教学质量”的目标。</w:t>
      </w:r>
    </w:p>
    <w:p>
      <w:pPr>
        <w:spacing w:line="360" w:lineRule="auto"/>
        <w:rPr>
          <w:rFonts w:ascii="仿宋" w:hAnsi="仿宋" w:eastAsia="仿宋" w:cs="仿宋_GB2312"/>
          <w:sz w:val="32"/>
          <w:szCs w:val="32"/>
        </w:rPr>
      </w:pPr>
      <w:r>
        <w:rPr>
          <w:rFonts w:hint="eastAsia" w:ascii="仿宋" w:hAnsi="仿宋" w:eastAsia="仿宋" w:cs="仿宋_GB2312"/>
          <w:sz w:val="32"/>
          <w:szCs w:val="32"/>
        </w:rPr>
        <w:t>1、加强教师队伍建设，促进教师素质提升。</w:t>
      </w:r>
    </w:p>
    <w:p>
      <w:pPr>
        <w:pStyle w:val="12"/>
        <w:widowControl/>
        <w:shd w:val="clear" w:color="auto" w:fill="FFFFFF"/>
        <w:spacing w:line="360" w:lineRule="auto"/>
        <w:ind w:firstLine="640" w:firstLineChars="200"/>
        <w:rPr>
          <w:rFonts w:ascii="仿宋" w:hAnsi="仿宋" w:eastAsia="仿宋" w:cs="仿宋_GB2312"/>
          <w:kern w:val="2"/>
          <w:sz w:val="32"/>
          <w:szCs w:val="32"/>
        </w:rPr>
      </w:pPr>
      <w:r>
        <w:rPr>
          <w:rFonts w:hint="eastAsia" w:ascii="仿宋" w:hAnsi="仿宋" w:eastAsia="仿宋" w:cs="仿宋_GB2312"/>
          <w:kern w:val="2"/>
          <w:sz w:val="32"/>
          <w:szCs w:val="32"/>
        </w:rPr>
        <w:t>始终如一地把打造合格过硬的教师队伍放在各项工作的首位，这是学校工作立于不败之地的保证。今年，我们将组织开展以“内强素质，外塑形象”为主题的系列教育活动，强化党风廉政建设，坚决杜决一切不正之风，全面实施“师表工程”，使师德教育序列化、制度化。切实加强学校师德队伍建设，全面提升教师形象。组织教师以学习教育理论为根本，以恪守《中小学教师职业道德规范》为基础，以弘扬中华民族传统美德，培养教师具有春献意</w:t>
      </w:r>
      <w:r>
        <w:rPr>
          <w:rFonts w:hint="eastAsia" w:ascii="仿宋" w:hAnsi="仿宋" w:eastAsia="仿宋" w:cs="仿宋_GB2312"/>
          <w:color w:val="2B2B2B"/>
          <w:sz w:val="32"/>
          <w:szCs w:val="32"/>
          <w:shd w:val="clear" w:color="auto" w:fill="FFFFFF"/>
        </w:rPr>
        <w:t>识</w:t>
      </w:r>
      <w:r>
        <w:rPr>
          <w:rFonts w:hint="eastAsia" w:ascii="仿宋" w:hAnsi="仿宋" w:eastAsia="仿宋" w:cs="仿宋_GB2312"/>
          <w:kern w:val="2"/>
          <w:sz w:val="32"/>
          <w:szCs w:val="32"/>
        </w:rPr>
        <w:t>、创新意识、团结合作意识为重点，开展序列化教育。坚持政治学习制度，实施每二月一次师德心得体会交流制度，实行教师职业道德定期考核制度。从本学年开始，对于教师的师德考核，我们将吸收学生及家长参与考评，并把考核结果进行通报；坚决实行师德考核一票否决制。每学期评选一次师德标兵，并予以奖厉。</w:t>
      </w:r>
    </w:p>
    <w:p>
      <w:pPr>
        <w:pStyle w:val="12"/>
        <w:widowControl/>
        <w:numPr>
          <w:ilvl w:val="0"/>
          <w:numId w:val="1"/>
        </w:numPr>
        <w:shd w:val="clear" w:color="auto" w:fill="FFFFFF"/>
        <w:spacing w:line="360" w:lineRule="auto"/>
        <w:ind w:firstLine="420"/>
        <w:rPr>
          <w:rFonts w:ascii="仿宋" w:hAnsi="仿宋" w:eastAsia="仿宋" w:cs="仿宋_GB2312"/>
          <w:kern w:val="2"/>
          <w:sz w:val="32"/>
          <w:szCs w:val="32"/>
        </w:rPr>
      </w:pPr>
      <w:r>
        <w:rPr>
          <w:rFonts w:hint="eastAsia" w:ascii="仿宋" w:hAnsi="仿宋" w:eastAsia="仿宋" w:cs="仿宋_GB2312"/>
          <w:kern w:val="2"/>
          <w:sz w:val="32"/>
          <w:szCs w:val="32"/>
        </w:rPr>
        <w:t xml:space="preserve">努力提升教师业务水平，进一步加大骨干教师、名师培养力度。 </w:t>
      </w:r>
    </w:p>
    <w:p>
      <w:pPr>
        <w:pStyle w:val="12"/>
        <w:widowControl/>
        <w:shd w:val="clear" w:color="auto" w:fill="FFFFFF"/>
        <w:spacing w:line="360" w:lineRule="auto"/>
        <w:ind w:firstLine="640" w:firstLineChars="200"/>
        <w:rPr>
          <w:rFonts w:ascii="仿宋" w:hAnsi="仿宋" w:eastAsia="仿宋" w:cs="仿宋_GB2312"/>
          <w:kern w:val="2"/>
          <w:sz w:val="32"/>
          <w:szCs w:val="32"/>
        </w:rPr>
      </w:pPr>
      <w:r>
        <w:rPr>
          <w:rFonts w:hint="eastAsia" w:ascii="仿宋" w:hAnsi="仿宋" w:eastAsia="仿宋" w:cs="仿宋_GB2312"/>
          <w:kern w:val="2"/>
          <w:sz w:val="32"/>
          <w:szCs w:val="32"/>
        </w:rPr>
        <w:t>全力构筑学校发展新优势精心挑选骨干教师、优秀班主任、青年教师参加“国培计划”和市教科局组织的各项培训学习活动，促进骨干教师、名师队伍建设。认真开展校本培训活动。学校教务处、教科研组要依据学科特点，精心、高质组织以“高效教学”为主题的校内公开课、示范课、教研课活动。深入进行课改大探讨，召开各种主题的专题讲座，组织教师观看名师风彩课堂实录，探讨教法和学法。针对学校教师特点，学校积极创造条件，以“走出去、请进来”的模式，将年轻教师培训活动创出特色，让教师增加新营养，补充新理念，借鉴新方法，再添新后劲;鼓励教师多读教育专著，不断加强学习，不断提高专业水平，完善骨干教师推荐机制。</w:t>
      </w:r>
    </w:p>
    <w:p>
      <w:pPr>
        <w:pStyle w:val="12"/>
        <w:widowControl/>
        <w:numPr>
          <w:ilvl w:val="0"/>
          <w:numId w:val="1"/>
        </w:numPr>
        <w:shd w:val="clear" w:color="auto" w:fill="FFFFFF"/>
        <w:spacing w:line="360" w:lineRule="auto"/>
        <w:ind w:firstLine="420"/>
        <w:rPr>
          <w:rFonts w:ascii="仿宋" w:hAnsi="仿宋" w:eastAsia="仿宋" w:cs="仿宋_GB2312"/>
          <w:kern w:val="2"/>
          <w:sz w:val="32"/>
          <w:szCs w:val="32"/>
        </w:rPr>
      </w:pPr>
      <w:r>
        <w:rPr>
          <w:rFonts w:hint="eastAsia" w:ascii="仿宋" w:hAnsi="仿宋" w:eastAsia="仿宋" w:cs="仿宋_GB2312"/>
          <w:kern w:val="2"/>
          <w:sz w:val="32"/>
          <w:szCs w:val="32"/>
        </w:rPr>
        <w:t>加强师德师风教育学习活动。</w:t>
      </w:r>
    </w:p>
    <w:p>
      <w:pPr>
        <w:pStyle w:val="12"/>
        <w:widowControl/>
        <w:shd w:val="clear" w:color="auto" w:fill="FFFFFF"/>
        <w:spacing w:line="360" w:lineRule="auto"/>
        <w:ind w:firstLine="640" w:firstLineChars="200"/>
        <w:rPr>
          <w:rFonts w:ascii="仿宋" w:hAnsi="仿宋" w:eastAsia="仿宋" w:cs="仿宋_GB2312"/>
          <w:kern w:val="2"/>
          <w:sz w:val="32"/>
          <w:szCs w:val="32"/>
        </w:rPr>
      </w:pPr>
      <w:r>
        <w:rPr>
          <w:rFonts w:hint="eastAsia" w:ascii="仿宋" w:hAnsi="仿宋" w:eastAsia="仿宋" w:cs="仿宋_GB2312"/>
          <w:kern w:val="2"/>
          <w:sz w:val="32"/>
          <w:szCs w:val="32"/>
        </w:rPr>
        <w:t>组织教师学习教育方面的法律法规，提升教师职业道德水平，增强广大教师敬业奉献的精神，让每一位教师都真正具备“求真务实、敬业爱生”的作风，树立以质量求生存、以质量求发展的教育理念。通过教师互评、学生评教师、家长评教师等多种形式促进师德、师风建设。</w:t>
      </w:r>
    </w:p>
    <w:p>
      <w:pPr>
        <w:pStyle w:val="12"/>
        <w:widowControl/>
        <w:shd w:val="clear" w:color="auto" w:fill="FFFFFF"/>
        <w:spacing w:line="360" w:lineRule="auto"/>
        <w:ind w:firstLine="420"/>
        <w:rPr>
          <w:rFonts w:ascii="仿宋" w:hAnsi="仿宋" w:eastAsia="仿宋" w:cs="仿宋_GB2312"/>
          <w:kern w:val="2"/>
          <w:sz w:val="32"/>
          <w:szCs w:val="32"/>
        </w:rPr>
      </w:pPr>
      <w:r>
        <w:rPr>
          <w:rFonts w:hint="eastAsia" w:ascii="仿宋" w:hAnsi="仿宋" w:eastAsia="仿宋" w:cs="仿宋_GB2312"/>
          <w:kern w:val="2"/>
          <w:sz w:val="32"/>
          <w:szCs w:val="32"/>
        </w:rPr>
        <w:t>(三)、完善四项考核方案，加强常规管理。</w:t>
      </w:r>
    </w:p>
    <w:p>
      <w:pPr>
        <w:pStyle w:val="12"/>
        <w:widowControl/>
        <w:shd w:val="clear" w:color="auto" w:fill="FFFFFF"/>
        <w:spacing w:line="360" w:lineRule="auto"/>
        <w:ind w:firstLine="420"/>
        <w:rPr>
          <w:rFonts w:hint="eastAsia" w:ascii="仿宋" w:hAnsi="仿宋" w:eastAsia="仿宋" w:cs="仿宋_GB2312"/>
          <w:kern w:val="2"/>
          <w:sz w:val="32"/>
          <w:szCs w:val="32"/>
        </w:rPr>
      </w:pPr>
      <w:r>
        <w:rPr>
          <w:rFonts w:hint="eastAsia" w:ascii="仿宋" w:hAnsi="仿宋" w:eastAsia="仿宋" w:cs="仿宋_GB2312"/>
          <w:color w:val="333333"/>
          <w:sz w:val="32"/>
          <w:szCs w:val="32"/>
        </w:rPr>
        <w:t>　　</w:t>
      </w:r>
      <w:r>
        <w:rPr>
          <w:rFonts w:hint="eastAsia" w:ascii="仿宋" w:hAnsi="仿宋" w:eastAsia="仿宋" w:cs="仿宋_GB2312"/>
          <w:kern w:val="2"/>
          <w:sz w:val="32"/>
          <w:szCs w:val="32"/>
        </w:rPr>
        <w:t>1、各位校行政按照校务分工安排，拟订好分管工作计划，创造性地抓实各自的分管工作。细化管理环节，形成各负其责、各尽其职、各展其能的局面，努力做到事事有人做，事事有人管。</w:t>
      </w:r>
    </w:p>
    <w:p>
      <w:pPr>
        <w:pStyle w:val="12"/>
        <w:widowControl/>
        <w:shd w:val="clear" w:color="auto" w:fill="FFFFFF"/>
        <w:spacing w:line="360" w:lineRule="auto"/>
        <w:ind w:firstLine="420"/>
        <w:rPr>
          <w:rFonts w:hint="eastAsia" w:ascii="仿宋" w:hAnsi="仿宋" w:eastAsia="仿宋" w:cs="仿宋_GB2312"/>
          <w:kern w:val="2"/>
          <w:sz w:val="32"/>
          <w:szCs w:val="32"/>
        </w:rPr>
      </w:pPr>
      <w:r>
        <w:rPr>
          <w:rFonts w:hint="eastAsia" w:ascii="仿宋" w:hAnsi="仿宋" w:eastAsia="仿宋" w:cs="仿宋_GB2312"/>
          <w:kern w:val="2"/>
          <w:sz w:val="32"/>
          <w:szCs w:val="32"/>
        </w:rPr>
        <w:t>　　2、加强常规检查、督查力度，及时反馈、及时反思、及时总结。坚持常规管理，强化教学日常规范管理，突出精细化管理和实效性管理。</w:t>
      </w:r>
    </w:p>
    <w:p>
      <w:pPr>
        <w:pStyle w:val="12"/>
        <w:widowControl/>
        <w:shd w:val="clear" w:color="auto" w:fill="FFFFFF"/>
        <w:spacing w:line="360" w:lineRule="auto"/>
        <w:ind w:firstLine="420"/>
        <w:rPr>
          <w:rFonts w:hint="eastAsia" w:ascii="仿宋" w:hAnsi="仿宋" w:eastAsia="仿宋" w:cs="仿宋_GB2312"/>
          <w:kern w:val="2"/>
          <w:sz w:val="32"/>
          <w:szCs w:val="32"/>
        </w:rPr>
      </w:pPr>
      <w:r>
        <w:rPr>
          <w:rFonts w:hint="eastAsia" w:ascii="仿宋" w:hAnsi="仿宋" w:eastAsia="仿宋" w:cs="仿宋_GB2312"/>
          <w:kern w:val="2"/>
          <w:sz w:val="32"/>
          <w:szCs w:val="32"/>
        </w:rPr>
        <w:t>　　3、加强常规工作考核，结合上级和学校绩效考核办法，达到以考核促工作的目标。</w:t>
      </w:r>
    </w:p>
    <w:p>
      <w:pPr>
        <w:pStyle w:val="12"/>
        <w:widowControl/>
        <w:shd w:val="clear" w:color="auto" w:fill="FFFFFF"/>
        <w:spacing w:line="360" w:lineRule="auto"/>
        <w:ind w:firstLine="420"/>
        <w:rPr>
          <w:rFonts w:hint="eastAsia" w:ascii="仿宋" w:hAnsi="仿宋" w:eastAsia="仿宋" w:cs="仿宋_GB2312"/>
          <w:kern w:val="2"/>
          <w:sz w:val="32"/>
          <w:szCs w:val="32"/>
        </w:rPr>
      </w:pPr>
      <w:r>
        <w:rPr>
          <w:rFonts w:hint="eastAsia" w:ascii="仿宋" w:hAnsi="仿宋" w:eastAsia="仿宋" w:cs="仿宋_GB2312"/>
          <w:kern w:val="2"/>
          <w:sz w:val="32"/>
          <w:szCs w:val="32"/>
        </w:rPr>
        <w:t xml:space="preserve">  　4、积极按照市教科局等上级有关部门的要求，认真配合做好其它相关中心工作。</w:t>
      </w:r>
    </w:p>
    <w:p>
      <w:pPr>
        <w:pStyle w:val="12"/>
        <w:widowControl/>
        <w:shd w:val="clear" w:color="auto" w:fill="FFFFFF"/>
        <w:spacing w:line="360" w:lineRule="auto"/>
        <w:ind w:firstLine="420"/>
        <w:rPr>
          <w:rFonts w:hint="eastAsia" w:ascii="仿宋" w:hAnsi="仿宋" w:eastAsia="仿宋" w:cs="仿宋_GB2312"/>
          <w:kern w:val="2"/>
          <w:sz w:val="32"/>
          <w:szCs w:val="32"/>
        </w:rPr>
      </w:pPr>
      <w:r>
        <w:rPr>
          <w:rFonts w:hint="eastAsia" w:ascii="仿宋" w:hAnsi="仿宋" w:eastAsia="仿宋" w:cs="仿宋_GB2312"/>
          <w:kern w:val="2"/>
          <w:sz w:val="32"/>
          <w:szCs w:val="32"/>
        </w:rPr>
        <w:t>（四）、加强财务管理，改善办学条件</w:t>
      </w:r>
    </w:p>
    <w:p>
      <w:pPr>
        <w:pStyle w:val="12"/>
        <w:widowControl/>
        <w:shd w:val="clear" w:color="auto" w:fill="FFFFFF"/>
        <w:spacing w:line="360" w:lineRule="auto"/>
        <w:ind w:firstLine="420"/>
        <w:rPr>
          <w:rFonts w:hint="eastAsia" w:ascii="仿宋" w:hAnsi="仿宋" w:eastAsia="仿宋" w:cs="仿宋_GB2312"/>
          <w:kern w:val="2"/>
          <w:sz w:val="32"/>
          <w:szCs w:val="32"/>
        </w:rPr>
      </w:pPr>
      <w:r>
        <w:rPr>
          <w:rFonts w:hint="eastAsia" w:ascii="仿宋" w:hAnsi="仿宋" w:eastAsia="仿宋" w:cs="仿宋_GB2312"/>
          <w:color w:val="333333"/>
          <w:sz w:val="32"/>
          <w:szCs w:val="32"/>
        </w:rPr>
        <w:t>　　1、</w:t>
      </w:r>
      <w:r>
        <w:rPr>
          <w:rFonts w:hint="eastAsia" w:ascii="仿宋" w:hAnsi="仿宋" w:eastAsia="仿宋" w:cs="仿宋_GB2312"/>
          <w:kern w:val="2"/>
          <w:sz w:val="32"/>
          <w:szCs w:val="32"/>
        </w:rPr>
        <w:t>严肃财务纪律，杜绝一切乱支出的现象，认真执行财务预决算制度，精打细算，开源节流，节约开支，坚持财务公开，提高学校经费的使用效益，将有限的资金投入教育教学之中。</w:t>
      </w:r>
    </w:p>
    <w:p>
      <w:pPr>
        <w:pStyle w:val="12"/>
        <w:widowControl/>
        <w:shd w:val="clear" w:color="auto" w:fill="FFFFFF"/>
        <w:spacing w:line="360" w:lineRule="auto"/>
        <w:ind w:firstLine="420"/>
        <w:rPr>
          <w:rFonts w:hint="eastAsia" w:ascii="仿宋" w:hAnsi="仿宋" w:eastAsia="仿宋" w:cs="仿宋_GB2312"/>
          <w:kern w:val="2"/>
          <w:sz w:val="32"/>
          <w:szCs w:val="32"/>
        </w:rPr>
      </w:pPr>
      <w:r>
        <w:rPr>
          <w:rFonts w:hint="eastAsia" w:ascii="仿宋" w:hAnsi="仿宋" w:eastAsia="仿宋" w:cs="仿宋_GB2312"/>
          <w:kern w:val="2"/>
          <w:sz w:val="32"/>
          <w:szCs w:val="32"/>
        </w:rPr>
        <w:t>　　2、继续抓好各专用教室的规范管理，健全完善各项管理制度和使用制度。妥善保管，合理使用，充分发挥应有的功能，最大限度为教育教学服务。</w:t>
      </w:r>
    </w:p>
    <w:p>
      <w:pPr>
        <w:pStyle w:val="3"/>
        <w:rPr>
          <w:rStyle w:val="18"/>
          <w:b w:val="0"/>
          <w:bCs w:val="0"/>
        </w:rPr>
      </w:pPr>
      <w:bookmarkStart w:id="20" w:name="_Toc15396601"/>
      <w:bookmarkStart w:id="21" w:name="_Toc15377200"/>
      <w:r>
        <w:rPr>
          <w:rFonts w:hint="eastAsia" w:ascii="黑体" w:eastAsia="黑体"/>
          <w:b w:val="0"/>
          <w:color w:val="000000"/>
        </w:rPr>
        <w:t>二、</w:t>
      </w:r>
      <w:r>
        <w:rPr>
          <w:rFonts w:hint="eastAsia" w:ascii="黑体" w:hAnsi="黑体" w:eastAsia="黑体"/>
          <w:b w:val="0"/>
          <w:color w:val="000000"/>
        </w:rPr>
        <w:t>机</w:t>
      </w:r>
      <w:r>
        <w:rPr>
          <w:rStyle w:val="18"/>
          <w:rFonts w:hint="eastAsia" w:ascii="黑体" w:hAnsi="黑体" w:eastAsia="黑体"/>
          <w:b w:val="0"/>
          <w:bCs w:val="0"/>
        </w:rPr>
        <w:t>构设置</w:t>
      </w:r>
      <w:bookmarkEnd w:id="20"/>
      <w:bookmarkEnd w:id="21"/>
    </w:p>
    <w:p>
      <w:pPr>
        <w:pStyle w:val="5"/>
        <w:adjustRightInd w:val="0"/>
        <w:snapToGrid w:val="0"/>
        <w:spacing w:before="93" w:line="360" w:lineRule="auto"/>
        <w:ind w:firstLine="672" w:firstLineChars="210"/>
        <w:rPr>
          <w:rFonts w:ascii="仿宋" w:hAnsi="仿宋" w:eastAsia="仿宋" w:cs="仿宋_GB2312"/>
          <w:color w:val="000000"/>
          <w:sz w:val="32"/>
          <w:szCs w:val="32"/>
        </w:rPr>
      </w:pPr>
      <w:r>
        <w:rPr>
          <w:rFonts w:hint="eastAsia" w:ascii="仿宋" w:hAnsi="仿宋" w:eastAsia="仿宋" w:cs="仿宋_GB2312"/>
          <w:sz w:val="32"/>
          <w:szCs w:val="32"/>
        </w:rPr>
        <w:t>万源市</w:t>
      </w:r>
      <w:r>
        <w:rPr>
          <w:rFonts w:hint="eastAsia" w:ascii="仿宋" w:hAnsi="仿宋" w:eastAsia="仿宋" w:cs="仿宋_GB2312"/>
          <w:sz w:val="32"/>
          <w:szCs w:val="32"/>
          <w:lang w:eastAsia="zh-CN"/>
        </w:rPr>
        <w:t>柳黄乡中心小学校</w:t>
      </w:r>
      <w:r>
        <w:rPr>
          <w:rFonts w:hint="eastAsia" w:ascii="仿宋" w:hAnsi="仿宋" w:eastAsia="仿宋" w:cs="仿宋_GB2312"/>
          <w:sz w:val="32"/>
          <w:szCs w:val="32"/>
        </w:rPr>
        <w:t>属一级预算单位，执行</w:t>
      </w:r>
      <w:r>
        <w:rPr>
          <w:rFonts w:hint="eastAsia" w:ascii="仿宋" w:hAnsi="仿宋" w:eastAsia="仿宋" w:cs="仿宋_GB2312"/>
          <w:sz w:val="32"/>
          <w:szCs w:val="32"/>
          <w:lang w:eastAsia="zh-CN"/>
        </w:rPr>
        <w:t>政府</w:t>
      </w:r>
      <w:r>
        <w:rPr>
          <w:rFonts w:hint="eastAsia" w:ascii="仿宋" w:hAnsi="仿宋" w:eastAsia="仿宋" w:cs="仿宋_GB2312"/>
          <w:sz w:val="32"/>
          <w:szCs w:val="32"/>
        </w:rPr>
        <w:t>会计制度。</w:t>
      </w:r>
    </w:p>
    <w:p>
      <w:pPr>
        <w:widowControl/>
        <w:jc w:val="left"/>
        <w:rPr>
          <w:rFonts w:ascii="仿宋" w:hAnsi="仿宋" w:eastAsia="仿宋"/>
          <w:color w:val="000000"/>
          <w:kern w:val="0"/>
          <w:sz w:val="32"/>
          <w:szCs w:val="32"/>
        </w:rPr>
      </w:pPr>
      <w:r>
        <w:rPr>
          <w:rFonts w:ascii="仿宋" w:hAnsi="仿宋" w:eastAsia="仿宋"/>
          <w:color w:val="000000"/>
          <w:sz w:val="32"/>
          <w:szCs w:val="32"/>
        </w:rPr>
        <w:br w:type="page"/>
      </w:r>
    </w:p>
    <w:p>
      <w:pPr>
        <w:pStyle w:val="2"/>
        <w:ind w:right="440"/>
        <w:jc w:val="right"/>
        <w:rPr>
          <w:rStyle w:val="17"/>
          <w:rFonts w:ascii="黑体" w:hAnsi="黑体" w:eastAsia="黑体"/>
          <w:b w:val="0"/>
          <w:bCs w:val="0"/>
        </w:rPr>
      </w:pPr>
      <w:bookmarkStart w:id="22" w:name="_Toc15396602"/>
      <w:bookmarkStart w:id="23" w:name="_Toc15377204"/>
      <w:r>
        <w:rPr>
          <w:rFonts w:hint="eastAsia" w:ascii="黑体" w:hAnsi="黑体" w:eastAsia="黑体"/>
          <w:b w:val="0"/>
          <w:color w:val="000000"/>
        </w:rPr>
        <w:t>第二部分</w:t>
      </w:r>
      <w:r>
        <w:rPr>
          <w:rFonts w:ascii="黑体" w:hAnsi="黑体" w:eastAsia="黑体"/>
          <w:color w:val="000000"/>
        </w:rPr>
        <w:t xml:space="preserve"> </w:t>
      </w:r>
      <w:r>
        <w:rPr>
          <w:rStyle w:val="17"/>
          <w:rFonts w:ascii="黑体" w:hAnsi="黑体" w:eastAsia="黑体"/>
          <w:b w:val="0"/>
          <w:bCs w:val="0"/>
        </w:rPr>
        <w:t>201</w:t>
      </w:r>
      <w:r>
        <w:rPr>
          <w:rStyle w:val="17"/>
          <w:rFonts w:hint="eastAsia" w:ascii="黑体" w:hAnsi="黑体" w:eastAsia="黑体"/>
          <w:b w:val="0"/>
          <w:bCs w:val="0"/>
          <w:lang w:val="en-US" w:eastAsia="zh-CN"/>
        </w:rPr>
        <w:t>9</w:t>
      </w:r>
      <w:r>
        <w:rPr>
          <w:rStyle w:val="17"/>
          <w:rFonts w:hint="eastAsia" w:ascii="黑体" w:hAnsi="黑体" w:eastAsia="黑体"/>
          <w:b w:val="0"/>
          <w:bCs w:val="0"/>
        </w:rPr>
        <w:t>年度部门决算情况说明</w:t>
      </w:r>
      <w:bookmarkEnd w:id="22"/>
      <w:bookmarkEnd w:id="23"/>
    </w:p>
    <w:p/>
    <w:p>
      <w:pPr>
        <w:rPr>
          <w:rFonts w:ascii="宋体" w:hAnsi="宋体" w:cs="宋体"/>
          <w:kern w:val="0"/>
          <w:sz w:val="24"/>
        </w:rPr>
      </w:pPr>
      <w:bookmarkStart w:id="24" w:name="_Toc15377205"/>
      <w:bookmarkStart w:id="25" w:name="_Toc15396603"/>
      <w:r>
        <w:rPr>
          <w:rFonts w:hint="eastAsia" w:ascii="黑体" w:hAnsi="黑体" w:eastAsia="黑体"/>
          <w:color w:val="000000"/>
          <w:sz w:val="32"/>
          <w:szCs w:val="32"/>
        </w:rPr>
        <w:t>一、收</w:t>
      </w:r>
      <w:r>
        <w:rPr>
          <w:rStyle w:val="18"/>
          <w:rFonts w:hint="eastAsia" w:ascii="黑体" w:hAnsi="黑体" w:eastAsia="黑体"/>
          <w:b w:val="0"/>
        </w:rPr>
        <w:t>入支出决算总体情况说明</w:t>
      </w:r>
      <w:bookmarkEnd w:id="24"/>
      <w:bookmarkEnd w:id="25"/>
    </w:p>
    <w:p>
      <w:pPr>
        <w:spacing w:line="600" w:lineRule="exact"/>
        <w:ind w:firstLine="640" w:firstLineChars="200"/>
        <w:rPr>
          <w:rFonts w:hint="eastAsia" w:ascii="仿宋" w:hAnsi="仿宋" w:eastAsia="仿宋"/>
          <w:color w:val="000000"/>
          <w:sz w:val="32"/>
          <w:szCs w:val="32"/>
          <w:lang w:eastAsia="zh-CN"/>
        </w:rPr>
      </w:pPr>
      <w:r>
        <w:rPr>
          <w:rFonts w:ascii="仿宋" w:hAnsi="仿宋" w:eastAsia="仿宋"/>
          <w:color w:val="000000"/>
          <w:sz w:val="32"/>
          <w:szCs w:val="32"/>
        </w:rPr>
        <w:t>201</w:t>
      </w:r>
      <w:r>
        <w:rPr>
          <w:rFonts w:hint="eastAsia" w:ascii="仿宋" w:hAnsi="仿宋" w:eastAsia="仿宋"/>
          <w:color w:val="000000"/>
          <w:sz w:val="32"/>
          <w:szCs w:val="32"/>
          <w:lang w:val="en-US" w:eastAsia="zh-CN"/>
        </w:rPr>
        <w:t>9</w:t>
      </w:r>
      <w:r>
        <w:rPr>
          <w:rFonts w:hint="eastAsia" w:ascii="仿宋" w:hAnsi="仿宋" w:eastAsia="仿宋"/>
          <w:color w:val="000000"/>
          <w:sz w:val="32"/>
          <w:szCs w:val="32"/>
        </w:rPr>
        <w:t>年度收、支总计</w:t>
      </w:r>
      <w:r>
        <w:rPr>
          <w:rFonts w:hint="eastAsia" w:ascii="仿宋" w:hAnsi="仿宋" w:eastAsia="仿宋"/>
          <w:color w:val="000000"/>
          <w:sz w:val="32"/>
          <w:szCs w:val="32"/>
          <w:lang w:val="en-US" w:eastAsia="zh-CN"/>
        </w:rPr>
        <w:t>265.18</w:t>
      </w:r>
      <w:r>
        <w:rPr>
          <w:rFonts w:hint="eastAsia" w:ascii="仿宋" w:hAnsi="仿宋" w:eastAsia="仿宋"/>
          <w:color w:val="000000"/>
          <w:sz w:val="32"/>
          <w:szCs w:val="32"/>
        </w:rPr>
        <w:t>万元。与</w:t>
      </w:r>
      <w:r>
        <w:rPr>
          <w:rFonts w:ascii="仿宋" w:hAnsi="仿宋" w:eastAsia="仿宋"/>
          <w:color w:val="000000"/>
          <w:sz w:val="32"/>
          <w:szCs w:val="32"/>
        </w:rPr>
        <w:t>201</w:t>
      </w:r>
      <w:r>
        <w:rPr>
          <w:rFonts w:hint="eastAsia" w:ascii="仿宋" w:hAnsi="仿宋" w:eastAsia="仿宋"/>
          <w:color w:val="000000"/>
          <w:sz w:val="32"/>
          <w:szCs w:val="32"/>
          <w:lang w:val="en-US" w:eastAsia="zh-CN"/>
        </w:rPr>
        <w:t>8</w:t>
      </w:r>
      <w:r>
        <w:rPr>
          <w:rFonts w:hint="eastAsia" w:ascii="仿宋" w:hAnsi="仿宋" w:eastAsia="仿宋"/>
          <w:color w:val="000000"/>
          <w:sz w:val="32"/>
          <w:szCs w:val="32"/>
        </w:rPr>
        <w:t>年相比，收、支总计</w:t>
      </w:r>
      <w:r>
        <w:rPr>
          <w:rFonts w:hint="eastAsia" w:ascii="仿宋" w:hAnsi="仿宋" w:eastAsia="仿宋"/>
          <w:color w:val="000000"/>
          <w:sz w:val="32"/>
          <w:szCs w:val="32"/>
          <w:lang w:eastAsia="zh-CN"/>
        </w:rPr>
        <w:t>增加</w:t>
      </w:r>
      <w:r>
        <w:rPr>
          <w:rFonts w:hint="eastAsia" w:ascii="仿宋" w:hAnsi="仿宋" w:eastAsia="仿宋"/>
          <w:color w:val="000000"/>
          <w:sz w:val="32"/>
          <w:szCs w:val="32"/>
          <w:lang w:val="en-US" w:eastAsia="zh-CN"/>
        </w:rPr>
        <w:t>15.56</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增加</w:t>
      </w:r>
      <w:r>
        <w:rPr>
          <w:rFonts w:hint="eastAsia" w:ascii="仿宋" w:hAnsi="仿宋" w:eastAsia="仿宋"/>
          <w:color w:val="000000"/>
          <w:sz w:val="32"/>
          <w:szCs w:val="32"/>
          <w:lang w:val="en-US" w:eastAsia="zh-CN"/>
        </w:rPr>
        <w:t>5.87</w:t>
      </w:r>
      <w:r>
        <w:rPr>
          <w:rFonts w:ascii="仿宋" w:hAnsi="仿宋" w:eastAsia="仿宋"/>
          <w:color w:val="000000"/>
          <w:sz w:val="32"/>
          <w:szCs w:val="32"/>
        </w:rPr>
        <w:t>%</w:t>
      </w:r>
      <w:r>
        <w:rPr>
          <w:rFonts w:hint="eastAsia" w:ascii="仿宋" w:hAnsi="仿宋" w:eastAsia="仿宋"/>
          <w:color w:val="000000"/>
          <w:sz w:val="32"/>
          <w:szCs w:val="32"/>
        </w:rPr>
        <w:t>。主要变动原因是</w:t>
      </w:r>
      <w:r>
        <w:rPr>
          <w:rFonts w:hint="eastAsia" w:ascii="仿宋" w:hAnsi="仿宋" w:eastAsia="仿宋"/>
          <w:color w:val="000000"/>
          <w:sz w:val="32"/>
          <w:szCs w:val="32"/>
          <w:lang w:val="en-US" w:eastAsia="zh-CN"/>
        </w:rPr>
        <w:t>2019年增加工资福利支出</w:t>
      </w:r>
      <w:r>
        <w:rPr>
          <w:rFonts w:hint="eastAsia" w:ascii="仿宋" w:hAnsi="仿宋" w:eastAsia="仿宋"/>
          <w:color w:val="000000"/>
          <w:sz w:val="32"/>
          <w:szCs w:val="32"/>
        </w:rPr>
        <w:t>。</w:t>
      </w:r>
    </w:p>
    <w:p>
      <w:pPr>
        <w:spacing w:line="600" w:lineRule="exact"/>
        <w:ind w:firstLine="640" w:firstLineChars="200"/>
        <w:rPr>
          <w:rFonts w:hint="eastAsia" w:ascii="仿宋" w:hAnsi="仿宋" w:eastAsia="仿宋"/>
          <w:color w:val="000000"/>
          <w:sz w:val="32"/>
          <w:szCs w:val="32"/>
          <w:lang w:eastAsia="zh-CN"/>
        </w:rPr>
      </w:pPr>
      <w:r>
        <w:rPr>
          <w:rFonts w:hint="eastAsia" w:ascii="仿宋" w:hAnsi="仿宋" w:eastAsia="仿宋"/>
          <w:color w:val="000000"/>
          <w:sz w:val="32"/>
          <w:szCs w:val="32"/>
          <w:lang w:eastAsia="zh-CN"/>
        </w:rPr>
        <w:drawing>
          <wp:anchor distT="0" distB="0" distL="114300" distR="114300" simplePos="0" relativeHeight="251675648" behindDoc="1" locked="0" layoutInCell="1" allowOverlap="1">
            <wp:simplePos x="0" y="0"/>
            <wp:positionH relativeFrom="column">
              <wp:posOffset>118745</wp:posOffset>
            </wp:positionH>
            <wp:positionV relativeFrom="paragraph">
              <wp:posOffset>4445</wp:posOffset>
            </wp:positionV>
            <wp:extent cx="5203190" cy="2325370"/>
            <wp:effectExtent l="5080" t="4445" r="11430" b="13335"/>
            <wp:wrapNone/>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1</w:t>
      </w:r>
      <w:r>
        <w:rPr>
          <w:rFonts w:hint="eastAsia" w:ascii="仿宋" w:hAnsi="仿宋" w:eastAsia="仿宋"/>
          <w:color w:val="000000"/>
          <w:sz w:val="32"/>
          <w:szCs w:val="32"/>
        </w:rPr>
        <w:t>：收 、支决算总计变动情况图）（柱状图）</w:t>
      </w:r>
    </w:p>
    <w:p>
      <w:pPr>
        <w:spacing w:line="600" w:lineRule="exact"/>
        <w:outlineLvl w:val="1"/>
        <w:rPr>
          <w:rStyle w:val="18"/>
          <w:rFonts w:ascii="黑体" w:hAnsi="黑体" w:eastAsia="黑体"/>
          <w:b w:val="0"/>
        </w:rPr>
      </w:pPr>
      <w:bookmarkStart w:id="26" w:name="_Toc15396604"/>
      <w:bookmarkStart w:id="27" w:name="_Toc15377206"/>
      <w:r>
        <w:rPr>
          <w:rFonts w:hint="eastAsia" w:ascii="黑体" w:hAnsi="黑体" w:eastAsia="黑体"/>
          <w:color w:val="000000"/>
          <w:sz w:val="32"/>
          <w:szCs w:val="32"/>
        </w:rPr>
        <w:t>二、收</w:t>
      </w:r>
      <w:r>
        <w:rPr>
          <w:rStyle w:val="18"/>
          <w:rFonts w:hint="eastAsia" w:ascii="黑体" w:hAnsi="黑体" w:eastAsia="黑体"/>
          <w:b w:val="0"/>
        </w:rPr>
        <w:t>入决算情况说明</w:t>
      </w:r>
      <w:bookmarkEnd w:id="26"/>
      <w:bookmarkEnd w:id="27"/>
    </w:p>
    <w:p>
      <w:pPr>
        <w:spacing w:line="600" w:lineRule="exact"/>
        <w:ind w:firstLine="640" w:firstLineChars="200"/>
        <w:outlineLvl w:val="1"/>
        <w:rPr>
          <w:rFonts w:hint="eastAsia" w:ascii="仿宋" w:hAnsi="仿宋" w:eastAsia="仿宋"/>
          <w:color w:val="000000"/>
          <w:sz w:val="32"/>
          <w:szCs w:val="32"/>
          <w:lang w:val="en-US" w:eastAsia="zh-CN"/>
        </w:rPr>
      </w:pPr>
      <w:r>
        <w:rPr>
          <w:rFonts w:ascii="仿宋" w:hAnsi="仿宋" w:eastAsia="仿宋"/>
          <w:color w:val="000000"/>
          <w:sz w:val="32"/>
          <w:szCs w:val="32"/>
        </w:rPr>
        <w:t>201</w:t>
      </w:r>
      <w:r>
        <w:rPr>
          <w:rFonts w:hint="eastAsia" w:ascii="仿宋" w:hAnsi="仿宋" w:eastAsia="仿宋"/>
          <w:color w:val="000000"/>
          <w:sz w:val="32"/>
          <w:szCs w:val="32"/>
          <w:lang w:val="en-US" w:eastAsia="zh-CN"/>
        </w:rPr>
        <w:t>9</w:t>
      </w:r>
      <w:r>
        <w:rPr>
          <w:rFonts w:hint="eastAsia" w:ascii="仿宋" w:hAnsi="仿宋" w:eastAsia="仿宋"/>
          <w:color w:val="000000"/>
          <w:sz w:val="32"/>
          <w:szCs w:val="32"/>
        </w:rPr>
        <w:t>年本年收入合计</w:t>
      </w:r>
      <w:r>
        <w:rPr>
          <w:rFonts w:hint="eastAsia" w:ascii="仿宋" w:hAnsi="仿宋" w:eastAsia="仿宋"/>
          <w:color w:val="000000"/>
          <w:sz w:val="32"/>
          <w:szCs w:val="32"/>
          <w:lang w:val="en-US" w:eastAsia="zh-CN"/>
        </w:rPr>
        <w:t>265.18</w:t>
      </w:r>
      <w:r>
        <w:rPr>
          <w:rFonts w:hint="eastAsia" w:ascii="仿宋" w:hAnsi="仿宋" w:eastAsia="仿宋"/>
          <w:color w:val="000000"/>
          <w:sz w:val="32"/>
          <w:szCs w:val="32"/>
        </w:rPr>
        <w:t>万元，其中：一般公共预算财政拨款收入</w:t>
      </w:r>
      <w:r>
        <w:rPr>
          <w:rFonts w:hint="eastAsia" w:ascii="仿宋" w:hAnsi="仿宋" w:eastAsia="仿宋"/>
          <w:color w:val="000000"/>
          <w:sz w:val="32"/>
          <w:szCs w:val="32"/>
          <w:lang w:val="en-US" w:eastAsia="zh-CN"/>
        </w:rPr>
        <w:t>262.53</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99.00</w:t>
      </w:r>
      <w:r>
        <w:rPr>
          <w:rFonts w:ascii="仿宋" w:hAnsi="仿宋" w:eastAsia="仿宋"/>
          <w:color w:val="000000"/>
          <w:sz w:val="32"/>
          <w:szCs w:val="32"/>
        </w:rPr>
        <w:t>%</w:t>
      </w:r>
      <w:r>
        <w:rPr>
          <w:rFonts w:hint="eastAsia" w:ascii="仿宋" w:hAnsi="仿宋" w:eastAsia="仿宋"/>
          <w:color w:val="000000"/>
          <w:sz w:val="32"/>
          <w:szCs w:val="32"/>
          <w:lang w:eastAsia="zh-CN"/>
        </w:rPr>
        <w:t>。事业收入</w:t>
      </w:r>
      <w:r>
        <w:rPr>
          <w:rFonts w:hint="eastAsia" w:ascii="仿宋" w:hAnsi="仿宋" w:eastAsia="仿宋"/>
          <w:color w:val="000000"/>
          <w:sz w:val="32"/>
          <w:szCs w:val="32"/>
          <w:lang w:val="en-US" w:eastAsia="zh-CN"/>
        </w:rPr>
        <w:t>2.65万元，</w:t>
      </w:r>
      <w:r>
        <w:rPr>
          <w:rFonts w:hint="eastAsia" w:ascii="仿宋" w:hAnsi="仿宋" w:eastAsia="仿宋"/>
          <w:color w:val="000000"/>
          <w:sz w:val="32"/>
          <w:szCs w:val="32"/>
        </w:rPr>
        <w:t>占</w:t>
      </w:r>
      <w:r>
        <w:rPr>
          <w:rFonts w:hint="eastAsia" w:ascii="仿宋" w:hAnsi="仿宋" w:eastAsia="仿宋"/>
          <w:color w:val="000000"/>
          <w:sz w:val="32"/>
          <w:szCs w:val="32"/>
          <w:lang w:val="en-US" w:eastAsia="zh-CN"/>
        </w:rPr>
        <w:t>1</w:t>
      </w:r>
      <w:r>
        <w:rPr>
          <w:rFonts w:ascii="仿宋" w:hAnsi="仿宋" w:eastAsia="仿宋"/>
          <w:color w:val="000000"/>
          <w:sz w:val="32"/>
          <w:szCs w:val="32"/>
        </w:rPr>
        <w:t>%</w:t>
      </w:r>
      <w:r>
        <w:rPr>
          <w:rFonts w:hint="eastAsia" w:ascii="仿宋" w:hAnsi="仿宋" w:eastAsia="仿宋"/>
          <w:color w:val="000000"/>
          <w:sz w:val="32"/>
          <w:szCs w:val="32"/>
          <w:lang w:eastAsia="zh-CN"/>
        </w:rPr>
        <w:t>。</w:t>
      </w:r>
    </w:p>
    <w:p>
      <w:pPr>
        <w:widowControl/>
        <w:jc w:val="left"/>
        <w:rPr>
          <w:rFonts w:ascii="宋体" w:hAnsi="宋体" w:cs="宋体"/>
          <w:kern w:val="0"/>
          <w:sz w:val="24"/>
        </w:rPr>
      </w:pPr>
      <w:r>
        <w:rPr>
          <w:rFonts w:hint="eastAsia" w:ascii="仿宋" w:hAnsi="仿宋" w:eastAsia="仿宋"/>
          <w:color w:val="000000"/>
          <w:sz w:val="32"/>
          <w:szCs w:val="32"/>
          <w:lang w:val="en-US" w:eastAsia="zh-CN"/>
        </w:rPr>
        <w:drawing>
          <wp:anchor distT="0" distB="0" distL="114300" distR="114300" simplePos="0" relativeHeight="251675648" behindDoc="1" locked="0" layoutInCell="1" allowOverlap="1">
            <wp:simplePos x="0" y="0"/>
            <wp:positionH relativeFrom="column">
              <wp:posOffset>166370</wp:posOffset>
            </wp:positionH>
            <wp:positionV relativeFrom="paragraph">
              <wp:posOffset>52070</wp:posOffset>
            </wp:positionV>
            <wp:extent cx="4965700" cy="2066925"/>
            <wp:effectExtent l="4445" t="4445" r="20955" b="5080"/>
            <wp:wrapNone/>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pPr>
        <w:widowControl/>
        <w:jc w:val="left"/>
        <w:rPr>
          <w:rFonts w:ascii="宋体" w:hAnsi="宋体" w:cs="宋体"/>
          <w:kern w:val="0"/>
          <w:sz w:val="24"/>
        </w:rPr>
      </w:pPr>
    </w:p>
    <w:p>
      <w:pPr>
        <w:widowControl/>
        <w:jc w:val="left"/>
        <w:rPr>
          <w:rFonts w:ascii="宋体" w:hAnsi="宋体" w:cs="宋体"/>
          <w:kern w:val="0"/>
          <w:sz w:val="24"/>
        </w:rPr>
      </w:pPr>
    </w:p>
    <w:p>
      <w:pPr>
        <w:widowControl/>
        <w:jc w:val="left"/>
        <w:rPr>
          <w:rFonts w:ascii="宋体" w:hAnsi="宋体" w:cs="宋体"/>
          <w:kern w:val="0"/>
          <w:sz w:val="24"/>
        </w:rPr>
      </w:pPr>
    </w:p>
    <w:p>
      <w:pPr>
        <w:widowControl/>
        <w:jc w:val="left"/>
        <w:rPr>
          <w:rFonts w:ascii="宋体" w:hAnsi="宋体" w:cs="宋体"/>
          <w:kern w:val="0"/>
          <w:sz w:val="24"/>
        </w:rPr>
      </w:pPr>
    </w:p>
    <w:p>
      <w:pPr>
        <w:widowControl/>
        <w:jc w:val="left"/>
        <w:rPr>
          <w:rFonts w:ascii="宋体" w:hAnsi="宋体" w:cs="宋体"/>
          <w:kern w:val="0"/>
          <w:sz w:val="24"/>
        </w:rPr>
      </w:pPr>
    </w:p>
    <w:p>
      <w:pPr>
        <w:widowControl/>
        <w:jc w:val="left"/>
        <w:rPr>
          <w:rFonts w:ascii="宋体" w:hAnsi="宋体" w:cs="宋体"/>
          <w:kern w:val="0"/>
          <w:sz w:val="24"/>
        </w:rPr>
      </w:pPr>
    </w:p>
    <w:p>
      <w:pPr>
        <w:spacing w:line="600" w:lineRule="exact"/>
        <w:rPr>
          <w:rFonts w:hint="eastAsia" w:ascii="仿宋" w:hAnsi="仿宋" w:eastAsia="仿宋"/>
          <w:color w:val="000000"/>
          <w:sz w:val="32"/>
          <w:szCs w:val="32"/>
        </w:rPr>
      </w:pPr>
    </w:p>
    <w:p>
      <w:pPr>
        <w:spacing w:line="600" w:lineRule="exact"/>
        <w:rPr>
          <w:rFonts w:hint="eastAsia"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2</w:t>
      </w:r>
      <w:r>
        <w:rPr>
          <w:rFonts w:hint="eastAsia" w:ascii="仿宋" w:hAnsi="仿宋" w:eastAsia="仿宋"/>
          <w:color w:val="000000"/>
          <w:sz w:val="32"/>
          <w:szCs w:val="32"/>
        </w:rPr>
        <w:t>：收入决算结构图）（饼状图）</w:t>
      </w:r>
    </w:p>
    <w:p>
      <w:pPr>
        <w:spacing w:line="600" w:lineRule="exact"/>
        <w:outlineLvl w:val="1"/>
        <w:rPr>
          <w:rStyle w:val="18"/>
          <w:rFonts w:ascii="黑体" w:hAnsi="黑体" w:eastAsia="黑体"/>
          <w:b w:val="0"/>
        </w:rPr>
      </w:pPr>
      <w:bookmarkStart w:id="28" w:name="_Toc15396605"/>
      <w:bookmarkStart w:id="29" w:name="_Toc15377207"/>
      <w:r>
        <w:rPr>
          <w:rFonts w:hint="eastAsia" w:ascii="黑体" w:hAnsi="黑体" w:eastAsia="黑体"/>
          <w:color w:val="000000"/>
          <w:sz w:val="32"/>
          <w:szCs w:val="32"/>
        </w:rPr>
        <w:t>三、支</w:t>
      </w:r>
      <w:r>
        <w:rPr>
          <w:rStyle w:val="18"/>
          <w:rFonts w:hint="eastAsia" w:ascii="黑体" w:hAnsi="黑体" w:eastAsia="黑体"/>
          <w:b w:val="0"/>
        </w:rPr>
        <w:t>出决算情况说明</w:t>
      </w:r>
      <w:bookmarkEnd w:id="28"/>
      <w:bookmarkEnd w:id="29"/>
    </w:p>
    <w:p>
      <w:pPr>
        <w:spacing w:line="600" w:lineRule="exact"/>
        <w:ind w:firstLine="640"/>
        <w:rPr>
          <w:rFonts w:hint="eastAsia"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lang w:val="en-US" w:eastAsia="zh-CN"/>
        </w:rPr>
        <w:t>9</w:t>
      </w:r>
      <w:r>
        <w:rPr>
          <w:rFonts w:hint="eastAsia" w:ascii="仿宋" w:hAnsi="仿宋" w:eastAsia="仿宋"/>
          <w:color w:val="000000"/>
          <w:sz w:val="32"/>
          <w:szCs w:val="32"/>
        </w:rPr>
        <w:t>年本年支出合计</w:t>
      </w:r>
      <w:r>
        <w:rPr>
          <w:rFonts w:hint="eastAsia" w:ascii="仿宋" w:hAnsi="仿宋" w:eastAsia="仿宋"/>
          <w:color w:val="000000"/>
          <w:sz w:val="32"/>
          <w:szCs w:val="32"/>
          <w:lang w:val="en-US" w:eastAsia="zh-CN"/>
        </w:rPr>
        <w:t>215.4</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，其中：教育支出</w:t>
      </w:r>
      <w:r>
        <w:rPr>
          <w:rFonts w:hint="eastAsia" w:ascii="仿宋" w:hAnsi="仿宋" w:eastAsia="仿宋"/>
          <w:color w:val="000000"/>
          <w:sz w:val="32"/>
          <w:szCs w:val="32"/>
          <w:lang w:val="en-US" w:eastAsia="zh-CN"/>
        </w:rPr>
        <w:t>200.01万元，</w:t>
      </w:r>
      <w:r>
        <w:rPr>
          <w:rFonts w:hint="eastAsia" w:ascii="仿宋" w:hAnsi="仿宋" w:eastAsia="仿宋"/>
          <w:color w:val="000000"/>
          <w:sz w:val="32"/>
          <w:szCs w:val="32"/>
          <w:lang w:eastAsia="zh-CN"/>
        </w:rPr>
        <w:t>占</w:t>
      </w:r>
      <w:r>
        <w:rPr>
          <w:rFonts w:hint="eastAsia" w:ascii="仿宋" w:hAnsi="仿宋" w:eastAsia="仿宋"/>
          <w:color w:val="000000"/>
          <w:sz w:val="32"/>
          <w:szCs w:val="32"/>
          <w:lang w:val="en-US" w:eastAsia="zh-CN"/>
        </w:rPr>
        <w:t>92.86%；</w:t>
      </w:r>
      <w:r>
        <w:rPr>
          <w:rFonts w:hint="eastAsia" w:ascii="仿宋" w:hAnsi="仿宋" w:eastAsia="仿宋" w:cs="仿宋"/>
          <w:color w:val="000000"/>
          <w:sz w:val="32"/>
          <w:szCs w:val="32"/>
          <w:lang w:val="en-US" w:eastAsia="zh-CN"/>
        </w:rPr>
        <w:t>住房保障支出15.39万元，占7.14%。</w:t>
      </w:r>
    </w:p>
    <w:p>
      <w:pPr>
        <w:spacing w:line="600" w:lineRule="exact"/>
        <w:ind w:firstLine="640"/>
        <w:rPr>
          <w:rFonts w:hint="eastAsia" w:ascii="仿宋" w:hAnsi="仿宋" w:eastAsia="仿宋"/>
          <w:color w:val="000000"/>
          <w:sz w:val="32"/>
          <w:szCs w:val="32"/>
          <w:lang w:eastAsia="zh-CN"/>
        </w:rPr>
      </w:pPr>
      <w:r>
        <w:rPr>
          <w:rFonts w:hint="eastAsia" w:ascii="仿宋" w:hAnsi="仿宋" w:eastAsia="仿宋"/>
          <w:color w:val="000000"/>
          <w:sz w:val="32"/>
          <w:szCs w:val="32"/>
          <w:lang w:eastAsia="zh-CN"/>
        </w:rPr>
        <w:drawing>
          <wp:anchor distT="0" distB="0" distL="114935" distR="114935" simplePos="0" relativeHeight="251675648" behindDoc="1" locked="0" layoutInCell="1" allowOverlap="1">
            <wp:simplePos x="0" y="0"/>
            <wp:positionH relativeFrom="column">
              <wp:posOffset>115570</wp:posOffset>
            </wp:positionH>
            <wp:positionV relativeFrom="paragraph">
              <wp:posOffset>109220</wp:posOffset>
            </wp:positionV>
            <wp:extent cx="4537075" cy="2162175"/>
            <wp:effectExtent l="5080" t="4445" r="10795" b="5080"/>
            <wp:wrapNone/>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widowControl/>
        <w:jc w:val="left"/>
        <w:rPr>
          <w:rFonts w:ascii="宋体" w:hAnsi="宋体" w:cs="宋体"/>
          <w:kern w:val="0"/>
          <w:sz w:val="24"/>
        </w:rPr>
      </w:pPr>
    </w:p>
    <w:p>
      <w:pPr>
        <w:widowControl/>
        <w:jc w:val="left"/>
        <w:rPr>
          <w:rFonts w:ascii="宋体" w:hAnsi="宋体" w:cs="宋体"/>
          <w:kern w:val="0"/>
          <w:sz w:val="24"/>
        </w:rPr>
      </w:pPr>
    </w:p>
    <w:p>
      <w:pPr>
        <w:widowControl/>
        <w:jc w:val="left"/>
        <w:rPr>
          <w:rFonts w:ascii="宋体" w:hAnsi="宋体" w:cs="宋体"/>
          <w:kern w:val="0"/>
          <w:sz w:val="24"/>
        </w:rPr>
      </w:pPr>
    </w:p>
    <w:p>
      <w:pPr>
        <w:widowControl/>
        <w:jc w:val="left"/>
        <w:rPr>
          <w:rFonts w:ascii="宋体" w:hAnsi="宋体" w:cs="宋体"/>
          <w:kern w:val="0"/>
          <w:sz w:val="24"/>
        </w:rPr>
      </w:pP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3</w:t>
      </w:r>
      <w:r>
        <w:rPr>
          <w:rFonts w:hint="eastAsia" w:ascii="仿宋" w:hAnsi="仿宋" w:eastAsia="仿宋"/>
          <w:color w:val="000000"/>
          <w:sz w:val="32"/>
          <w:szCs w:val="32"/>
        </w:rPr>
        <w:t>：支出决算结构图）（饼状图）</w:t>
      </w:r>
    </w:p>
    <w:p>
      <w:pPr>
        <w:spacing w:line="600" w:lineRule="exact"/>
        <w:outlineLvl w:val="1"/>
        <w:rPr>
          <w:rStyle w:val="18"/>
          <w:rFonts w:ascii="黑体" w:hAnsi="黑体" w:eastAsia="黑体"/>
          <w:b w:val="0"/>
        </w:rPr>
      </w:pPr>
      <w:bookmarkStart w:id="30" w:name="_Toc15396606"/>
      <w:bookmarkStart w:id="31" w:name="_Toc15377208"/>
      <w:r>
        <w:rPr>
          <w:rFonts w:hint="eastAsia" w:ascii="黑体" w:hAnsi="黑体" w:eastAsia="黑体"/>
          <w:color w:val="000000"/>
          <w:sz w:val="32"/>
          <w:szCs w:val="32"/>
        </w:rPr>
        <w:t>四、财</w:t>
      </w:r>
      <w:r>
        <w:rPr>
          <w:rStyle w:val="18"/>
          <w:rFonts w:hint="eastAsia" w:ascii="黑体" w:hAnsi="黑体" w:eastAsia="黑体"/>
          <w:b w:val="0"/>
        </w:rPr>
        <w:t>政拨款收入支出决算总体情况说明</w:t>
      </w:r>
      <w:bookmarkEnd w:id="30"/>
      <w:bookmarkEnd w:id="31"/>
    </w:p>
    <w:p>
      <w:pPr>
        <w:spacing w:line="600" w:lineRule="exact"/>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2019年度财政拨款收入总计262.53万元，与2018年相比，财政拨款收入增加12.91万元，增长4.92%。</w:t>
      </w:r>
    </w:p>
    <w:p>
      <w:pPr>
        <w:spacing w:line="600" w:lineRule="exact"/>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2019年财政拨款支出总计212.75万元。与2018年相比，财政拨款支出增减少36.87万元，减少14.77%。</w:t>
      </w:r>
    </w:p>
    <w:p>
      <w:pPr>
        <w:spacing w:line="600" w:lineRule="exact"/>
        <w:ind w:firstLine="640" w:firstLineChars="200"/>
        <w:rPr>
          <w:rFonts w:hint="eastAsia" w:ascii="宋体" w:hAnsi="宋体" w:eastAsia="宋体" w:cs="宋体"/>
          <w:color w:val="000000"/>
          <w:sz w:val="32"/>
          <w:szCs w:val="32"/>
          <w:lang w:val="en-US" w:eastAsia="zh-CN"/>
        </w:rPr>
      </w:pPr>
      <w:r>
        <w:rPr>
          <w:rFonts w:hint="eastAsia" w:ascii="仿宋" w:hAnsi="仿宋" w:eastAsia="仿宋" w:cs="仿宋"/>
          <w:color w:val="000000"/>
          <w:sz w:val="32"/>
          <w:szCs w:val="32"/>
          <w:lang w:val="en-US" w:eastAsia="zh-CN"/>
        </w:rPr>
        <w:t>2019年年末财政补助结转49.76万元。</w:t>
      </w:r>
    </w:p>
    <w:p>
      <w:pPr>
        <w:spacing w:line="600" w:lineRule="exact"/>
        <w:ind w:firstLine="640" w:firstLineChars="200"/>
        <w:rPr>
          <w:rFonts w:hint="eastAsia" w:ascii="仿宋" w:hAnsi="仿宋" w:eastAsia="仿宋"/>
          <w:color w:val="000000"/>
          <w:sz w:val="32"/>
          <w:szCs w:val="32"/>
          <w:lang w:eastAsia="zh-CN"/>
        </w:rPr>
      </w:pPr>
      <w:r>
        <w:rPr>
          <w:rFonts w:hint="eastAsia" w:ascii="仿宋" w:hAnsi="仿宋" w:eastAsia="仿宋"/>
          <w:color w:val="000000"/>
          <w:sz w:val="32"/>
          <w:szCs w:val="32"/>
          <w:lang w:eastAsia="zh-CN"/>
        </w:rPr>
        <w:drawing>
          <wp:anchor distT="0" distB="0" distL="114300" distR="114300" simplePos="0" relativeHeight="251675648" behindDoc="1" locked="0" layoutInCell="1" allowOverlap="1">
            <wp:simplePos x="0" y="0"/>
            <wp:positionH relativeFrom="column">
              <wp:posOffset>248920</wp:posOffset>
            </wp:positionH>
            <wp:positionV relativeFrom="paragraph">
              <wp:posOffset>13335</wp:posOffset>
            </wp:positionV>
            <wp:extent cx="5080000" cy="2677160"/>
            <wp:effectExtent l="4445" t="4445" r="20955" b="23495"/>
            <wp:wrapNone/>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lang w:eastAsia="zh-CN"/>
        </w:rPr>
      </w:pPr>
    </w:p>
    <w:p>
      <w:pPr>
        <w:widowControl/>
        <w:jc w:val="left"/>
        <w:rPr>
          <w:rFonts w:ascii="宋体" w:hAnsi="宋体" w:cs="宋体"/>
          <w:kern w:val="0"/>
          <w:sz w:val="24"/>
        </w:rPr>
      </w:pPr>
    </w:p>
    <w:p>
      <w:pPr>
        <w:widowControl/>
        <w:jc w:val="left"/>
        <w:rPr>
          <w:rFonts w:ascii="宋体" w:hAnsi="宋体" w:cs="宋体"/>
          <w:kern w:val="0"/>
          <w:sz w:val="24"/>
        </w:rPr>
      </w:pPr>
    </w:p>
    <w:p>
      <w:pPr>
        <w:spacing w:line="600" w:lineRule="exact"/>
        <w:ind w:firstLine="640" w:firstLineChars="200"/>
        <w:rPr>
          <w:rFonts w:ascii="仿宋" w:hAnsi="仿宋" w:eastAsia="仿宋"/>
          <w:color w:val="000000"/>
          <w:sz w:val="32"/>
          <w:szCs w:val="32"/>
        </w:rPr>
      </w:pPr>
    </w:p>
    <w:p>
      <w:pPr>
        <w:spacing w:line="600" w:lineRule="exact"/>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4</w:t>
      </w:r>
      <w:r>
        <w:rPr>
          <w:rFonts w:hint="eastAsia" w:ascii="仿宋" w:hAnsi="仿宋" w:eastAsia="仿宋"/>
          <w:color w:val="000000"/>
          <w:sz w:val="32"/>
          <w:szCs w:val="32"/>
        </w:rPr>
        <w:t>：财政拨款收、支决算总计变动情况）（柱状图）</w:t>
      </w:r>
    </w:p>
    <w:p>
      <w:pPr>
        <w:spacing w:line="600" w:lineRule="exact"/>
        <w:ind w:firstLine="640"/>
        <w:rPr>
          <w:rFonts w:ascii="仿宋" w:hAnsi="仿宋" w:eastAsia="仿宋"/>
          <w:b/>
          <w:color w:val="000000"/>
          <w:sz w:val="32"/>
          <w:szCs w:val="32"/>
        </w:rPr>
      </w:pPr>
      <w:r>
        <w:rPr>
          <w:rFonts w:hint="eastAsia" w:ascii="仿宋" w:hAnsi="仿宋" w:eastAsia="仿宋"/>
          <w:b/>
          <w:color w:val="000000"/>
          <w:sz w:val="32"/>
          <w:szCs w:val="32"/>
        </w:rPr>
        <w:t>（除国有资本经营预算外，数据来源于财决</w:t>
      </w:r>
      <w:r>
        <w:rPr>
          <w:rFonts w:ascii="仿宋" w:hAnsi="仿宋" w:eastAsia="仿宋"/>
          <w:b/>
          <w:color w:val="000000"/>
          <w:sz w:val="32"/>
          <w:szCs w:val="32"/>
        </w:rPr>
        <w:t>Z01-1</w:t>
      </w:r>
      <w:r>
        <w:rPr>
          <w:rFonts w:hint="eastAsia" w:ascii="仿宋" w:hAnsi="仿宋" w:eastAsia="仿宋"/>
          <w:b/>
          <w:color w:val="000000"/>
          <w:sz w:val="32"/>
          <w:szCs w:val="32"/>
        </w:rPr>
        <w:t>表，口径为“总计”数</w:t>
      </w:r>
      <w:r>
        <w:rPr>
          <w:rFonts w:ascii="仿宋" w:hAnsi="仿宋" w:eastAsia="仿宋"/>
          <w:b/>
          <w:color w:val="000000"/>
          <w:sz w:val="32"/>
          <w:szCs w:val="32"/>
        </w:rPr>
        <w:t>+</w:t>
      </w:r>
      <w:r>
        <w:rPr>
          <w:rFonts w:hint="eastAsia" w:ascii="仿宋" w:hAnsi="仿宋" w:eastAsia="仿宋"/>
          <w:b/>
          <w:color w:val="000000"/>
          <w:sz w:val="32"/>
          <w:szCs w:val="32"/>
        </w:rPr>
        <w:t>国有资本经营预算。）</w:t>
      </w:r>
    </w:p>
    <w:p>
      <w:pPr>
        <w:spacing w:line="600" w:lineRule="exact"/>
        <w:outlineLvl w:val="1"/>
        <w:rPr>
          <w:rStyle w:val="18"/>
          <w:rFonts w:ascii="黑体" w:hAnsi="黑体" w:eastAsia="黑体"/>
          <w:b w:val="0"/>
        </w:rPr>
      </w:pPr>
      <w:bookmarkStart w:id="32" w:name="_Toc15377209"/>
      <w:bookmarkStart w:id="33" w:name="_Toc15396607"/>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18"/>
          <w:rFonts w:hint="eastAsia" w:ascii="黑体" w:hAnsi="黑体" w:eastAsia="黑体"/>
          <w:b w:val="0"/>
        </w:rPr>
        <w:t>般公共预算财政拨款支出决算情况说明</w:t>
      </w:r>
      <w:bookmarkEnd w:id="32"/>
      <w:bookmarkEnd w:id="33"/>
    </w:p>
    <w:p>
      <w:pPr>
        <w:spacing w:line="600" w:lineRule="exact"/>
        <w:ind w:firstLine="643" w:firstLineChars="200"/>
        <w:outlineLvl w:val="2"/>
        <w:rPr>
          <w:rFonts w:ascii="仿宋" w:hAnsi="仿宋" w:eastAsia="仿宋"/>
          <w:b/>
          <w:color w:val="000000"/>
          <w:sz w:val="32"/>
          <w:szCs w:val="32"/>
        </w:rPr>
      </w:pPr>
      <w:bookmarkStart w:id="34" w:name="_Toc15377210"/>
      <w:r>
        <w:rPr>
          <w:rFonts w:hint="eastAsia" w:ascii="仿宋" w:hAnsi="仿宋" w:eastAsia="仿宋"/>
          <w:b/>
          <w:color w:val="000000"/>
          <w:sz w:val="32"/>
          <w:szCs w:val="32"/>
        </w:rPr>
        <w:t>（一）一般公共预算财政拨款支出决算总体情况</w:t>
      </w:r>
      <w:bookmarkEnd w:id="34"/>
    </w:p>
    <w:p>
      <w:pPr>
        <w:spacing w:line="600" w:lineRule="exact"/>
        <w:ind w:firstLine="640" w:firstLineChars="200"/>
        <w:rPr>
          <w:rFonts w:hint="eastAsia" w:ascii="仿宋" w:hAnsi="仿宋" w:eastAsia="仿宋"/>
          <w:color w:val="000000"/>
          <w:sz w:val="32"/>
          <w:szCs w:val="32"/>
          <w:lang w:eastAsia="zh-CN"/>
        </w:rPr>
      </w:pPr>
      <w:r>
        <w:rPr>
          <w:rFonts w:ascii="仿宋" w:hAnsi="仿宋" w:eastAsia="仿宋"/>
          <w:color w:val="000000"/>
          <w:sz w:val="32"/>
          <w:szCs w:val="32"/>
        </w:rPr>
        <w:t>201</w:t>
      </w:r>
      <w:r>
        <w:rPr>
          <w:rFonts w:hint="eastAsia" w:ascii="仿宋" w:hAnsi="仿宋" w:eastAsia="仿宋"/>
          <w:color w:val="000000"/>
          <w:sz w:val="32"/>
          <w:szCs w:val="32"/>
          <w:lang w:val="en-US" w:eastAsia="zh-CN"/>
        </w:rPr>
        <w:t>9</w:t>
      </w:r>
      <w:r>
        <w:rPr>
          <w:rFonts w:hint="eastAsia" w:ascii="仿宋" w:hAnsi="仿宋" w:eastAsia="仿宋"/>
          <w:color w:val="000000"/>
          <w:sz w:val="32"/>
          <w:szCs w:val="32"/>
        </w:rPr>
        <w:t>年一般公共预算财政拨款支出</w:t>
      </w:r>
      <w:r>
        <w:rPr>
          <w:rFonts w:hint="eastAsia" w:ascii="仿宋" w:hAnsi="仿宋" w:eastAsia="仿宋"/>
          <w:color w:val="000000"/>
          <w:sz w:val="32"/>
          <w:szCs w:val="32"/>
          <w:lang w:val="en-US" w:eastAsia="zh-CN"/>
        </w:rPr>
        <w:t>212.75</w:t>
      </w:r>
      <w:r>
        <w:rPr>
          <w:rFonts w:hint="eastAsia" w:ascii="仿宋" w:hAnsi="仿宋" w:eastAsia="仿宋"/>
          <w:color w:val="000000"/>
          <w:sz w:val="32"/>
          <w:szCs w:val="32"/>
        </w:rPr>
        <w:t>万元，占本年支出合计的</w:t>
      </w:r>
      <w:r>
        <w:rPr>
          <w:rFonts w:hint="eastAsia" w:ascii="仿宋" w:hAnsi="仿宋" w:eastAsia="仿宋"/>
          <w:color w:val="000000"/>
          <w:sz w:val="32"/>
          <w:szCs w:val="32"/>
          <w:lang w:val="en-US" w:eastAsia="zh-CN"/>
        </w:rPr>
        <w:t>81.04</w:t>
      </w:r>
      <w:r>
        <w:rPr>
          <w:rFonts w:ascii="仿宋" w:hAnsi="仿宋" w:eastAsia="仿宋"/>
          <w:color w:val="000000"/>
          <w:sz w:val="32"/>
          <w:szCs w:val="32"/>
        </w:rPr>
        <w:t>%</w:t>
      </w:r>
      <w:r>
        <w:rPr>
          <w:rFonts w:hint="eastAsia" w:ascii="仿宋" w:hAnsi="仿宋" w:eastAsia="仿宋"/>
          <w:color w:val="000000"/>
          <w:sz w:val="32"/>
          <w:szCs w:val="32"/>
        </w:rPr>
        <w:t>。</w:t>
      </w:r>
      <w:r>
        <w:rPr>
          <w:rFonts w:hint="eastAsia" w:ascii="仿宋" w:hAnsi="仿宋" w:eastAsia="仿宋" w:cs="仿宋"/>
          <w:color w:val="000000"/>
          <w:sz w:val="32"/>
          <w:szCs w:val="32"/>
        </w:rPr>
        <w:t>一般公共预算财政拨款</w:t>
      </w:r>
      <w:r>
        <w:rPr>
          <w:rFonts w:hint="eastAsia" w:ascii="仿宋" w:hAnsi="仿宋" w:eastAsia="仿宋" w:cs="仿宋"/>
          <w:color w:val="000000"/>
          <w:sz w:val="32"/>
          <w:szCs w:val="32"/>
          <w:lang w:val="en-US" w:eastAsia="zh-CN"/>
        </w:rPr>
        <w:t>支出减少36.87</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val="en-US" w:eastAsia="zh-CN"/>
        </w:rPr>
        <w:t>减少14.77</w:t>
      </w:r>
      <w:r>
        <w:rPr>
          <w:rFonts w:hint="eastAsia" w:ascii="仿宋" w:hAnsi="仿宋" w:eastAsia="仿宋" w:cs="仿宋"/>
          <w:color w:val="000000"/>
          <w:sz w:val="32"/>
          <w:szCs w:val="32"/>
        </w:rPr>
        <w:t>%。主要变动原因是</w:t>
      </w:r>
      <w:r>
        <w:rPr>
          <w:rFonts w:hint="eastAsia" w:ascii="仿宋" w:hAnsi="仿宋" w:eastAsia="仿宋" w:cs="仿宋"/>
          <w:color w:val="000000"/>
          <w:sz w:val="32"/>
          <w:szCs w:val="32"/>
          <w:lang w:eastAsia="zh-CN"/>
        </w:rPr>
        <w:t>人员</w:t>
      </w:r>
      <w:r>
        <w:rPr>
          <w:rFonts w:hint="eastAsia" w:ascii="仿宋" w:hAnsi="仿宋" w:eastAsia="仿宋" w:cs="仿宋"/>
          <w:color w:val="000000"/>
          <w:sz w:val="32"/>
          <w:szCs w:val="32"/>
          <w:lang w:val="en-US" w:eastAsia="zh-CN"/>
        </w:rPr>
        <w:t>减少</w:t>
      </w:r>
      <w:r>
        <w:rPr>
          <w:rFonts w:hint="eastAsia" w:ascii="仿宋" w:hAnsi="仿宋" w:eastAsia="仿宋" w:cs="仿宋"/>
          <w:color w:val="000000"/>
          <w:sz w:val="32"/>
          <w:szCs w:val="32"/>
          <w:lang w:eastAsia="zh-CN"/>
        </w:rPr>
        <w:t>。</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lang w:eastAsia="zh-CN"/>
        </w:rPr>
        <w:drawing>
          <wp:anchor distT="0" distB="0" distL="114300" distR="114300" simplePos="0" relativeHeight="251675648" behindDoc="1" locked="0" layoutInCell="1" allowOverlap="1">
            <wp:simplePos x="0" y="0"/>
            <wp:positionH relativeFrom="column">
              <wp:posOffset>61595</wp:posOffset>
            </wp:positionH>
            <wp:positionV relativeFrom="paragraph">
              <wp:posOffset>90170</wp:posOffset>
            </wp:positionV>
            <wp:extent cx="5061585" cy="2134870"/>
            <wp:effectExtent l="4445" t="4445" r="20320" b="13335"/>
            <wp:wrapNone/>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hint="eastAsia" w:ascii="仿宋" w:hAnsi="仿宋" w:eastAsia="仿宋"/>
          <w:color w:val="000000"/>
          <w:sz w:val="32"/>
          <w:szCs w:val="32"/>
        </w:rPr>
      </w:pPr>
    </w:p>
    <w:p>
      <w:pPr>
        <w:spacing w:line="600" w:lineRule="exact"/>
        <w:ind w:firstLine="640" w:firstLineChars="200"/>
        <w:rPr>
          <w:rFonts w:ascii="仿宋" w:hAnsi="仿宋" w:eastAsia="仿宋"/>
          <w:color w:val="000000"/>
          <w:sz w:val="32"/>
          <w:szCs w:val="32"/>
        </w:rPr>
      </w:pPr>
    </w:p>
    <w:p>
      <w:pPr>
        <w:widowControl/>
        <w:jc w:val="left"/>
        <w:rPr>
          <w:rFonts w:ascii="宋体" w:hAnsi="宋体" w:cs="宋体"/>
          <w:kern w:val="0"/>
          <w:sz w:val="24"/>
        </w:rPr>
      </w:pPr>
    </w:p>
    <w:p>
      <w:pPr>
        <w:widowControl/>
        <w:jc w:val="left"/>
        <w:rPr>
          <w:rFonts w:ascii="宋体" w:hAnsi="宋体" w:cs="宋体"/>
          <w:kern w:val="0"/>
          <w:sz w:val="24"/>
        </w:rPr>
      </w:pPr>
    </w:p>
    <w:p>
      <w:pPr>
        <w:spacing w:line="600" w:lineRule="exact"/>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5</w:t>
      </w:r>
      <w:r>
        <w:rPr>
          <w:rFonts w:hint="eastAsia" w:ascii="仿宋" w:hAnsi="仿宋" w:eastAsia="仿宋"/>
          <w:color w:val="000000"/>
          <w:sz w:val="32"/>
          <w:szCs w:val="32"/>
        </w:rPr>
        <w:t>：一般公共预算财政拨款支出决算变动情况）（柱状图）</w:t>
      </w:r>
    </w:p>
    <w:p>
      <w:pPr>
        <w:spacing w:line="600" w:lineRule="exact"/>
        <w:ind w:firstLine="643" w:firstLineChars="200"/>
        <w:outlineLvl w:val="2"/>
        <w:rPr>
          <w:rFonts w:ascii="仿宋" w:hAnsi="仿宋" w:eastAsia="仿宋"/>
          <w:b/>
          <w:color w:val="000000"/>
          <w:sz w:val="32"/>
          <w:szCs w:val="32"/>
        </w:rPr>
      </w:pPr>
      <w:bookmarkStart w:id="35" w:name="_Toc15377211"/>
      <w:r>
        <w:rPr>
          <w:rFonts w:hint="eastAsia" w:ascii="仿宋" w:hAnsi="仿宋" w:eastAsia="仿宋"/>
          <w:b/>
          <w:color w:val="000000"/>
          <w:sz w:val="32"/>
          <w:szCs w:val="32"/>
        </w:rPr>
        <w:t>（二）一般公共预算财政拨款支出决算结构情况</w:t>
      </w:r>
      <w:bookmarkEnd w:id="35"/>
    </w:p>
    <w:p>
      <w:pPr>
        <w:spacing w:line="600" w:lineRule="exact"/>
        <w:ind w:firstLine="640"/>
        <w:rPr>
          <w:rFonts w:hint="eastAsia" w:ascii="仿宋" w:hAnsi="仿宋" w:eastAsia="仿宋"/>
          <w:color w:val="000000"/>
          <w:sz w:val="32"/>
          <w:szCs w:val="32"/>
          <w:lang w:eastAsia="zh-CN"/>
        </w:rPr>
      </w:pPr>
      <w:r>
        <w:rPr>
          <w:rFonts w:hint="eastAsia" w:ascii="仿宋" w:hAnsi="仿宋" w:eastAsia="仿宋"/>
          <w:color w:val="000000"/>
          <w:sz w:val="32"/>
          <w:szCs w:val="32"/>
          <w:lang w:eastAsia="zh-CN"/>
        </w:rPr>
        <w:drawing>
          <wp:anchor distT="0" distB="0" distL="114300" distR="114300" simplePos="0" relativeHeight="251675648" behindDoc="1" locked="0" layoutInCell="1" allowOverlap="1">
            <wp:simplePos x="0" y="0"/>
            <wp:positionH relativeFrom="column">
              <wp:posOffset>623570</wp:posOffset>
            </wp:positionH>
            <wp:positionV relativeFrom="paragraph">
              <wp:posOffset>1499870</wp:posOffset>
            </wp:positionV>
            <wp:extent cx="3975100" cy="1971675"/>
            <wp:effectExtent l="4445" t="4445" r="20955" b="5080"/>
            <wp:wrapNone/>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Pr>
          <w:rFonts w:ascii="仿宋" w:hAnsi="仿宋" w:eastAsia="仿宋"/>
          <w:color w:val="000000"/>
          <w:sz w:val="32"/>
          <w:szCs w:val="32"/>
        </w:rPr>
        <w:t>201</w:t>
      </w:r>
      <w:r>
        <w:rPr>
          <w:rFonts w:hint="eastAsia" w:ascii="仿宋" w:hAnsi="仿宋" w:eastAsia="仿宋"/>
          <w:color w:val="000000"/>
          <w:sz w:val="32"/>
          <w:szCs w:val="32"/>
          <w:lang w:val="en-US" w:eastAsia="zh-CN"/>
        </w:rPr>
        <w:t>9</w:t>
      </w:r>
      <w:r>
        <w:rPr>
          <w:rFonts w:hint="eastAsia" w:ascii="仿宋" w:hAnsi="仿宋" w:eastAsia="仿宋"/>
          <w:color w:val="000000"/>
          <w:sz w:val="32"/>
          <w:szCs w:val="32"/>
        </w:rPr>
        <w:t>年一般公共预算财政拨款支出</w:t>
      </w:r>
      <w:r>
        <w:rPr>
          <w:rFonts w:hint="eastAsia" w:ascii="仿宋" w:hAnsi="仿宋" w:eastAsia="仿宋"/>
          <w:color w:val="000000"/>
          <w:sz w:val="32"/>
          <w:szCs w:val="32"/>
          <w:lang w:val="en-US" w:eastAsia="zh-CN"/>
        </w:rPr>
        <w:t>212.75</w:t>
      </w:r>
      <w:r>
        <w:rPr>
          <w:rFonts w:hint="eastAsia" w:ascii="仿宋" w:hAnsi="仿宋" w:eastAsia="仿宋"/>
          <w:color w:val="000000"/>
          <w:sz w:val="32"/>
          <w:szCs w:val="32"/>
        </w:rPr>
        <w:t>万元，主要用于以下方面</w:t>
      </w:r>
      <w:r>
        <w:rPr>
          <w:rFonts w:ascii="仿宋" w:hAnsi="仿宋" w:eastAsia="仿宋"/>
          <w:color w:val="000000"/>
          <w:sz w:val="32"/>
          <w:szCs w:val="32"/>
        </w:rPr>
        <w:t>:</w:t>
      </w:r>
      <w:r>
        <w:rPr>
          <w:rFonts w:hint="eastAsia" w:ascii="仿宋" w:hAnsi="仿宋" w:eastAsia="仿宋"/>
          <w:b/>
          <w:color w:val="000000"/>
          <w:sz w:val="32"/>
          <w:szCs w:val="32"/>
        </w:rPr>
        <w:t>教育支出（类）</w:t>
      </w:r>
      <w:r>
        <w:rPr>
          <w:rFonts w:hint="eastAsia" w:ascii="仿宋" w:hAnsi="仿宋" w:eastAsia="仿宋"/>
          <w:color w:val="000000"/>
          <w:sz w:val="32"/>
          <w:szCs w:val="32"/>
          <w:lang w:val="en-US" w:eastAsia="zh-CN"/>
        </w:rPr>
        <w:t>197.36</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92.77</w:t>
      </w:r>
      <w:r>
        <w:rPr>
          <w:rFonts w:ascii="仿宋" w:hAnsi="仿宋" w:eastAsia="仿宋"/>
          <w:color w:val="000000"/>
          <w:sz w:val="32"/>
          <w:szCs w:val="32"/>
        </w:rPr>
        <w:t>%</w:t>
      </w:r>
      <w:r>
        <w:rPr>
          <w:rFonts w:hint="eastAsia" w:ascii="仿宋" w:hAnsi="仿宋" w:eastAsia="仿宋"/>
          <w:color w:val="000000"/>
          <w:sz w:val="32"/>
          <w:szCs w:val="32"/>
        </w:rPr>
        <w:t>；住房保障支出</w:t>
      </w:r>
      <w:r>
        <w:rPr>
          <w:rFonts w:hint="eastAsia" w:ascii="仿宋" w:hAnsi="仿宋" w:eastAsia="仿宋"/>
          <w:color w:val="000000"/>
          <w:sz w:val="32"/>
          <w:szCs w:val="32"/>
          <w:lang w:val="en-US" w:eastAsia="zh-CN"/>
        </w:rPr>
        <w:t>15.39</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7.23</w:t>
      </w:r>
      <w:r>
        <w:rPr>
          <w:rFonts w:ascii="仿宋" w:hAnsi="仿宋" w:eastAsia="仿宋"/>
          <w:color w:val="000000"/>
          <w:sz w:val="32"/>
          <w:szCs w:val="32"/>
        </w:rPr>
        <w:t>%</w:t>
      </w:r>
      <w:r>
        <w:rPr>
          <w:rFonts w:hint="eastAsia" w:ascii="仿宋" w:hAnsi="仿宋" w:eastAsia="仿宋"/>
          <w:color w:val="000000"/>
          <w:sz w:val="32"/>
          <w:szCs w:val="32"/>
          <w:lang w:eastAsia="zh-CN"/>
        </w:rPr>
        <w:t>，其他支出</w:t>
      </w:r>
      <w:r>
        <w:rPr>
          <w:rFonts w:hint="eastAsia" w:ascii="仿宋" w:hAnsi="仿宋" w:eastAsia="仿宋"/>
          <w:color w:val="000000"/>
          <w:sz w:val="32"/>
          <w:szCs w:val="32"/>
          <w:lang w:val="en-US" w:eastAsia="zh-CN"/>
        </w:rPr>
        <w:t>0万元，占0</w:t>
      </w:r>
      <w:r>
        <w:rPr>
          <w:rFonts w:ascii="仿宋" w:hAnsi="仿宋" w:eastAsia="仿宋"/>
          <w:color w:val="000000"/>
          <w:sz w:val="32"/>
          <w:szCs w:val="32"/>
        </w:rPr>
        <w:t>%</w:t>
      </w:r>
      <w:r>
        <w:rPr>
          <w:rFonts w:hint="eastAsia" w:ascii="仿宋" w:hAnsi="仿宋" w:eastAsia="仿宋"/>
          <w:color w:val="000000"/>
          <w:sz w:val="32"/>
          <w:szCs w:val="32"/>
          <w:lang w:eastAsia="zh-CN"/>
        </w:rPr>
        <w:t>。</w:t>
      </w:r>
    </w:p>
    <w:p>
      <w:pPr>
        <w:spacing w:line="600" w:lineRule="exact"/>
        <w:ind w:firstLine="640"/>
        <w:rPr>
          <w:rFonts w:hint="eastAsia" w:ascii="仿宋" w:hAnsi="仿宋" w:eastAsia="仿宋"/>
          <w:color w:val="000000"/>
          <w:sz w:val="32"/>
          <w:szCs w:val="32"/>
          <w:lang w:eastAsia="zh-CN"/>
        </w:rPr>
      </w:pPr>
    </w:p>
    <w:p>
      <w:pPr>
        <w:spacing w:line="600" w:lineRule="exact"/>
        <w:ind w:firstLine="640"/>
        <w:rPr>
          <w:rFonts w:hint="eastAsia" w:ascii="仿宋" w:hAnsi="仿宋" w:eastAsia="仿宋"/>
          <w:color w:val="000000"/>
          <w:sz w:val="32"/>
          <w:szCs w:val="32"/>
          <w:lang w:eastAsia="zh-CN"/>
        </w:rPr>
      </w:pPr>
    </w:p>
    <w:p>
      <w:pPr>
        <w:spacing w:line="600" w:lineRule="exact"/>
        <w:ind w:firstLine="640"/>
        <w:rPr>
          <w:rFonts w:hint="eastAsia" w:ascii="仿宋" w:hAnsi="仿宋" w:eastAsia="仿宋"/>
          <w:color w:val="000000"/>
          <w:sz w:val="32"/>
          <w:szCs w:val="32"/>
          <w:lang w:eastAsia="zh-CN"/>
        </w:rPr>
      </w:pPr>
    </w:p>
    <w:p>
      <w:pPr>
        <w:spacing w:line="600" w:lineRule="exact"/>
        <w:ind w:firstLine="640"/>
        <w:rPr>
          <w:rFonts w:hint="eastAsia" w:ascii="仿宋" w:hAnsi="仿宋" w:eastAsia="仿宋"/>
          <w:color w:val="000000"/>
          <w:sz w:val="32"/>
          <w:szCs w:val="32"/>
          <w:lang w:eastAsia="zh-CN"/>
        </w:rPr>
      </w:pPr>
    </w:p>
    <w:p>
      <w:pPr>
        <w:spacing w:line="600" w:lineRule="exact"/>
        <w:rPr>
          <w:rFonts w:hint="eastAsia" w:ascii="仿宋" w:hAnsi="仿宋" w:eastAsia="仿宋"/>
          <w:color w:val="000000"/>
          <w:sz w:val="32"/>
          <w:szCs w:val="32"/>
        </w:rPr>
      </w:pPr>
    </w:p>
    <w:p>
      <w:pPr>
        <w:spacing w:line="600" w:lineRule="exact"/>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6</w:t>
      </w:r>
      <w:r>
        <w:rPr>
          <w:rFonts w:hint="eastAsia" w:ascii="仿宋" w:hAnsi="仿宋" w:eastAsia="仿宋"/>
          <w:color w:val="000000"/>
          <w:sz w:val="32"/>
          <w:szCs w:val="32"/>
        </w:rPr>
        <w:t>：一般公共预算财政拨款支出决算结构）（饼状图）</w:t>
      </w:r>
    </w:p>
    <w:p>
      <w:pPr>
        <w:spacing w:line="600" w:lineRule="exact"/>
        <w:outlineLvl w:val="2"/>
        <w:rPr>
          <w:rFonts w:ascii="仿宋" w:hAnsi="仿宋" w:eastAsia="仿宋"/>
          <w:b/>
          <w:color w:val="000000"/>
          <w:sz w:val="32"/>
          <w:szCs w:val="32"/>
        </w:rPr>
      </w:pPr>
      <w:bookmarkStart w:id="36" w:name="_Toc15377212"/>
      <w:r>
        <w:rPr>
          <w:rFonts w:hint="eastAsia" w:ascii="仿宋" w:hAnsi="仿宋" w:eastAsia="仿宋"/>
          <w:b/>
          <w:color w:val="000000"/>
          <w:sz w:val="32"/>
          <w:szCs w:val="32"/>
        </w:rPr>
        <w:t>（三）一般公共预算财政拨款支出决算具体情况</w:t>
      </w:r>
      <w:bookmarkEnd w:id="36"/>
    </w:p>
    <w:p>
      <w:pPr>
        <w:spacing w:line="600" w:lineRule="exact"/>
        <w:ind w:firstLine="643" w:firstLineChars="200"/>
        <w:outlineLvl w:val="2"/>
        <w:rPr>
          <w:rFonts w:ascii="仿宋" w:hAnsi="仿宋" w:eastAsia="仿宋"/>
          <w:color w:val="FF0000"/>
          <w:sz w:val="32"/>
          <w:szCs w:val="32"/>
        </w:rPr>
      </w:pPr>
      <w:bookmarkStart w:id="37" w:name="_Toc15378460"/>
      <w:bookmarkStart w:id="38" w:name="_Toc15377213"/>
      <w:bookmarkStart w:id="39" w:name="_Toc15377444"/>
      <w:r>
        <w:rPr>
          <w:rFonts w:ascii="仿宋" w:hAnsi="仿宋" w:eastAsia="仿宋"/>
          <w:b/>
          <w:color w:val="000000"/>
          <w:sz w:val="32"/>
          <w:szCs w:val="32"/>
        </w:rPr>
        <w:t>201</w:t>
      </w:r>
      <w:r>
        <w:rPr>
          <w:rFonts w:hint="eastAsia" w:ascii="仿宋" w:hAnsi="仿宋" w:eastAsia="仿宋"/>
          <w:b/>
          <w:color w:val="000000"/>
          <w:sz w:val="32"/>
          <w:szCs w:val="32"/>
          <w:lang w:val="en-US" w:eastAsia="zh-CN"/>
        </w:rPr>
        <w:t>9</w:t>
      </w:r>
      <w:r>
        <w:rPr>
          <w:rFonts w:hint="eastAsia" w:ascii="仿宋" w:hAnsi="仿宋" w:eastAsia="仿宋"/>
          <w:b/>
          <w:color w:val="000000"/>
          <w:sz w:val="32"/>
          <w:szCs w:val="32"/>
        </w:rPr>
        <w:t>年一般公共预算支出决算数为</w:t>
      </w:r>
      <w:r>
        <w:rPr>
          <w:rFonts w:hint="eastAsia" w:ascii="仿宋" w:hAnsi="仿宋" w:eastAsia="仿宋"/>
          <w:b/>
          <w:color w:val="000000"/>
          <w:sz w:val="32"/>
          <w:szCs w:val="32"/>
          <w:lang w:val="en-US" w:eastAsia="zh-CN"/>
        </w:rPr>
        <w:t>212.75</w:t>
      </w:r>
      <w:r>
        <w:rPr>
          <w:rFonts w:hint="eastAsia" w:ascii="仿宋" w:hAnsi="仿宋" w:eastAsia="仿宋"/>
          <w:color w:val="000000"/>
          <w:sz w:val="32"/>
          <w:szCs w:val="32"/>
        </w:rPr>
        <w:t>，</w:t>
      </w:r>
      <w:r>
        <w:rPr>
          <w:rStyle w:val="14"/>
          <w:rFonts w:hint="eastAsia" w:ascii="仿宋" w:hAnsi="仿宋" w:eastAsia="仿宋"/>
          <w:bCs/>
          <w:color w:val="000000"/>
          <w:sz w:val="32"/>
          <w:szCs w:val="32"/>
        </w:rPr>
        <w:t>完成预算100</w:t>
      </w:r>
      <w:r>
        <w:rPr>
          <w:rStyle w:val="14"/>
          <w:rFonts w:ascii="仿宋" w:hAnsi="仿宋" w:eastAsia="仿宋"/>
          <w:bCs/>
          <w:color w:val="000000"/>
          <w:sz w:val="32"/>
          <w:szCs w:val="32"/>
        </w:rPr>
        <w:t>%</w:t>
      </w:r>
      <w:r>
        <w:rPr>
          <w:rStyle w:val="14"/>
          <w:rFonts w:hint="eastAsia" w:ascii="仿宋" w:hAnsi="仿宋" w:eastAsia="仿宋"/>
          <w:bCs/>
          <w:color w:val="000000"/>
          <w:sz w:val="32"/>
          <w:szCs w:val="32"/>
        </w:rPr>
        <w:t>。其中：</w:t>
      </w:r>
      <w:bookmarkEnd w:id="37"/>
      <w:bookmarkEnd w:id="38"/>
      <w:bookmarkEnd w:id="39"/>
    </w:p>
    <w:p>
      <w:pPr>
        <w:spacing w:line="360" w:lineRule="auto"/>
        <w:ind w:left="643"/>
        <w:rPr>
          <w:rStyle w:val="14"/>
          <w:rFonts w:ascii="仿宋" w:hAnsi="仿宋" w:eastAsia="仿宋" w:cs="仿宋_GB2312"/>
          <w:b w:val="0"/>
          <w:bCs/>
          <w:color w:val="000000"/>
          <w:sz w:val="32"/>
          <w:szCs w:val="32"/>
        </w:rPr>
      </w:pPr>
      <w:r>
        <w:rPr>
          <w:rStyle w:val="14"/>
          <w:rFonts w:ascii="仿宋" w:hAnsi="仿宋" w:eastAsia="仿宋"/>
          <w:bCs/>
          <w:color w:val="000000"/>
          <w:sz w:val="32"/>
          <w:szCs w:val="32"/>
        </w:rPr>
        <w:t>1.</w:t>
      </w:r>
      <w:r>
        <w:rPr>
          <w:rStyle w:val="14"/>
          <w:rFonts w:hint="eastAsia" w:ascii="仿宋" w:hAnsi="仿宋" w:eastAsia="仿宋" w:cs="仿宋_GB2312"/>
          <w:b w:val="0"/>
          <w:bCs/>
          <w:color w:val="000000"/>
          <w:sz w:val="32"/>
          <w:szCs w:val="32"/>
        </w:rPr>
        <w:t xml:space="preserve"> 教育支出</w:t>
      </w:r>
    </w:p>
    <w:p>
      <w:pPr>
        <w:spacing w:line="360" w:lineRule="auto"/>
        <w:ind w:firstLine="640" w:firstLineChars="200"/>
        <w:rPr>
          <w:rStyle w:val="14"/>
          <w:rFonts w:ascii="仿宋" w:hAnsi="仿宋" w:eastAsia="仿宋" w:cs="仿宋_GB2312"/>
          <w:b w:val="0"/>
          <w:bCs/>
          <w:color w:val="000000"/>
          <w:sz w:val="32"/>
          <w:szCs w:val="32"/>
        </w:rPr>
      </w:pPr>
      <w:r>
        <w:rPr>
          <w:rStyle w:val="14"/>
          <w:rFonts w:hint="eastAsia" w:ascii="仿宋" w:hAnsi="仿宋" w:eastAsia="仿宋" w:cs="仿宋_GB2312"/>
          <w:b w:val="0"/>
          <w:bCs/>
          <w:color w:val="000000"/>
          <w:sz w:val="32"/>
          <w:szCs w:val="32"/>
        </w:rPr>
        <w:t>教育（类）205（款）02（项）0</w:t>
      </w:r>
      <w:r>
        <w:rPr>
          <w:rStyle w:val="14"/>
          <w:rFonts w:hint="eastAsia" w:ascii="仿宋" w:hAnsi="仿宋" w:eastAsia="仿宋" w:cs="仿宋_GB2312"/>
          <w:b w:val="0"/>
          <w:bCs/>
          <w:color w:val="000000"/>
          <w:sz w:val="32"/>
          <w:szCs w:val="32"/>
          <w:lang w:val="en-US" w:eastAsia="zh-CN"/>
        </w:rPr>
        <w:t>2</w:t>
      </w:r>
      <w:r>
        <w:rPr>
          <w:rStyle w:val="14"/>
          <w:rFonts w:hint="eastAsia" w:ascii="仿宋" w:hAnsi="仿宋" w:eastAsia="仿宋" w:cs="仿宋_GB2312"/>
          <w:b w:val="0"/>
          <w:bCs/>
          <w:color w:val="000000"/>
          <w:sz w:val="32"/>
          <w:szCs w:val="32"/>
        </w:rPr>
        <w:t>:</w:t>
      </w:r>
      <w:r>
        <w:rPr>
          <w:rStyle w:val="14"/>
          <w:rFonts w:hint="eastAsia" w:ascii="仿宋" w:hAnsi="仿宋" w:eastAsia="仿宋" w:cs="仿宋_GB2312"/>
          <w:b w:val="0"/>
          <w:bCs/>
          <w:color w:val="000000"/>
          <w:sz w:val="32"/>
          <w:szCs w:val="32"/>
          <w:lang w:eastAsia="zh-CN"/>
        </w:rPr>
        <w:t>小学</w:t>
      </w:r>
      <w:r>
        <w:rPr>
          <w:rStyle w:val="14"/>
          <w:rFonts w:hint="eastAsia" w:ascii="仿宋" w:hAnsi="仿宋" w:eastAsia="仿宋" w:cs="仿宋_GB2312"/>
          <w:b w:val="0"/>
          <w:bCs/>
          <w:color w:val="000000"/>
          <w:sz w:val="32"/>
          <w:szCs w:val="32"/>
        </w:rPr>
        <w:t>教育支出，支出决算为</w:t>
      </w:r>
      <w:r>
        <w:rPr>
          <w:rFonts w:hint="eastAsia" w:ascii="仿宋" w:hAnsi="仿宋" w:eastAsia="仿宋"/>
          <w:color w:val="000000"/>
          <w:sz w:val="32"/>
          <w:szCs w:val="32"/>
          <w:lang w:val="en-US" w:eastAsia="zh-CN"/>
        </w:rPr>
        <w:t>197.36</w:t>
      </w:r>
      <w:r>
        <w:rPr>
          <w:rStyle w:val="14"/>
          <w:rFonts w:hint="eastAsia" w:ascii="仿宋" w:hAnsi="仿宋" w:eastAsia="仿宋" w:cs="仿宋_GB2312"/>
          <w:b w:val="0"/>
          <w:bCs/>
          <w:color w:val="000000"/>
          <w:sz w:val="32"/>
          <w:szCs w:val="32"/>
        </w:rPr>
        <w:t>万元，完成预算100%，决算数等于预算数。</w:t>
      </w:r>
    </w:p>
    <w:p>
      <w:pPr>
        <w:spacing w:line="360" w:lineRule="auto"/>
        <w:ind w:firstLine="640" w:firstLineChars="200"/>
        <w:rPr>
          <w:rStyle w:val="14"/>
          <w:rFonts w:ascii="仿宋" w:hAnsi="仿宋" w:eastAsia="仿宋" w:cs="仿宋_GB2312"/>
          <w:b w:val="0"/>
          <w:color w:val="000000"/>
          <w:sz w:val="32"/>
          <w:szCs w:val="32"/>
        </w:rPr>
      </w:pPr>
      <w:r>
        <w:rPr>
          <w:rStyle w:val="14"/>
          <w:rFonts w:hint="eastAsia" w:ascii="仿宋" w:hAnsi="仿宋" w:eastAsia="仿宋" w:cs="仿宋_GB2312"/>
          <w:b w:val="0"/>
          <w:color w:val="000000"/>
          <w:sz w:val="32"/>
          <w:szCs w:val="32"/>
          <w:lang w:val="en-US" w:eastAsia="zh-CN"/>
        </w:rPr>
        <w:t>2</w:t>
      </w:r>
      <w:r>
        <w:rPr>
          <w:rStyle w:val="14"/>
          <w:rFonts w:hint="eastAsia" w:ascii="仿宋" w:hAnsi="仿宋" w:eastAsia="仿宋" w:cs="仿宋_GB2312"/>
          <w:b w:val="0"/>
          <w:color w:val="000000"/>
          <w:sz w:val="32"/>
          <w:szCs w:val="32"/>
        </w:rPr>
        <w:t>、住房保障支出</w:t>
      </w:r>
    </w:p>
    <w:p>
      <w:pPr>
        <w:spacing w:line="360" w:lineRule="auto"/>
        <w:ind w:firstLine="640" w:firstLineChars="200"/>
        <w:rPr>
          <w:rFonts w:ascii="仿宋" w:hAnsi="仿宋" w:eastAsia="仿宋" w:cs="仿宋_GB2312"/>
          <w:color w:val="000000"/>
          <w:sz w:val="32"/>
          <w:szCs w:val="32"/>
        </w:rPr>
      </w:pPr>
      <w:r>
        <w:rPr>
          <w:rStyle w:val="14"/>
          <w:rFonts w:hint="eastAsia" w:ascii="仿宋" w:hAnsi="仿宋" w:eastAsia="仿宋" w:cs="仿宋_GB2312"/>
          <w:b w:val="0"/>
          <w:color w:val="000000"/>
          <w:sz w:val="32"/>
          <w:szCs w:val="32"/>
        </w:rPr>
        <w:t>住房保障支出（类）</w:t>
      </w:r>
      <w:r>
        <w:rPr>
          <w:rStyle w:val="14"/>
          <w:rFonts w:hint="eastAsia" w:ascii="仿宋" w:hAnsi="仿宋" w:eastAsia="仿宋" w:cs="仿宋_GB2312"/>
          <w:b w:val="0"/>
          <w:bCs/>
          <w:color w:val="000000"/>
          <w:sz w:val="32"/>
          <w:szCs w:val="32"/>
        </w:rPr>
        <w:t>221（款）02（项）01:住房公积金支出，支出决算为</w:t>
      </w:r>
      <w:r>
        <w:rPr>
          <w:rStyle w:val="14"/>
          <w:rFonts w:hint="eastAsia" w:ascii="仿宋" w:hAnsi="仿宋" w:eastAsia="仿宋" w:cs="仿宋_GB2312"/>
          <w:b w:val="0"/>
          <w:bCs/>
          <w:color w:val="000000"/>
          <w:sz w:val="32"/>
          <w:szCs w:val="32"/>
          <w:lang w:val="en-US" w:eastAsia="zh-CN"/>
        </w:rPr>
        <w:t>15.39</w:t>
      </w:r>
      <w:r>
        <w:rPr>
          <w:rStyle w:val="14"/>
          <w:rFonts w:hint="eastAsia" w:ascii="仿宋" w:hAnsi="仿宋" w:eastAsia="仿宋" w:cs="仿宋_GB2312"/>
          <w:b w:val="0"/>
          <w:bCs/>
          <w:color w:val="000000"/>
          <w:sz w:val="32"/>
          <w:szCs w:val="32"/>
        </w:rPr>
        <w:t>万元，</w:t>
      </w:r>
      <w:r>
        <w:rPr>
          <w:rStyle w:val="14"/>
          <w:rFonts w:hint="eastAsia" w:ascii="仿宋" w:hAnsi="仿宋" w:eastAsia="仿宋" w:cs="仿宋_GB2312"/>
          <w:b w:val="0"/>
          <w:color w:val="000000"/>
          <w:sz w:val="32"/>
          <w:szCs w:val="32"/>
        </w:rPr>
        <w:t>完成预算100%，决算数等于预算数。</w:t>
      </w:r>
    </w:p>
    <w:p>
      <w:pPr>
        <w:tabs>
          <w:tab w:val="right" w:pos="8306"/>
        </w:tabs>
        <w:spacing w:line="600" w:lineRule="exact"/>
        <w:ind w:firstLine="640" w:firstLineChars="200"/>
        <w:outlineLvl w:val="1"/>
        <w:rPr>
          <w:rStyle w:val="18"/>
        </w:rPr>
      </w:pPr>
      <w:bookmarkStart w:id="40" w:name="_Toc15377214"/>
      <w:bookmarkStart w:id="41" w:name="_Toc15396608"/>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18"/>
          <w:rFonts w:hint="eastAsia" w:ascii="黑体" w:hAnsi="黑体" w:eastAsia="黑体"/>
          <w:b w:val="0"/>
        </w:rPr>
        <w:t>般公共预算财政拨款基本支出决算情况说明</w:t>
      </w:r>
      <w:bookmarkEnd w:id="40"/>
      <w:bookmarkEnd w:id="41"/>
      <w:r>
        <w:rPr>
          <w:rStyle w:val="18"/>
          <w:rFonts w:ascii="黑体" w:hAnsi="黑体" w:eastAsia="黑体"/>
          <w:b w:val="0"/>
        </w:rPr>
        <w:tab/>
      </w:r>
    </w:p>
    <w:p>
      <w:pPr>
        <w:spacing w:line="600" w:lineRule="exact"/>
        <w:ind w:firstLine="645"/>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lang w:val="en-US" w:eastAsia="zh-CN"/>
        </w:rPr>
        <w:t>9</w:t>
      </w:r>
      <w:r>
        <w:rPr>
          <w:rFonts w:hint="eastAsia" w:ascii="仿宋" w:hAnsi="仿宋" w:eastAsia="仿宋"/>
          <w:color w:val="000000"/>
          <w:sz w:val="32"/>
          <w:szCs w:val="32"/>
        </w:rPr>
        <w:t>年一般公共预算财政拨款基本支出</w:t>
      </w:r>
      <w:r>
        <w:rPr>
          <w:rFonts w:hint="eastAsia" w:ascii="仿宋" w:hAnsi="仿宋" w:eastAsia="仿宋"/>
          <w:color w:val="000000"/>
          <w:sz w:val="32"/>
          <w:szCs w:val="32"/>
          <w:lang w:val="en-US" w:eastAsia="zh-CN"/>
        </w:rPr>
        <w:t>212.75</w:t>
      </w:r>
      <w:r>
        <w:rPr>
          <w:rFonts w:hint="eastAsia" w:ascii="仿宋" w:hAnsi="仿宋" w:eastAsia="仿宋"/>
          <w:color w:val="000000"/>
          <w:sz w:val="32"/>
          <w:szCs w:val="32"/>
        </w:rPr>
        <w:t>万元，其中：</w:t>
      </w:r>
    </w:p>
    <w:p>
      <w:pPr>
        <w:spacing w:line="600" w:lineRule="exact"/>
        <w:ind w:firstLine="645"/>
        <w:rPr>
          <w:rFonts w:ascii="仿宋" w:hAnsi="仿宋" w:eastAsia="仿宋"/>
          <w:color w:val="000000"/>
          <w:sz w:val="32"/>
          <w:szCs w:val="32"/>
        </w:rPr>
      </w:pPr>
      <w:r>
        <w:rPr>
          <w:rFonts w:hint="eastAsia" w:ascii="仿宋" w:hAnsi="仿宋" w:eastAsia="仿宋"/>
          <w:color w:val="auto"/>
          <w:sz w:val="32"/>
          <w:szCs w:val="32"/>
        </w:rPr>
        <w:t>人员经费</w:t>
      </w:r>
      <w:r>
        <w:rPr>
          <w:rFonts w:hint="eastAsia" w:ascii="仿宋" w:hAnsi="仿宋" w:eastAsia="仿宋"/>
          <w:color w:val="auto"/>
          <w:sz w:val="32"/>
          <w:szCs w:val="32"/>
          <w:lang w:val="en-US" w:eastAsia="zh-CN"/>
        </w:rPr>
        <w:t>161.58</w:t>
      </w:r>
      <w:r>
        <w:rPr>
          <w:rFonts w:hint="eastAsia" w:ascii="仿宋" w:hAnsi="仿宋" w:eastAsia="仿宋"/>
          <w:color w:val="auto"/>
          <w:sz w:val="32"/>
          <w:szCs w:val="32"/>
        </w:rPr>
        <w:t>万元</w:t>
      </w:r>
      <w:r>
        <w:rPr>
          <w:rFonts w:hint="eastAsia" w:ascii="仿宋" w:hAnsi="仿宋" w:eastAsia="仿宋"/>
          <w:color w:val="000000"/>
          <w:sz w:val="32"/>
          <w:szCs w:val="32"/>
        </w:rPr>
        <w:t>，主要包括：基本工资</w:t>
      </w:r>
      <w:r>
        <w:rPr>
          <w:rFonts w:hint="eastAsia" w:ascii="仿宋" w:hAnsi="仿宋" w:eastAsia="仿宋"/>
          <w:color w:val="000000"/>
          <w:sz w:val="32"/>
          <w:szCs w:val="32"/>
          <w:lang w:val="en-US" w:eastAsia="zh-CN"/>
        </w:rPr>
        <w:t>53.1</w:t>
      </w:r>
      <w:r>
        <w:rPr>
          <w:rFonts w:hint="eastAsia" w:ascii="仿宋" w:hAnsi="仿宋" w:eastAsia="仿宋"/>
          <w:color w:val="000000"/>
          <w:sz w:val="32"/>
          <w:szCs w:val="32"/>
        </w:rPr>
        <w:t>万元、津贴补贴</w:t>
      </w:r>
      <w:r>
        <w:rPr>
          <w:rFonts w:hint="eastAsia" w:ascii="仿宋" w:hAnsi="仿宋" w:eastAsia="仿宋"/>
          <w:color w:val="000000"/>
          <w:sz w:val="32"/>
          <w:szCs w:val="32"/>
          <w:lang w:val="en-US" w:eastAsia="zh-CN"/>
        </w:rPr>
        <w:t>13.48</w:t>
      </w:r>
      <w:r>
        <w:rPr>
          <w:rFonts w:hint="eastAsia" w:ascii="仿宋" w:hAnsi="仿宋" w:eastAsia="仿宋"/>
          <w:color w:val="000000"/>
          <w:sz w:val="32"/>
          <w:szCs w:val="32"/>
        </w:rPr>
        <w:t>万元、绩效工资</w:t>
      </w:r>
      <w:r>
        <w:rPr>
          <w:rFonts w:hint="eastAsia" w:ascii="仿宋" w:hAnsi="仿宋" w:eastAsia="仿宋"/>
          <w:color w:val="000000"/>
          <w:sz w:val="32"/>
          <w:szCs w:val="32"/>
          <w:lang w:val="en-US" w:eastAsia="zh-CN"/>
        </w:rPr>
        <w:t>39.21</w:t>
      </w:r>
      <w:r>
        <w:rPr>
          <w:rFonts w:hint="eastAsia" w:ascii="仿宋" w:hAnsi="仿宋" w:eastAsia="仿宋"/>
          <w:color w:val="000000"/>
          <w:sz w:val="32"/>
          <w:szCs w:val="32"/>
        </w:rPr>
        <w:t>万元、机关事业单位基本养老保险缴费</w:t>
      </w:r>
      <w:r>
        <w:rPr>
          <w:rFonts w:hint="eastAsia" w:ascii="仿宋" w:hAnsi="仿宋" w:eastAsia="仿宋"/>
          <w:color w:val="000000"/>
          <w:sz w:val="32"/>
          <w:szCs w:val="32"/>
          <w:lang w:val="en-US" w:eastAsia="zh-CN"/>
        </w:rPr>
        <w:t>21.59</w:t>
      </w:r>
      <w:r>
        <w:rPr>
          <w:rFonts w:hint="eastAsia" w:ascii="仿宋" w:hAnsi="仿宋" w:eastAsia="仿宋"/>
          <w:color w:val="000000"/>
          <w:sz w:val="32"/>
          <w:szCs w:val="32"/>
        </w:rPr>
        <w:t>万元、生活补助</w:t>
      </w:r>
      <w:r>
        <w:rPr>
          <w:rFonts w:hint="eastAsia" w:ascii="仿宋" w:hAnsi="仿宋" w:eastAsia="仿宋"/>
          <w:color w:val="000000"/>
          <w:sz w:val="32"/>
          <w:szCs w:val="32"/>
          <w:lang w:val="en-US" w:eastAsia="zh-CN"/>
        </w:rPr>
        <w:t>9.23</w:t>
      </w:r>
      <w:r>
        <w:rPr>
          <w:rFonts w:hint="eastAsia" w:ascii="仿宋" w:hAnsi="仿宋" w:eastAsia="仿宋"/>
          <w:color w:val="000000"/>
          <w:sz w:val="32"/>
          <w:szCs w:val="32"/>
        </w:rPr>
        <w:t>万元、职工基本医疗保险缴费</w:t>
      </w:r>
      <w:r>
        <w:rPr>
          <w:rFonts w:hint="eastAsia" w:ascii="仿宋" w:hAnsi="仿宋" w:eastAsia="仿宋"/>
          <w:color w:val="000000"/>
          <w:sz w:val="32"/>
          <w:szCs w:val="32"/>
          <w:lang w:val="en-US" w:eastAsia="zh-CN"/>
        </w:rPr>
        <w:t>8.35</w:t>
      </w:r>
      <w:r>
        <w:rPr>
          <w:rFonts w:hint="eastAsia" w:ascii="仿宋" w:hAnsi="仿宋" w:eastAsia="仿宋"/>
          <w:color w:val="000000"/>
          <w:sz w:val="32"/>
          <w:szCs w:val="32"/>
        </w:rPr>
        <w:t>万元、住房公积金</w:t>
      </w:r>
      <w:r>
        <w:rPr>
          <w:rFonts w:hint="eastAsia" w:ascii="仿宋" w:hAnsi="仿宋" w:eastAsia="仿宋"/>
          <w:color w:val="000000"/>
          <w:sz w:val="32"/>
          <w:szCs w:val="32"/>
          <w:lang w:val="en-US" w:eastAsia="zh-CN"/>
        </w:rPr>
        <w:t>15.39</w:t>
      </w:r>
      <w:r>
        <w:rPr>
          <w:rFonts w:hint="eastAsia" w:ascii="仿宋" w:hAnsi="仿宋" w:eastAsia="仿宋"/>
          <w:color w:val="000000"/>
          <w:sz w:val="32"/>
          <w:szCs w:val="32"/>
        </w:rPr>
        <w:t>万元、其他社会保障缴费</w:t>
      </w:r>
      <w:r>
        <w:rPr>
          <w:rFonts w:hint="eastAsia" w:ascii="仿宋" w:hAnsi="仿宋" w:eastAsia="仿宋"/>
          <w:color w:val="000000"/>
          <w:sz w:val="32"/>
          <w:szCs w:val="32"/>
          <w:lang w:val="en-US" w:eastAsia="zh-CN"/>
        </w:rPr>
        <w:t>1.23</w:t>
      </w:r>
      <w:r>
        <w:rPr>
          <w:rFonts w:hint="eastAsia" w:ascii="仿宋" w:hAnsi="仿宋" w:eastAsia="仿宋"/>
          <w:color w:val="000000"/>
          <w:sz w:val="32"/>
          <w:szCs w:val="32"/>
        </w:rPr>
        <w:t>万元。</w:t>
      </w:r>
      <w:r>
        <w:rPr>
          <w:rFonts w:ascii="仿宋" w:hAnsi="仿宋" w:eastAsia="仿宋"/>
          <w:color w:val="000000"/>
          <w:sz w:val="32"/>
          <w:szCs w:val="32"/>
        </w:rPr>
        <w:br w:type="textWrapping"/>
      </w:r>
      <w:r>
        <w:rPr>
          <w:rFonts w:hint="eastAsia" w:ascii="仿宋" w:hAnsi="仿宋" w:eastAsia="仿宋"/>
          <w:color w:val="000000"/>
          <w:sz w:val="32"/>
          <w:szCs w:val="32"/>
        </w:rPr>
        <w:t>　　公用经费</w:t>
      </w:r>
      <w:r>
        <w:rPr>
          <w:rFonts w:hint="eastAsia" w:ascii="仿宋" w:hAnsi="仿宋" w:eastAsia="仿宋"/>
          <w:color w:val="000000"/>
          <w:sz w:val="32"/>
          <w:szCs w:val="32"/>
          <w:lang w:val="en-US" w:eastAsia="zh-CN"/>
        </w:rPr>
        <w:t>36.73</w:t>
      </w:r>
      <w:r>
        <w:rPr>
          <w:rFonts w:hint="eastAsia" w:ascii="仿宋" w:hAnsi="仿宋" w:eastAsia="仿宋"/>
          <w:color w:val="000000"/>
          <w:sz w:val="32"/>
          <w:szCs w:val="32"/>
        </w:rPr>
        <w:t>万元，主要包括：办公费</w:t>
      </w:r>
      <w:r>
        <w:rPr>
          <w:rFonts w:hint="eastAsia" w:ascii="仿宋" w:hAnsi="仿宋" w:eastAsia="仿宋"/>
          <w:color w:val="000000"/>
          <w:sz w:val="32"/>
          <w:szCs w:val="32"/>
          <w:lang w:val="en-US" w:eastAsia="zh-CN"/>
        </w:rPr>
        <w:t>15.65</w:t>
      </w:r>
      <w:r>
        <w:rPr>
          <w:rFonts w:hint="eastAsia" w:ascii="仿宋" w:hAnsi="仿宋" w:eastAsia="仿宋"/>
          <w:color w:val="000000"/>
          <w:sz w:val="32"/>
          <w:szCs w:val="32"/>
        </w:rPr>
        <w:t>万元、印刷费</w:t>
      </w:r>
      <w:r>
        <w:rPr>
          <w:rFonts w:hint="eastAsia" w:ascii="仿宋" w:hAnsi="仿宋" w:eastAsia="仿宋"/>
          <w:color w:val="000000"/>
          <w:sz w:val="32"/>
          <w:szCs w:val="32"/>
          <w:lang w:val="en-US" w:eastAsia="zh-CN"/>
        </w:rPr>
        <w:t>2.26</w:t>
      </w:r>
      <w:r>
        <w:rPr>
          <w:rFonts w:hint="eastAsia" w:ascii="仿宋" w:hAnsi="仿宋" w:eastAsia="仿宋"/>
          <w:color w:val="000000"/>
          <w:sz w:val="32"/>
          <w:szCs w:val="32"/>
        </w:rPr>
        <w:t>万元、水费</w:t>
      </w:r>
      <w:r>
        <w:rPr>
          <w:rFonts w:hint="eastAsia" w:ascii="仿宋" w:hAnsi="仿宋" w:eastAsia="仿宋"/>
          <w:color w:val="000000"/>
          <w:sz w:val="32"/>
          <w:szCs w:val="32"/>
          <w:lang w:val="en-US" w:eastAsia="zh-CN"/>
        </w:rPr>
        <w:t>0.9</w:t>
      </w:r>
      <w:r>
        <w:rPr>
          <w:rFonts w:hint="eastAsia" w:ascii="仿宋" w:hAnsi="仿宋" w:eastAsia="仿宋"/>
          <w:color w:val="000000"/>
          <w:sz w:val="32"/>
          <w:szCs w:val="32"/>
        </w:rPr>
        <w:t>万元、电费</w:t>
      </w:r>
      <w:r>
        <w:rPr>
          <w:rFonts w:hint="eastAsia" w:ascii="仿宋" w:hAnsi="仿宋" w:eastAsia="仿宋"/>
          <w:color w:val="000000"/>
          <w:sz w:val="32"/>
          <w:szCs w:val="32"/>
          <w:lang w:val="en-US" w:eastAsia="zh-CN"/>
        </w:rPr>
        <w:t>1.62</w:t>
      </w:r>
      <w:r>
        <w:rPr>
          <w:rFonts w:hint="eastAsia" w:ascii="仿宋" w:hAnsi="仿宋" w:eastAsia="仿宋"/>
          <w:color w:val="000000"/>
          <w:sz w:val="32"/>
          <w:szCs w:val="32"/>
        </w:rPr>
        <w:t>万元、差旅费</w:t>
      </w:r>
      <w:r>
        <w:rPr>
          <w:rFonts w:hint="eastAsia" w:ascii="仿宋" w:hAnsi="仿宋" w:eastAsia="仿宋"/>
          <w:color w:val="000000"/>
          <w:sz w:val="32"/>
          <w:szCs w:val="32"/>
          <w:lang w:val="en-US" w:eastAsia="zh-CN"/>
        </w:rPr>
        <w:t>5.24</w:t>
      </w:r>
      <w:r>
        <w:rPr>
          <w:rFonts w:hint="eastAsia" w:ascii="仿宋" w:hAnsi="仿宋" w:eastAsia="仿宋"/>
          <w:color w:val="000000"/>
          <w:sz w:val="32"/>
          <w:szCs w:val="32"/>
        </w:rPr>
        <w:t>万元、维修（护）费</w:t>
      </w:r>
      <w:r>
        <w:rPr>
          <w:rFonts w:hint="eastAsia" w:ascii="仿宋" w:hAnsi="仿宋" w:eastAsia="仿宋"/>
          <w:color w:val="000000"/>
          <w:sz w:val="32"/>
          <w:szCs w:val="32"/>
          <w:lang w:val="en-US" w:eastAsia="zh-CN"/>
        </w:rPr>
        <w:t>2.23</w:t>
      </w:r>
      <w:r>
        <w:rPr>
          <w:rFonts w:hint="eastAsia" w:ascii="仿宋" w:hAnsi="仿宋" w:eastAsia="仿宋"/>
          <w:color w:val="000000"/>
          <w:sz w:val="32"/>
          <w:szCs w:val="32"/>
        </w:rPr>
        <w:t>万元、培训费</w:t>
      </w:r>
      <w:r>
        <w:rPr>
          <w:rFonts w:hint="eastAsia" w:ascii="仿宋" w:hAnsi="仿宋" w:eastAsia="仿宋"/>
          <w:color w:val="000000"/>
          <w:sz w:val="32"/>
          <w:szCs w:val="32"/>
          <w:lang w:val="en-US" w:eastAsia="zh-CN"/>
        </w:rPr>
        <w:t>1.99</w:t>
      </w:r>
      <w:r>
        <w:rPr>
          <w:rFonts w:hint="eastAsia" w:ascii="仿宋" w:hAnsi="仿宋" w:eastAsia="仿宋"/>
          <w:color w:val="000000"/>
          <w:sz w:val="32"/>
          <w:szCs w:val="32"/>
        </w:rPr>
        <w:t>万元、公务接待费</w:t>
      </w:r>
      <w:r>
        <w:rPr>
          <w:rFonts w:hint="eastAsia" w:ascii="仿宋" w:hAnsi="仿宋" w:eastAsia="仿宋"/>
          <w:color w:val="000000"/>
          <w:sz w:val="32"/>
          <w:szCs w:val="32"/>
          <w:lang w:val="en-US" w:eastAsia="zh-CN"/>
        </w:rPr>
        <w:t>0.895</w:t>
      </w:r>
      <w:r>
        <w:rPr>
          <w:rFonts w:hint="eastAsia" w:ascii="仿宋" w:hAnsi="仿宋" w:eastAsia="仿宋"/>
          <w:color w:val="000000"/>
          <w:sz w:val="32"/>
          <w:szCs w:val="32"/>
        </w:rPr>
        <w:t>万元、劳务费</w:t>
      </w:r>
      <w:r>
        <w:rPr>
          <w:rFonts w:hint="eastAsia" w:ascii="仿宋" w:hAnsi="仿宋" w:eastAsia="仿宋"/>
          <w:color w:val="000000"/>
          <w:sz w:val="32"/>
          <w:szCs w:val="32"/>
          <w:lang w:val="en-US" w:eastAsia="zh-CN"/>
        </w:rPr>
        <w:t>5.95</w:t>
      </w:r>
      <w:r>
        <w:rPr>
          <w:rFonts w:hint="eastAsia" w:ascii="仿宋" w:hAnsi="仿宋" w:eastAsia="仿宋"/>
          <w:color w:val="000000"/>
          <w:sz w:val="32"/>
          <w:szCs w:val="32"/>
        </w:rPr>
        <w:t>万元。</w:t>
      </w:r>
    </w:p>
    <w:p>
      <w:pPr>
        <w:spacing w:line="600" w:lineRule="exact"/>
        <w:ind w:firstLine="640"/>
        <w:rPr>
          <w:rFonts w:ascii="仿宋" w:hAnsi="仿宋" w:eastAsia="仿宋"/>
          <w:b/>
          <w:color w:val="000000"/>
          <w:sz w:val="32"/>
          <w:szCs w:val="32"/>
        </w:rPr>
      </w:pPr>
      <w:r>
        <w:rPr>
          <w:rFonts w:hint="eastAsia" w:ascii="仿宋" w:hAnsi="仿宋" w:eastAsia="仿宋"/>
          <w:b/>
          <w:color w:val="000000"/>
          <w:sz w:val="32"/>
          <w:szCs w:val="32"/>
        </w:rPr>
        <w:t>（数据来源财决</w:t>
      </w:r>
      <w:r>
        <w:rPr>
          <w:rFonts w:ascii="仿宋" w:hAnsi="仿宋" w:eastAsia="仿宋"/>
          <w:b/>
          <w:color w:val="000000"/>
          <w:sz w:val="32"/>
          <w:szCs w:val="32"/>
        </w:rPr>
        <w:t>07</w:t>
      </w:r>
      <w:r>
        <w:rPr>
          <w:rFonts w:hint="eastAsia" w:ascii="仿宋" w:hAnsi="仿宋" w:eastAsia="仿宋"/>
          <w:b/>
          <w:color w:val="000000"/>
          <w:sz w:val="32"/>
          <w:szCs w:val="32"/>
        </w:rPr>
        <w:t>表，根据本部门实际支出情况罗列全部经济分类科目。）</w:t>
      </w:r>
    </w:p>
    <w:p>
      <w:pPr>
        <w:spacing w:line="600" w:lineRule="exact"/>
        <w:ind w:firstLine="640"/>
        <w:outlineLvl w:val="1"/>
        <w:rPr>
          <w:rStyle w:val="18"/>
          <w:rFonts w:ascii="黑体" w:hAnsi="黑体" w:eastAsia="黑体"/>
          <w:b w:val="0"/>
        </w:rPr>
      </w:pPr>
      <w:bookmarkStart w:id="42" w:name="_Toc15377215"/>
      <w:bookmarkStart w:id="43" w:name="_Toc15396609"/>
      <w:r>
        <w:rPr>
          <w:rFonts w:hint="eastAsia" w:ascii="黑体" w:eastAsia="黑体"/>
          <w:color w:val="000000"/>
          <w:sz w:val="32"/>
          <w:szCs w:val="32"/>
        </w:rPr>
        <w:t>七、</w:t>
      </w:r>
      <w:r>
        <w:rPr>
          <w:rStyle w:val="18"/>
          <w:rFonts w:hint="eastAsia" w:ascii="黑体" w:hAnsi="黑体" w:eastAsia="黑体"/>
        </w:rPr>
        <w:t>“</w:t>
      </w:r>
      <w:r>
        <w:rPr>
          <w:rStyle w:val="18"/>
          <w:rFonts w:hint="eastAsia" w:ascii="黑体" w:hAnsi="黑体" w:eastAsia="黑体"/>
          <w:b w:val="0"/>
        </w:rPr>
        <w:t>三公”经费财政拨款支出决算情况说明</w:t>
      </w:r>
      <w:bookmarkEnd w:id="42"/>
      <w:bookmarkEnd w:id="43"/>
    </w:p>
    <w:p>
      <w:pPr>
        <w:spacing w:line="600" w:lineRule="exact"/>
        <w:ind w:firstLine="640"/>
        <w:outlineLvl w:val="2"/>
        <w:rPr>
          <w:rFonts w:ascii="仿宋" w:hAnsi="仿宋" w:eastAsia="仿宋"/>
          <w:b/>
          <w:color w:val="000000"/>
          <w:sz w:val="32"/>
          <w:szCs w:val="32"/>
        </w:rPr>
      </w:pPr>
      <w:bookmarkStart w:id="44" w:name="_Toc15377216"/>
      <w:r>
        <w:rPr>
          <w:rFonts w:hint="eastAsia" w:ascii="仿宋" w:hAnsi="仿宋" w:eastAsia="仿宋"/>
          <w:b/>
          <w:color w:val="000000"/>
          <w:sz w:val="32"/>
          <w:szCs w:val="32"/>
        </w:rPr>
        <w:t>（一）“三公”经费财政拨款支出决算总体情况说明</w:t>
      </w:r>
      <w:bookmarkEnd w:id="44"/>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2018</w:t>
      </w:r>
      <w:r>
        <w:rPr>
          <w:rFonts w:hint="eastAsia" w:ascii="仿宋" w:hAnsi="仿宋" w:eastAsia="仿宋"/>
          <w:color w:val="000000"/>
          <w:sz w:val="32"/>
          <w:szCs w:val="32"/>
        </w:rPr>
        <w:t>年“三公”经费财政拨款支出决算为</w:t>
      </w:r>
      <w:r>
        <w:rPr>
          <w:rFonts w:hint="eastAsia" w:ascii="仿宋" w:hAnsi="仿宋" w:eastAsia="仿宋"/>
          <w:color w:val="000000"/>
          <w:sz w:val="32"/>
          <w:szCs w:val="32"/>
          <w:lang w:val="en-US" w:eastAsia="zh-CN"/>
        </w:rPr>
        <w:t>0.895</w:t>
      </w:r>
      <w:r>
        <w:rPr>
          <w:rFonts w:hint="eastAsia" w:ascii="仿宋" w:hAnsi="仿宋" w:eastAsia="仿宋"/>
          <w:color w:val="000000"/>
          <w:sz w:val="32"/>
          <w:szCs w:val="32"/>
        </w:rPr>
        <w:t>万元，完成预算</w:t>
      </w:r>
      <w:r>
        <w:rPr>
          <w:rFonts w:hint="eastAsia" w:ascii="仿宋" w:hAnsi="仿宋" w:eastAsia="仿宋"/>
          <w:color w:val="000000"/>
          <w:sz w:val="32"/>
          <w:szCs w:val="32"/>
          <w:lang w:val="en-US" w:eastAsia="zh-CN"/>
        </w:rPr>
        <w:t>99.44</w:t>
      </w:r>
      <w:r>
        <w:rPr>
          <w:rFonts w:ascii="仿宋" w:hAnsi="仿宋" w:eastAsia="仿宋"/>
          <w:color w:val="000000"/>
          <w:sz w:val="32"/>
          <w:szCs w:val="32"/>
        </w:rPr>
        <w:t>%</w:t>
      </w:r>
      <w:r>
        <w:rPr>
          <w:rFonts w:hint="eastAsia" w:ascii="仿宋" w:hAnsi="仿宋" w:eastAsia="仿宋"/>
          <w:color w:val="000000"/>
          <w:sz w:val="32"/>
          <w:szCs w:val="32"/>
        </w:rPr>
        <w:t>，决算数小于预算数（或与预算数持平）的主要原因是节约开支，减少公务接待。</w:t>
      </w:r>
    </w:p>
    <w:p>
      <w:pPr>
        <w:spacing w:line="600" w:lineRule="exact"/>
        <w:ind w:firstLine="640"/>
        <w:rPr>
          <w:rFonts w:ascii="仿宋" w:hAnsi="仿宋" w:eastAsia="仿宋"/>
          <w:b/>
          <w:color w:val="000000"/>
          <w:sz w:val="32"/>
          <w:szCs w:val="32"/>
        </w:rPr>
      </w:pPr>
      <w:r>
        <w:rPr>
          <w:rFonts w:hint="eastAsia" w:ascii="仿宋" w:hAnsi="仿宋" w:eastAsia="仿宋"/>
          <w:b/>
          <w:color w:val="000000"/>
          <w:sz w:val="32"/>
          <w:szCs w:val="32"/>
        </w:rPr>
        <w:t>（上述“预算”口径为调整预算数，包括政府性基金支出决算情况。）</w:t>
      </w:r>
    </w:p>
    <w:p>
      <w:pPr>
        <w:spacing w:line="600" w:lineRule="exact"/>
        <w:ind w:firstLine="640"/>
        <w:outlineLvl w:val="2"/>
        <w:rPr>
          <w:rFonts w:ascii="仿宋" w:hAnsi="仿宋" w:eastAsia="仿宋"/>
          <w:b/>
          <w:color w:val="000000"/>
          <w:sz w:val="32"/>
          <w:szCs w:val="32"/>
        </w:rPr>
      </w:pPr>
      <w:bookmarkStart w:id="45" w:name="_Toc15377217"/>
      <w:r>
        <w:rPr>
          <w:rFonts w:hint="eastAsia" w:ascii="仿宋" w:hAnsi="仿宋" w:eastAsia="仿宋"/>
          <w:b/>
          <w:color w:val="000000"/>
          <w:sz w:val="32"/>
          <w:szCs w:val="32"/>
        </w:rPr>
        <w:t>（二）“三公”经费财政拨款支出决算具体情况说明</w:t>
      </w:r>
      <w:bookmarkEnd w:id="45"/>
    </w:p>
    <w:p>
      <w:pPr>
        <w:spacing w:line="600" w:lineRule="exact"/>
        <w:ind w:firstLine="640"/>
        <w:rPr>
          <w:rFonts w:hint="eastAsia" w:ascii="仿宋" w:hAnsi="仿宋" w:eastAsia="仿宋"/>
          <w:color w:val="000000"/>
          <w:sz w:val="32"/>
          <w:szCs w:val="32"/>
          <w:lang w:eastAsia="zh-CN"/>
        </w:rPr>
      </w:pPr>
      <w:r>
        <w:rPr>
          <w:rFonts w:ascii="仿宋" w:hAnsi="仿宋" w:eastAsia="仿宋"/>
          <w:color w:val="000000"/>
          <w:sz w:val="32"/>
          <w:szCs w:val="32"/>
        </w:rPr>
        <w:t>2018</w:t>
      </w:r>
      <w:r>
        <w:rPr>
          <w:rFonts w:hint="eastAsia" w:ascii="仿宋" w:hAnsi="仿宋" w:eastAsia="仿宋"/>
          <w:color w:val="000000"/>
          <w:sz w:val="32"/>
          <w:szCs w:val="32"/>
        </w:rPr>
        <w:t>年“三公”经费财政拨款支出决算中，会议费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0</w:t>
      </w:r>
      <w:r>
        <w:rPr>
          <w:rFonts w:ascii="仿宋" w:hAnsi="仿宋" w:eastAsia="仿宋"/>
          <w:color w:val="000000"/>
          <w:sz w:val="32"/>
          <w:szCs w:val="32"/>
        </w:rPr>
        <w:t>%</w:t>
      </w:r>
      <w:r>
        <w:rPr>
          <w:rFonts w:hint="eastAsia" w:ascii="仿宋" w:hAnsi="仿宋" w:eastAsia="仿宋"/>
          <w:color w:val="000000"/>
          <w:sz w:val="32"/>
          <w:szCs w:val="32"/>
          <w:lang w:eastAsia="zh-CN"/>
        </w:rPr>
        <w:t>，</w:t>
      </w:r>
      <w:r>
        <w:rPr>
          <w:rFonts w:hint="eastAsia" w:ascii="仿宋" w:hAnsi="仿宋" w:eastAsia="仿宋"/>
          <w:color w:val="000000"/>
          <w:sz w:val="32"/>
          <w:szCs w:val="32"/>
        </w:rPr>
        <w:t>公务接待费支出决算</w:t>
      </w:r>
      <w:r>
        <w:rPr>
          <w:rFonts w:hint="eastAsia" w:ascii="仿宋" w:hAnsi="仿宋" w:eastAsia="仿宋"/>
          <w:color w:val="000000"/>
          <w:sz w:val="32"/>
          <w:szCs w:val="32"/>
          <w:lang w:val="en-US" w:eastAsia="zh-CN"/>
        </w:rPr>
        <w:t>0.895</w:t>
      </w:r>
      <w:r>
        <w:rPr>
          <w:rFonts w:hint="eastAsia" w:ascii="仿宋" w:hAnsi="仿宋" w:eastAsia="仿宋"/>
          <w:color w:val="000000"/>
          <w:sz w:val="32"/>
          <w:szCs w:val="32"/>
        </w:rPr>
        <w:t>万元，占</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hint="eastAsia" w:ascii="仿宋" w:hAnsi="仿宋" w:eastAsia="仿宋"/>
          <w:color w:val="000000"/>
          <w:sz w:val="32"/>
          <w:szCs w:val="32"/>
        </w:rPr>
        <w:t>。具体情况如下：</w:t>
      </w:r>
    </w:p>
    <w:p>
      <w:pPr>
        <w:spacing w:line="600" w:lineRule="exact"/>
        <w:ind w:firstLine="640"/>
        <w:rPr>
          <w:rFonts w:hint="eastAsia" w:ascii="仿宋" w:hAnsi="仿宋" w:eastAsia="仿宋"/>
          <w:color w:val="000000"/>
          <w:sz w:val="32"/>
          <w:szCs w:val="32"/>
        </w:rPr>
      </w:pPr>
      <w:r>
        <w:rPr>
          <w:rFonts w:hint="eastAsia" w:ascii="仿宋" w:hAnsi="仿宋" w:eastAsia="仿宋"/>
          <w:color w:val="000000"/>
          <w:sz w:val="32"/>
          <w:szCs w:val="32"/>
          <w:lang w:eastAsia="zh-CN"/>
        </w:rPr>
        <w:drawing>
          <wp:anchor distT="0" distB="0" distL="114300" distR="114300" simplePos="0" relativeHeight="251676672" behindDoc="1" locked="0" layoutInCell="1" allowOverlap="1">
            <wp:simplePos x="0" y="0"/>
            <wp:positionH relativeFrom="column">
              <wp:posOffset>309245</wp:posOffset>
            </wp:positionH>
            <wp:positionV relativeFrom="paragraph">
              <wp:posOffset>13335</wp:posOffset>
            </wp:positionV>
            <wp:extent cx="4460875" cy="2334260"/>
            <wp:effectExtent l="5080" t="5080" r="10795" b="22860"/>
            <wp:wrapNone/>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hint="eastAsia" w:ascii="仿宋" w:hAnsi="仿宋" w:eastAsia="仿宋"/>
          <w:color w:val="000000"/>
          <w:sz w:val="32"/>
          <w:szCs w:val="32"/>
        </w:rPr>
      </w:pPr>
    </w:p>
    <w:p>
      <w:pPr>
        <w:spacing w:line="600" w:lineRule="exact"/>
        <w:ind w:firstLine="64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8</w:t>
      </w:r>
      <w:r>
        <w:rPr>
          <w:rFonts w:hint="eastAsia" w:ascii="仿宋" w:hAnsi="仿宋" w:eastAsia="仿宋"/>
          <w:color w:val="000000"/>
          <w:sz w:val="32"/>
          <w:szCs w:val="32"/>
        </w:rPr>
        <w:t>：“三公”经费财政拨款支出结构）（饼状图）</w:t>
      </w:r>
    </w:p>
    <w:p>
      <w:pPr>
        <w:spacing w:line="600" w:lineRule="exact"/>
        <w:ind w:firstLine="640"/>
        <w:rPr>
          <w:rFonts w:ascii="仿宋" w:hAnsi="仿宋" w:eastAsia="仿宋"/>
          <w:color w:val="000000"/>
          <w:sz w:val="32"/>
          <w:szCs w:val="32"/>
        </w:rPr>
      </w:pPr>
      <w:r>
        <w:rPr>
          <w:rFonts w:hint="eastAsia" w:ascii="仿宋" w:hAnsi="仿宋" w:eastAsia="仿宋"/>
          <w:b/>
          <w:color w:val="000000"/>
          <w:sz w:val="32"/>
          <w:szCs w:val="32"/>
        </w:rPr>
        <w:t>公务接待费支出</w:t>
      </w:r>
      <w:r>
        <w:rPr>
          <w:rFonts w:hint="eastAsia" w:ascii="仿宋" w:hAnsi="仿宋" w:eastAsia="仿宋"/>
          <w:color w:val="000000"/>
          <w:sz w:val="32"/>
          <w:szCs w:val="32"/>
          <w:lang w:val="en-US" w:eastAsia="zh-CN"/>
        </w:rPr>
        <w:t>0.895</w:t>
      </w:r>
      <w:r>
        <w:rPr>
          <w:rFonts w:hint="eastAsia" w:ascii="仿宋" w:hAnsi="仿宋" w:eastAsia="仿宋"/>
          <w:color w:val="000000"/>
          <w:sz w:val="32"/>
          <w:szCs w:val="32"/>
        </w:rPr>
        <w:t>万元</w:t>
      </w:r>
      <w:r>
        <w:rPr>
          <w:rFonts w:hint="eastAsia" w:ascii="仿宋_GB2312" w:eastAsia="仿宋_GB2312"/>
          <w:color w:val="000000"/>
          <w:sz w:val="32"/>
          <w:szCs w:val="32"/>
        </w:rPr>
        <w:t>，</w:t>
      </w:r>
      <w:r>
        <w:rPr>
          <w:rStyle w:val="14"/>
          <w:rFonts w:hint="eastAsia" w:ascii="仿宋" w:hAnsi="仿宋" w:eastAsia="仿宋"/>
          <w:b w:val="0"/>
          <w:bCs/>
          <w:color w:val="000000"/>
          <w:sz w:val="32"/>
          <w:szCs w:val="32"/>
        </w:rPr>
        <w:t>完成预算</w:t>
      </w:r>
      <w:r>
        <w:rPr>
          <w:rStyle w:val="14"/>
          <w:rFonts w:hint="eastAsia" w:ascii="仿宋" w:hAnsi="仿宋" w:eastAsia="仿宋"/>
          <w:b w:val="0"/>
          <w:bCs/>
          <w:color w:val="000000"/>
          <w:sz w:val="32"/>
          <w:szCs w:val="32"/>
          <w:lang w:val="en-US" w:eastAsia="zh-CN"/>
        </w:rPr>
        <w:t>99.44</w:t>
      </w:r>
      <w:r>
        <w:rPr>
          <w:rStyle w:val="14"/>
          <w:rFonts w:ascii="仿宋" w:hAnsi="仿宋" w:eastAsia="仿宋"/>
          <w:b w:val="0"/>
          <w:bCs/>
          <w:color w:val="000000"/>
          <w:sz w:val="32"/>
          <w:szCs w:val="32"/>
        </w:rPr>
        <w:t>%</w:t>
      </w:r>
      <w:r>
        <w:rPr>
          <w:rStyle w:val="14"/>
          <w:rFonts w:hint="eastAsia" w:ascii="仿宋" w:hAnsi="仿宋" w:eastAsia="仿宋"/>
          <w:b w:val="0"/>
          <w:bCs/>
          <w:color w:val="000000"/>
          <w:sz w:val="32"/>
          <w:szCs w:val="32"/>
        </w:rPr>
        <w:t>。</w:t>
      </w:r>
      <w:r>
        <w:rPr>
          <w:rFonts w:hint="eastAsia" w:ascii="仿宋" w:hAnsi="仿宋" w:eastAsia="仿宋"/>
          <w:color w:val="000000"/>
          <w:sz w:val="32"/>
          <w:szCs w:val="32"/>
        </w:rPr>
        <w:t>公务接待费支出决算比</w:t>
      </w:r>
      <w:r>
        <w:rPr>
          <w:rFonts w:ascii="仿宋" w:hAnsi="仿宋" w:eastAsia="仿宋"/>
          <w:color w:val="000000"/>
          <w:sz w:val="32"/>
          <w:szCs w:val="32"/>
        </w:rPr>
        <w:t>201</w:t>
      </w:r>
      <w:r>
        <w:rPr>
          <w:rFonts w:hint="eastAsia" w:ascii="仿宋" w:hAnsi="仿宋" w:eastAsia="仿宋"/>
          <w:color w:val="000000"/>
          <w:sz w:val="32"/>
          <w:szCs w:val="32"/>
          <w:lang w:val="en-US" w:eastAsia="zh-CN"/>
        </w:rPr>
        <w:t>8</w:t>
      </w:r>
      <w:r>
        <w:rPr>
          <w:rFonts w:hint="eastAsia" w:ascii="仿宋" w:hAnsi="仿宋" w:eastAsia="仿宋"/>
          <w:color w:val="000000"/>
          <w:sz w:val="32"/>
          <w:szCs w:val="32"/>
        </w:rPr>
        <w:t>年减少</w:t>
      </w:r>
      <w:r>
        <w:rPr>
          <w:rFonts w:hint="eastAsia" w:ascii="仿宋" w:hAnsi="仿宋" w:eastAsia="仿宋"/>
          <w:color w:val="000000"/>
          <w:sz w:val="32"/>
          <w:szCs w:val="32"/>
          <w:lang w:val="en-US" w:eastAsia="zh-CN"/>
        </w:rPr>
        <w:t>0.005</w:t>
      </w:r>
      <w:r>
        <w:rPr>
          <w:rFonts w:hint="eastAsia" w:ascii="仿宋" w:hAnsi="仿宋" w:eastAsia="仿宋"/>
          <w:color w:val="000000"/>
          <w:sz w:val="32"/>
          <w:szCs w:val="32"/>
        </w:rPr>
        <w:t>万元，下降</w:t>
      </w:r>
      <w:r>
        <w:rPr>
          <w:rFonts w:hint="eastAsia" w:ascii="仿宋" w:hAnsi="仿宋" w:eastAsia="仿宋"/>
          <w:color w:val="000000"/>
          <w:sz w:val="32"/>
          <w:szCs w:val="32"/>
          <w:lang w:val="en-US" w:eastAsia="zh-CN"/>
        </w:rPr>
        <w:t>9.6</w:t>
      </w:r>
      <w:r>
        <w:rPr>
          <w:rFonts w:ascii="仿宋" w:hAnsi="仿宋" w:eastAsia="仿宋"/>
          <w:color w:val="000000"/>
          <w:sz w:val="32"/>
          <w:szCs w:val="32"/>
        </w:rPr>
        <w:t>%</w:t>
      </w:r>
      <w:r>
        <w:rPr>
          <w:rFonts w:hint="eastAsia" w:ascii="仿宋" w:hAnsi="仿宋" w:eastAsia="仿宋"/>
          <w:color w:val="000000"/>
          <w:sz w:val="32"/>
          <w:szCs w:val="32"/>
        </w:rPr>
        <w:t>。主要原因是厉行节约，减少公务接待费。</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主要用于执行公务、开展业务活动开支的交通费、住宿费、用餐费等。国内公务接待</w:t>
      </w:r>
      <w:r>
        <w:rPr>
          <w:rFonts w:hint="eastAsia" w:ascii="仿宋" w:hAnsi="仿宋" w:eastAsia="仿宋"/>
          <w:color w:val="000000"/>
          <w:sz w:val="32"/>
          <w:szCs w:val="32"/>
          <w:lang w:val="en-US" w:eastAsia="zh-CN"/>
        </w:rPr>
        <w:t>35</w:t>
      </w:r>
      <w:r>
        <w:rPr>
          <w:rFonts w:hint="eastAsia" w:ascii="仿宋" w:hAnsi="仿宋" w:eastAsia="仿宋"/>
          <w:color w:val="000000"/>
          <w:sz w:val="32"/>
          <w:szCs w:val="32"/>
        </w:rPr>
        <w:t>批次，</w:t>
      </w:r>
      <w:r>
        <w:rPr>
          <w:rFonts w:hint="eastAsia" w:ascii="仿宋" w:hAnsi="仿宋" w:eastAsia="仿宋"/>
          <w:color w:val="000000"/>
          <w:sz w:val="32"/>
          <w:szCs w:val="32"/>
          <w:lang w:val="en-US" w:eastAsia="zh-CN"/>
        </w:rPr>
        <w:t>330</w:t>
      </w:r>
      <w:r>
        <w:rPr>
          <w:rFonts w:hint="eastAsia" w:ascii="仿宋" w:hAnsi="仿宋" w:eastAsia="仿宋"/>
          <w:color w:val="000000"/>
          <w:sz w:val="32"/>
          <w:szCs w:val="32"/>
        </w:rPr>
        <w:t>人次（不包括陪同人员），共计支出</w:t>
      </w:r>
      <w:r>
        <w:rPr>
          <w:rFonts w:hint="eastAsia" w:ascii="仿宋" w:hAnsi="仿宋" w:eastAsia="仿宋"/>
          <w:color w:val="000000"/>
          <w:sz w:val="32"/>
          <w:szCs w:val="32"/>
          <w:lang w:val="en-US" w:eastAsia="zh-CN"/>
        </w:rPr>
        <w:t>0.895</w:t>
      </w:r>
      <w:r>
        <w:rPr>
          <w:rFonts w:hint="eastAsia" w:ascii="仿宋" w:hAnsi="仿宋" w:eastAsia="仿宋"/>
          <w:color w:val="000000"/>
          <w:sz w:val="32"/>
          <w:szCs w:val="32"/>
        </w:rPr>
        <w:t>万元，具体内容包括：</w:t>
      </w:r>
    </w:p>
    <w:p>
      <w:pPr>
        <w:spacing w:line="600" w:lineRule="exact"/>
        <w:ind w:firstLine="640"/>
        <w:rPr>
          <w:rFonts w:ascii="仿宋" w:hAnsi="仿宋" w:eastAsia="仿宋"/>
          <w:color w:val="000000"/>
          <w:sz w:val="32"/>
          <w:szCs w:val="32"/>
        </w:rPr>
      </w:pPr>
      <w:r>
        <w:rPr>
          <w:rFonts w:hint="eastAsia" w:ascii="仿宋" w:hAnsi="仿宋" w:eastAsia="仿宋"/>
          <w:b/>
          <w:color w:val="000000"/>
          <w:sz w:val="32"/>
          <w:szCs w:val="32"/>
        </w:rPr>
        <w:t>其他国内公务接待支出</w:t>
      </w:r>
      <w:r>
        <w:rPr>
          <w:rFonts w:hint="eastAsia" w:ascii="仿宋" w:hAnsi="仿宋" w:eastAsia="仿宋"/>
          <w:color w:val="000000"/>
          <w:sz w:val="32"/>
          <w:szCs w:val="32"/>
          <w:lang w:val="en-US" w:eastAsia="zh-CN"/>
        </w:rPr>
        <w:t>0.895</w:t>
      </w:r>
      <w:r>
        <w:rPr>
          <w:rFonts w:hint="eastAsia" w:ascii="仿宋" w:hAnsi="仿宋" w:eastAsia="仿宋"/>
          <w:color w:val="000000"/>
          <w:sz w:val="32"/>
          <w:szCs w:val="32"/>
        </w:rPr>
        <w:t>万元，主要用于</w:t>
      </w:r>
      <w:r>
        <w:rPr>
          <w:rFonts w:hint="eastAsia" w:ascii="仿宋" w:hAnsi="仿宋" w:eastAsia="仿宋" w:cs="仿宋_GB2312"/>
          <w:color w:val="000000"/>
          <w:sz w:val="32"/>
          <w:szCs w:val="32"/>
        </w:rPr>
        <w:t>执行公务、开展业务活动开支的交通费、住宿费、用餐费等。</w:t>
      </w:r>
      <w:bookmarkStart w:id="46" w:name="_Toc15396610"/>
      <w:bookmarkStart w:id="47" w:name="_Toc15377218"/>
    </w:p>
    <w:p>
      <w:pPr>
        <w:spacing w:line="600" w:lineRule="exact"/>
        <w:ind w:firstLine="640"/>
        <w:outlineLvl w:val="1"/>
        <w:rPr>
          <w:rStyle w:val="18"/>
          <w:rFonts w:ascii="仿宋" w:hAnsi="仿宋" w:eastAsia="仿宋"/>
        </w:rPr>
      </w:pPr>
      <w:r>
        <w:rPr>
          <w:rFonts w:hint="eastAsia" w:ascii="仿宋" w:hAnsi="仿宋" w:eastAsia="仿宋"/>
          <w:color w:val="000000"/>
          <w:sz w:val="32"/>
          <w:szCs w:val="32"/>
        </w:rPr>
        <w:t>八、</w:t>
      </w:r>
      <w:r>
        <w:rPr>
          <w:rStyle w:val="18"/>
          <w:rFonts w:hint="eastAsia" w:ascii="仿宋" w:hAnsi="仿宋" w:eastAsia="仿宋"/>
          <w:b w:val="0"/>
        </w:rPr>
        <w:t>政府性基金预算支出决算情况说明</w:t>
      </w:r>
      <w:bookmarkEnd w:id="46"/>
      <w:bookmarkEnd w:id="47"/>
    </w:p>
    <w:p>
      <w:pPr>
        <w:spacing w:line="600" w:lineRule="exact"/>
        <w:ind w:firstLine="640"/>
        <w:rPr>
          <w:rFonts w:hint="eastAsia" w:ascii="仿宋" w:hAnsi="仿宋" w:eastAsia="仿宋"/>
          <w:color w:val="000000"/>
          <w:sz w:val="32"/>
          <w:szCs w:val="32"/>
          <w:lang w:eastAsia="zh-CN"/>
        </w:rPr>
      </w:pPr>
      <w:r>
        <w:rPr>
          <w:rFonts w:ascii="仿宋" w:hAnsi="仿宋" w:eastAsia="仿宋"/>
          <w:color w:val="000000"/>
          <w:sz w:val="32"/>
          <w:szCs w:val="32"/>
        </w:rPr>
        <w:t>201</w:t>
      </w:r>
      <w:r>
        <w:rPr>
          <w:rFonts w:hint="eastAsia" w:ascii="仿宋" w:hAnsi="仿宋" w:eastAsia="仿宋"/>
          <w:color w:val="000000"/>
          <w:sz w:val="32"/>
          <w:szCs w:val="32"/>
          <w:lang w:val="en-US" w:eastAsia="zh-CN"/>
        </w:rPr>
        <w:t>9</w:t>
      </w:r>
      <w:r>
        <w:rPr>
          <w:rFonts w:hint="eastAsia" w:ascii="仿宋" w:hAnsi="仿宋" w:eastAsia="仿宋"/>
          <w:color w:val="000000"/>
          <w:sz w:val="32"/>
          <w:szCs w:val="32"/>
        </w:rPr>
        <w:t>年政府性基金预算拨款支出</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w:t>
      </w:r>
    </w:p>
    <w:p>
      <w:pPr>
        <w:numPr>
          <w:ilvl w:val="0"/>
          <w:numId w:val="2"/>
        </w:numPr>
        <w:spacing w:line="600" w:lineRule="exact"/>
        <w:ind w:firstLine="640"/>
        <w:outlineLvl w:val="1"/>
        <w:rPr>
          <w:rStyle w:val="18"/>
          <w:rFonts w:ascii="仿宋" w:hAnsi="仿宋" w:eastAsia="仿宋"/>
          <w:b w:val="0"/>
        </w:rPr>
      </w:pPr>
      <w:bookmarkStart w:id="48" w:name="_Toc15396611"/>
      <w:bookmarkStart w:id="49" w:name="_Toc15377219"/>
      <w:r>
        <w:rPr>
          <w:rStyle w:val="18"/>
          <w:rFonts w:hint="eastAsia" w:ascii="仿宋" w:hAnsi="仿宋" w:eastAsia="仿宋"/>
          <w:b w:val="0"/>
        </w:rPr>
        <w:t>国有资本经营预算支出决算情况说明</w:t>
      </w:r>
      <w:bookmarkEnd w:id="48"/>
      <w:bookmarkEnd w:id="49"/>
    </w:p>
    <w:p>
      <w:pPr>
        <w:spacing w:line="600" w:lineRule="exact"/>
        <w:ind w:firstLine="640"/>
        <w:rPr>
          <w:rFonts w:ascii="仿宋" w:hAnsi="仿宋" w:eastAsia="仿宋"/>
          <w:color w:val="000000"/>
          <w:sz w:val="32"/>
          <w:szCs w:val="32"/>
        </w:rPr>
      </w:pPr>
      <w:r>
        <w:rPr>
          <w:rFonts w:ascii="仿宋" w:hAnsi="仿宋" w:eastAsia="仿宋"/>
          <w:color w:val="000000"/>
          <w:sz w:val="32"/>
          <w:szCs w:val="32"/>
        </w:rPr>
        <w:t>201</w:t>
      </w:r>
      <w:r>
        <w:rPr>
          <w:rFonts w:hint="eastAsia" w:ascii="仿宋" w:hAnsi="仿宋" w:eastAsia="仿宋"/>
          <w:color w:val="000000"/>
          <w:sz w:val="32"/>
          <w:szCs w:val="32"/>
          <w:lang w:val="en-US" w:eastAsia="zh-CN"/>
        </w:rPr>
        <w:t>9</w:t>
      </w:r>
      <w:r>
        <w:rPr>
          <w:rFonts w:hint="eastAsia" w:ascii="仿宋" w:hAnsi="仿宋" w:eastAsia="仿宋"/>
          <w:color w:val="000000"/>
          <w:sz w:val="32"/>
          <w:szCs w:val="32"/>
        </w:rPr>
        <w:t>年无国有资本经营预算拨款支出。</w:t>
      </w:r>
    </w:p>
    <w:p>
      <w:pPr>
        <w:pStyle w:val="27"/>
        <w:numPr>
          <w:ilvl w:val="0"/>
          <w:numId w:val="3"/>
        </w:numPr>
        <w:spacing w:line="580" w:lineRule="exact"/>
        <w:ind w:firstLineChars="0"/>
        <w:rPr>
          <w:rStyle w:val="18"/>
          <w:rFonts w:ascii="仿宋" w:hAnsi="仿宋" w:eastAsia="仿宋"/>
          <w:b w:val="0"/>
        </w:rPr>
      </w:pPr>
      <w:r>
        <w:rPr>
          <w:rStyle w:val="18"/>
          <w:rFonts w:hint="eastAsia" w:ascii="仿宋" w:hAnsi="仿宋" w:eastAsia="仿宋"/>
          <w:b w:val="0"/>
        </w:rPr>
        <w:t>预算绩效情况说明</w:t>
      </w:r>
    </w:p>
    <w:p>
      <w:pPr>
        <w:numPr>
          <w:ilvl w:val="0"/>
          <w:numId w:val="4"/>
        </w:numPr>
        <w:spacing w:line="580" w:lineRule="exact"/>
        <w:ind w:firstLine="643" w:firstLineChars="200"/>
        <w:rPr>
          <w:rFonts w:ascii="仿宋" w:hAnsi="仿宋" w:eastAsia="仿宋" w:cs="楷体_GB2312"/>
          <w:b/>
          <w:bCs/>
          <w:sz w:val="32"/>
          <w:szCs w:val="32"/>
        </w:rPr>
      </w:pPr>
      <w:r>
        <w:rPr>
          <w:rFonts w:hint="eastAsia" w:ascii="仿宋" w:hAnsi="仿宋" w:eastAsia="仿宋" w:cs="楷体_GB2312"/>
          <w:b/>
          <w:bCs/>
          <w:sz w:val="32"/>
          <w:szCs w:val="32"/>
        </w:rPr>
        <w:t>预算绩效管理工作开展情况。</w:t>
      </w:r>
    </w:p>
    <w:p>
      <w:pPr>
        <w:spacing w:line="5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根据预算绩效管理要求，本部门（单位）在年初预算编制阶段，组织对本部门按要求对</w:t>
      </w:r>
      <w:r>
        <w:rPr>
          <w:rFonts w:ascii="仿宋" w:hAnsi="仿宋" w:eastAsia="仿宋" w:cs="仿宋_GB2312"/>
          <w:sz w:val="32"/>
          <w:szCs w:val="32"/>
        </w:rPr>
        <w:t>201</w:t>
      </w:r>
      <w:r>
        <w:rPr>
          <w:rFonts w:hint="eastAsia" w:ascii="仿宋" w:hAnsi="仿宋" w:eastAsia="仿宋" w:cs="仿宋_GB2312"/>
          <w:sz w:val="32"/>
          <w:szCs w:val="32"/>
          <w:lang w:val="en-US" w:eastAsia="zh-CN"/>
        </w:rPr>
        <w:t>9</w:t>
      </w:r>
      <w:r>
        <w:rPr>
          <w:rFonts w:hint="eastAsia" w:ascii="仿宋" w:hAnsi="仿宋" w:eastAsia="仿宋" w:cs="仿宋_GB2312"/>
          <w:sz w:val="32"/>
          <w:szCs w:val="32"/>
        </w:rPr>
        <w:t>年部门整体支出开展绩效自评，</w:t>
      </w:r>
      <w:r>
        <w:rPr>
          <w:rFonts w:hint="eastAsia" w:ascii="仿宋" w:hAnsi="仿宋" w:eastAsia="仿宋"/>
          <w:sz w:val="32"/>
          <w:szCs w:val="32"/>
        </w:rPr>
        <w:t>学校高度重视绩效管理工作，按照“察实情、出实招、务实干、重实绩”的工作思路，切实加强预算绩效管理。建立健全以绩效目标为导向，以绩效评价为手段，以结果应用为保障，以改进预算管理、优化资源配置、控制节约成本为目的，全面贯穿预算编制、执行、监督、决算全过程的预算绩效管理体系。学校在制定《</w:t>
      </w:r>
      <w:r>
        <w:rPr>
          <w:rFonts w:hint="eastAsia" w:ascii="仿宋" w:hAnsi="仿宋" w:eastAsia="仿宋"/>
          <w:sz w:val="32"/>
          <w:szCs w:val="32"/>
          <w:lang w:eastAsia="zh-CN"/>
        </w:rPr>
        <w:t>万源市柳黄乡中心小学校</w:t>
      </w:r>
      <w:r>
        <w:rPr>
          <w:rFonts w:hint="eastAsia" w:ascii="仿宋" w:hAnsi="仿宋" w:eastAsia="仿宋"/>
          <w:sz w:val="32"/>
          <w:szCs w:val="32"/>
        </w:rPr>
        <w:t>201</w:t>
      </w:r>
      <w:r>
        <w:rPr>
          <w:rFonts w:hint="eastAsia" w:ascii="仿宋" w:hAnsi="仿宋" w:eastAsia="仿宋"/>
          <w:sz w:val="32"/>
          <w:szCs w:val="32"/>
          <w:lang w:val="en-US" w:eastAsia="zh-CN"/>
        </w:rPr>
        <w:t>9</w:t>
      </w:r>
      <w:r>
        <w:rPr>
          <w:rFonts w:hint="eastAsia" w:ascii="仿宋" w:hAnsi="仿宋" w:eastAsia="仿宋"/>
          <w:sz w:val="32"/>
          <w:szCs w:val="32"/>
        </w:rPr>
        <w:t>年年度目标任务书》时，将资金使用绩效纳入年度目标任务考核内容，要求项目资金绩效评价达到合格水平才得分，本年度预算绩效管理工作促进预算执行业务部门提高绩效意识，加强资金绩效管理。</w:t>
      </w:r>
      <w:r>
        <w:rPr>
          <w:rFonts w:hint="eastAsia" w:ascii="仿宋" w:hAnsi="仿宋" w:eastAsia="仿宋" w:cs="仿宋_GB2312"/>
          <w:sz w:val="32"/>
          <w:szCs w:val="32"/>
        </w:rPr>
        <w:t>从总体开展情况来看，本年度对执行预算绩效管理综合得分“好”。</w:t>
      </w:r>
    </w:p>
    <w:p>
      <w:pPr>
        <w:numPr>
          <w:ilvl w:val="0"/>
          <w:numId w:val="4"/>
        </w:numPr>
        <w:spacing w:line="580" w:lineRule="exact"/>
        <w:ind w:left="0" w:leftChars="0" w:firstLine="643" w:firstLineChars="200"/>
        <w:rPr>
          <w:rFonts w:hint="eastAsia" w:ascii="仿宋" w:hAnsi="仿宋" w:eastAsia="仿宋" w:cs="仿宋_GB2312"/>
          <w:sz w:val="32"/>
          <w:szCs w:val="32"/>
        </w:rPr>
      </w:pPr>
      <w:r>
        <w:rPr>
          <w:rFonts w:hint="eastAsia" w:ascii="仿宋" w:hAnsi="仿宋" w:eastAsia="仿宋" w:cs="楷体_GB2312"/>
          <w:b/>
          <w:bCs/>
          <w:sz w:val="32"/>
          <w:szCs w:val="32"/>
        </w:rPr>
        <w:t>项目绩效目标完成情况。</w:t>
      </w:r>
      <w:r>
        <w:rPr>
          <w:rFonts w:ascii="仿宋" w:hAnsi="仿宋" w:eastAsia="仿宋" w:cs="楷体_GB2312"/>
          <w:b/>
          <w:bCs/>
          <w:sz w:val="32"/>
          <w:szCs w:val="32"/>
        </w:rPr>
        <w:br w:type="textWrapping"/>
      </w:r>
      <w:r>
        <w:rPr>
          <w:rFonts w:ascii="仿宋" w:hAnsi="仿宋" w:eastAsia="仿宋" w:cs="仿宋_GB2312"/>
          <w:sz w:val="32"/>
          <w:szCs w:val="32"/>
        </w:rPr>
        <w:t xml:space="preserve">    </w:t>
      </w:r>
      <w:r>
        <w:rPr>
          <w:rFonts w:hint="eastAsia" w:ascii="仿宋" w:hAnsi="仿宋" w:eastAsia="仿宋" w:cs="仿宋_GB2312"/>
          <w:sz w:val="32"/>
          <w:szCs w:val="32"/>
        </w:rPr>
        <w:t>本部门</w:t>
      </w:r>
      <w:r>
        <w:rPr>
          <w:rFonts w:ascii="仿宋" w:hAnsi="仿宋" w:eastAsia="仿宋" w:cs="仿宋_GB2312"/>
          <w:sz w:val="32"/>
          <w:szCs w:val="32"/>
        </w:rPr>
        <w:t>201</w:t>
      </w:r>
      <w:r>
        <w:rPr>
          <w:rFonts w:hint="eastAsia" w:ascii="仿宋" w:hAnsi="仿宋" w:eastAsia="仿宋" w:cs="仿宋_GB2312"/>
          <w:sz w:val="32"/>
          <w:szCs w:val="32"/>
          <w:lang w:val="en-US" w:eastAsia="zh-CN"/>
        </w:rPr>
        <w:t>9</w:t>
      </w:r>
      <w:r>
        <w:rPr>
          <w:rFonts w:hint="eastAsia" w:ascii="仿宋" w:hAnsi="仿宋" w:eastAsia="仿宋" w:cs="仿宋_GB2312"/>
          <w:sz w:val="32"/>
          <w:szCs w:val="32"/>
        </w:rPr>
        <w:t>年无项目。</w:t>
      </w:r>
    </w:p>
    <w:tbl>
      <w:tblPr>
        <w:tblStyle w:val="16"/>
        <w:tblpPr w:leftFromText="180" w:rightFromText="180" w:vertAnchor="text" w:horzAnchor="page" w:tblpXSpec="center" w:tblpY="423"/>
        <w:tblOverlap w:val="never"/>
        <w:tblW w:w="9960" w:type="dxa"/>
        <w:tblInd w:w="0" w:type="dxa"/>
        <w:tblLayout w:type="fixed"/>
        <w:tblCellMar>
          <w:top w:w="0" w:type="dxa"/>
          <w:left w:w="0" w:type="dxa"/>
          <w:bottom w:w="0" w:type="dxa"/>
          <w:right w:w="0" w:type="dxa"/>
        </w:tblCellMar>
      </w:tblPr>
      <w:tblGrid>
        <w:gridCol w:w="390"/>
        <w:gridCol w:w="1367"/>
        <w:gridCol w:w="1025"/>
        <w:gridCol w:w="2392"/>
        <w:gridCol w:w="2394"/>
        <w:gridCol w:w="2392"/>
      </w:tblGrid>
      <w:tr>
        <w:tblPrEx>
          <w:tblLayout w:type="fixed"/>
          <w:tblCellMar>
            <w:top w:w="0" w:type="dxa"/>
            <w:left w:w="0" w:type="dxa"/>
            <w:bottom w:w="0" w:type="dxa"/>
            <w:right w:w="0" w:type="dxa"/>
          </w:tblCellMar>
        </w:tblPrEx>
        <w:trPr>
          <w:trHeight w:val="1034" w:hRule="atLeast"/>
        </w:trPr>
        <w:tc>
          <w:tcPr>
            <w:tcW w:w="9960" w:type="dxa"/>
            <w:gridSpan w:val="6"/>
            <w:tcMar>
              <w:top w:w="15" w:type="dxa"/>
              <w:left w:w="15" w:type="dxa"/>
              <w:bottom w:w="0" w:type="dxa"/>
              <w:right w:w="15" w:type="dxa"/>
            </w:tcMar>
            <w:vAlign w:val="center"/>
          </w:tcPr>
          <w:p>
            <w:pPr>
              <w:pStyle w:val="27"/>
              <w:widowControl/>
              <w:ind w:left="4173" w:leftChars="1310" w:hanging="1422" w:hangingChars="395"/>
              <w:textAlignment w:val="center"/>
              <w:rPr>
                <w:rFonts w:ascii="宋体" w:cs="宋体"/>
                <w:color w:val="000000"/>
                <w:sz w:val="36"/>
                <w:szCs w:val="36"/>
              </w:rPr>
            </w:pPr>
            <w:r>
              <w:rPr>
                <w:rFonts w:hint="eastAsia" w:ascii="黑体" w:hAnsi="黑体" w:eastAsia="黑体" w:cs="宋体"/>
                <w:bCs/>
                <w:color w:val="000000"/>
                <w:kern w:val="0"/>
                <w:sz w:val="36"/>
                <w:szCs w:val="36"/>
              </w:rPr>
              <w:t>项目支出绩效目标完成情况表</w:t>
            </w:r>
            <w:r>
              <w:rPr>
                <w:rFonts w:ascii="宋体" w:cs="宋体"/>
                <w:b/>
                <w:bCs/>
                <w:color w:val="000000"/>
                <w:kern w:val="0"/>
                <w:sz w:val="36"/>
                <w:szCs w:val="36"/>
              </w:rPr>
              <w:br w:type="textWrapping"/>
            </w:r>
            <w:r>
              <w:rPr>
                <w:rFonts w:ascii="宋体" w:hAnsi="宋体" w:cs="宋体"/>
                <w:color w:val="000000"/>
                <w:kern w:val="0"/>
                <w:sz w:val="36"/>
                <w:szCs w:val="36"/>
              </w:rPr>
              <w:t>(201</w:t>
            </w:r>
            <w:r>
              <w:rPr>
                <w:rFonts w:hint="eastAsia" w:ascii="宋体" w:hAnsi="宋体" w:cs="宋体"/>
                <w:color w:val="000000"/>
                <w:kern w:val="0"/>
                <w:sz w:val="36"/>
                <w:szCs w:val="36"/>
                <w:lang w:val="en-US" w:eastAsia="zh-CN"/>
              </w:rPr>
              <w:t>9</w:t>
            </w:r>
            <w:r>
              <w:rPr>
                <w:rFonts w:ascii="宋体" w:hAnsi="宋体" w:cs="宋体"/>
                <w:color w:val="000000"/>
                <w:kern w:val="0"/>
                <w:sz w:val="36"/>
                <w:szCs w:val="36"/>
              </w:rPr>
              <w:t xml:space="preserve"> </w:t>
            </w:r>
            <w:r>
              <w:rPr>
                <w:rFonts w:hint="eastAsia" w:ascii="宋体" w:hAnsi="宋体" w:cs="宋体"/>
                <w:color w:val="000000"/>
                <w:kern w:val="0"/>
                <w:sz w:val="36"/>
                <w:szCs w:val="36"/>
              </w:rPr>
              <w:t>年度</w:t>
            </w:r>
            <w:r>
              <w:rPr>
                <w:rFonts w:ascii="宋体" w:hAnsi="宋体" w:cs="宋体"/>
                <w:color w:val="000000"/>
                <w:kern w:val="0"/>
                <w:sz w:val="36"/>
                <w:szCs w:val="36"/>
              </w:rPr>
              <w:t>)</w:t>
            </w:r>
          </w:p>
        </w:tc>
      </w:tr>
      <w:tr>
        <w:tblPrEx>
          <w:tblLayout w:type="fixed"/>
          <w:tblCellMar>
            <w:top w:w="0" w:type="dxa"/>
            <w:left w:w="0" w:type="dxa"/>
            <w:bottom w:w="0" w:type="dxa"/>
            <w:right w:w="0" w:type="dxa"/>
          </w:tblCellMar>
        </w:tblPrEx>
        <w:trPr>
          <w:trHeight w:val="276" w:hRule="atLeast"/>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hint="eastAsia" w:ascii="宋体" w:eastAsia="宋体" w:cs="宋体"/>
                <w:color w:val="000000"/>
                <w:sz w:val="24"/>
                <w:lang w:eastAsia="zh-CN"/>
              </w:rPr>
            </w:pPr>
            <w:r>
              <w:rPr>
                <w:rFonts w:hint="eastAsia" w:ascii="宋体" w:cs="宋体"/>
                <w:color w:val="000000"/>
                <w:sz w:val="24"/>
                <w:lang w:eastAsia="zh-CN"/>
              </w:rPr>
              <w:t>无</w:t>
            </w:r>
          </w:p>
        </w:tc>
      </w:tr>
      <w:tr>
        <w:tblPrEx>
          <w:tblLayout w:type="fixed"/>
          <w:tblCellMar>
            <w:top w:w="0" w:type="dxa"/>
            <w:left w:w="0" w:type="dxa"/>
            <w:bottom w:w="0" w:type="dxa"/>
            <w:right w:w="0" w:type="dxa"/>
          </w:tblCellMar>
        </w:tblPrEx>
        <w:trPr>
          <w:trHeight w:val="276" w:hRule="atLeast"/>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hint="eastAsia" w:ascii="宋体" w:eastAsia="宋体" w:cs="宋体"/>
                <w:color w:val="000000"/>
                <w:sz w:val="24"/>
                <w:lang w:eastAsia="zh-CN"/>
              </w:rPr>
            </w:pPr>
            <w:r>
              <w:rPr>
                <w:rFonts w:hint="eastAsia" w:ascii="宋体" w:cs="宋体"/>
                <w:color w:val="000000"/>
                <w:sz w:val="24"/>
                <w:lang w:eastAsia="zh-CN"/>
              </w:rPr>
              <w:t>万源市柳黄乡中心小学校</w:t>
            </w:r>
          </w:p>
        </w:tc>
      </w:tr>
      <w:tr>
        <w:tblPrEx>
          <w:tblLayout w:type="fixed"/>
          <w:tblCellMar>
            <w:top w:w="0" w:type="dxa"/>
            <w:left w:w="0" w:type="dxa"/>
            <w:bottom w:w="0" w:type="dxa"/>
            <w:right w:w="0" w:type="dxa"/>
          </w:tblCellMar>
        </w:tblPrEx>
        <w:trPr>
          <w:trHeight w:val="276" w:hRule="atLeast"/>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预算执行情况</w:t>
            </w:r>
            <w:r>
              <w:rPr>
                <w:rFonts w:ascii="宋体" w:hAnsi="宋体" w:cs="宋体"/>
                <w:color w:val="000000"/>
                <w:kern w:val="0"/>
                <w:sz w:val="24"/>
              </w:rPr>
              <w:t>(</w:t>
            </w:r>
            <w:r>
              <w:rPr>
                <w:rFonts w:hint="eastAsia" w:ascii="宋体" w:hAnsi="宋体" w:cs="宋体"/>
                <w:color w:val="000000"/>
                <w:kern w:val="0"/>
                <w:sz w:val="24"/>
              </w:rPr>
              <w:t>万元</w:t>
            </w:r>
            <w:r>
              <w:rPr>
                <w:rFonts w:ascii="宋体" w:hAnsi="宋体" w:cs="宋体"/>
                <w:color w:val="000000"/>
                <w:kern w:val="0"/>
                <w:sz w:val="24"/>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预算数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hint="eastAsia" w:ascii="宋体" w:eastAsia="宋体"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执行数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hint="eastAsia" w:ascii="宋体" w:eastAsia="宋体" w:cs="宋体"/>
                <w:color w:val="000000"/>
                <w:sz w:val="24"/>
                <w:lang w:val="en-US" w:eastAsia="zh-CN"/>
              </w:rPr>
            </w:pPr>
            <w:r>
              <w:rPr>
                <w:rFonts w:hint="eastAsia" w:ascii="宋体" w:cs="宋体"/>
                <w:color w:val="000000"/>
                <w:sz w:val="24"/>
                <w:lang w:val="en-US" w:eastAsia="zh-CN"/>
              </w:rPr>
              <w:t>0</w:t>
            </w:r>
          </w:p>
        </w:tc>
      </w:tr>
      <w:tr>
        <w:tblPrEx>
          <w:tblLayout w:type="fixed"/>
          <w:tblCellMar>
            <w:top w:w="0" w:type="dxa"/>
            <w:left w:w="0" w:type="dxa"/>
            <w:bottom w:w="0" w:type="dxa"/>
            <w:right w:w="0" w:type="dxa"/>
          </w:tblCellMar>
        </w:tblPrEx>
        <w:trPr>
          <w:trHeight w:val="276" w:hRule="atLeast"/>
        </w:trPr>
        <w:tc>
          <w:tcPr>
            <w:tcW w:w="39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hint="eastAsia" w:ascii="宋体" w:eastAsia="宋体" w:cs="宋体"/>
                <w:color w:val="000000"/>
                <w:sz w:val="24"/>
                <w:lang w:val="en-US" w:eastAsia="zh-CN"/>
              </w:rPr>
            </w:pPr>
            <w:r>
              <w:rPr>
                <w:rFonts w:hint="eastAsia" w:ascii="宋体" w:cs="宋体"/>
                <w:color w:val="000000"/>
                <w:sz w:val="24"/>
                <w:lang w:val="en-US" w:eastAsia="zh-CN"/>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其中</w:t>
            </w:r>
            <w:r>
              <w:rPr>
                <w:rFonts w:ascii="宋体" w:cs="宋体"/>
                <w:color w:val="000000"/>
                <w:kern w:val="0"/>
                <w:sz w:val="24"/>
              </w:rPr>
              <w:t>-</w:t>
            </w:r>
            <w:r>
              <w:rPr>
                <w:rFonts w:hint="eastAsia" w:ascii="宋体" w:hAnsi="宋体" w:cs="宋体"/>
                <w:color w:val="000000"/>
                <w:kern w:val="0"/>
                <w:sz w:val="24"/>
              </w:rPr>
              <w:t>财政拨款</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hint="eastAsia" w:ascii="宋体" w:eastAsia="宋体" w:cs="宋体"/>
                <w:color w:val="000000"/>
                <w:sz w:val="24"/>
                <w:lang w:val="en-US" w:eastAsia="zh-CN"/>
              </w:rPr>
            </w:pPr>
            <w:r>
              <w:rPr>
                <w:rFonts w:hint="eastAsia" w:ascii="宋体" w:cs="宋体"/>
                <w:color w:val="000000"/>
                <w:sz w:val="24"/>
                <w:lang w:val="en-US" w:eastAsia="zh-CN"/>
              </w:rPr>
              <w:t>0</w:t>
            </w:r>
          </w:p>
        </w:tc>
      </w:tr>
      <w:tr>
        <w:tblPrEx>
          <w:tblLayout w:type="fixed"/>
          <w:tblCellMar>
            <w:top w:w="0" w:type="dxa"/>
            <w:left w:w="0" w:type="dxa"/>
            <w:bottom w:w="0" w:type="dxa"/>
            <w:right w:w="0" w:type="dxa"/>
          </w:tblCellMar>
        </w:tblPrEx>
        <w:trPr>
          <w:trHeight w:val="1511" w:hRule="atLeast"/>
        </w:trPr>
        <w:tc>
          <w:tcPr>
            <w:tcW w:w="39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ascii="宋体" w:cs="宋体"/>
                <w:color w:val="000000"/>
                <w:kern w:val="0"/>
                <w:sz w:val="24"/>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其它资金</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jc w:val="center"/>
              <w:rPr>
                <w:rFonts w:hint="eastAsia" w:ascii="宋体" w:eastAsia="宋体" w:cs="宋体"/>
                <w:color w:val="000000"/>
                <w:sz w:val="24"/>
                <w:lang w:val="en-US" w:eastAsia="zh-CN"/>
              </w:rPr>
            </w:pPr>
            <w:r>
              <w:rPr>
                <w:rFonts w:hint="eastAsia" w:ascii="宋体" w:cs="宋体"/>
                <w:color w:val="000000"/>
                <w:sz w:val="24"/>
                <w:lang w:val="en-US" w:eastAsia="zh-CN"/>
              </w:rPr>
              <w:t>0</w:t>
            </w:r>
          </w:p>
        </w:tc>
      </w:tr>
      <w:tr>
        <w:tblPrEx>
          <w:tblLayout w:type="fixed"/>
          <w:tblCellMar>
            <w:top w:w="0" w:type="dxa"/>
            <w:left w:w="0" w:type="dxa"/>
            <w:bottom w:w="0" w:type="dxa"/>
            <w:right w:w="0" w:type="dxa"/>
          </w:tblCellMar>
        </w:tblPrEx>
        <w:trPr>
          <w:trHeight w:val="276" w:hRule="atLeast"/>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实际完成目标</w:t>
            </w:r>
          </w:p>
        </w:tc>
      </w:tr>
      <w:tr>
        <w:tblPrEx>
          <w:tblLayout w:type="fixed"/>
          <w:tblCellMar>
            <w:top w:w="0" w:type="dxa"/>
            <w:left w:w="0" w:type="dxa"/>
            <w:bottom w:w="0" w:type="dxa"/>
            <w:right w:w="0" w:type="dxa"/>
          </w:tblCellMar>
        </w:tblPrEx>
        <w:trPr>
          <w:trHeight w:val="1159" w:hRule="atLeast"/>
        </w:trPr>
        <w:tc>
          <w:tcPr>
            <w:tcW w:w="39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r>
      <w:tr>
        <w:tblPrEx>
          <w:tblLayout w:type="fixed"/>
          <w:tblCellMar>
            <w:top w:w="0" w:type="dxa"/>
            <w:left w:w="0" w:type="dxa"/>
            <w:bottom w:w="0" w:type="dxa"/>
            <w:right w:w="0" w:type="dxa"/>
          </w:tblCellMar>
        </w:tblPrEx>
        <w:trPr>
          <w:trHeight w:val="1042" w:hRule="atLeast"/>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预期指标值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实际完成指标值</w:t>
            </w:r>
            <w:r>
              <w:rPr>
                <w:rFonts w:ascii="宋体" w:hAnsi="宋体" w:cs="宋体"/>
                <w:color w:val="000000"/>
                <w:kern w:val="0"/>
                <w:sz w:val="24"/>
              </w:rPr>
              <w:t>(</w:t>
            </w:r>
            <w:r>
              <w:rPr>
                <w:rFonts w:hint="eastAsia" w:ascii="宋体" w:hAnsi="宋体" w:cs="宋体"/>
                <w:color w:val="000000"/>
                <w:kern w:val="0"/>
                <w:sz w:val="24"/>
              </w:rPr>
              <w:t>包含数字及文字描述</w:t>
            </w:r>
            <w:r>
              <w:rPr>
                <w:rFonts w:ascii="宋体" w:hAnsi="宋体" w:cs="宋体"/>
                <w:color w:val="000000"/>
                <w:kern w:val="0"/>
                <w:sz w:val="24"/>
              </w:rPr>
              <w:t>)</w:t>
            </w:r>
          </w:p>
        </w:tc>
      </w:tr>
      <w:tr>
        <w:tblPrEx>
          <w:tblLayout w:type="fixed"/>
          <w:tblCellMar>
            <w:top w:w="0" w:type="dxa"/>
            <w:left w:w="0" w:type="dxa"/>
            <w:bottom w:w="0" w:type="dxa"/>
            <w:right w:w="0" w:type="dxa"/>
          </w:tblCellMar>
        </w:tblPrEx>
        <w:trPr>
          <w:trHeight w:val="953" w:hRule="atLeast"/>
        </w:trPr>
        <w:tc>
          <w:tcPr>
            <w:tcW w:w="39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r>
      <w:tr>
        <w:tblPrEx>
          <w:tblLayout w:type="fixed"/>
          <w:tblCellMar>
            <w:top w:w="0" w:type="dxa"/>
            <w:left w:w="0" w:type="dxa"/>
            <w:bottom w:w="0" w:type="dxa"/>
            <w:right w:w="0" w:type="dxa"/>
          </w:tblCellMar>
        </w:tblPrEx>
        <w:trPr>
          <w:trHeight w:val="1297" w:hRule="atLeast"/>
        </w:trPr>
        <w:tc>
          <w:tcPr>
            <w:tcW w:w="39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r>
      <w:tr>
        <w:tblPrEx>
          <w:tblLayout w:type="fixed"/>
          <w:tblCellMar>
            <w:top w:w="0" w:type="dxa"/>
            <w:left w:w="0" w:type="dxa"/>
            <w:bottom w:w="0" w:type="dxa"/>
            <w:right w:w="0" w:type="dxa"/>
          </w:tblCellMar>
        </w:tblPrEx>
        <w:trPr>
          <w:trHeight w:val="1042" w:hRule="atLeast"/>
        </w:trPr>
        <w:tc>
          <w:tcPr>
            <w:tcW w:w="39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r>
      <w:tr>
        <w:tblPrEx>
          <w:tblLayout w:type="fixed"/>
          <w:tblCellMar>
            <w:top w:w="0" w:type="dxa"/>
            <w:left w:w="0" w:type="dxa"/>
            <w:bottom w:w="0" w:type="dxa"/>
            <w:right w:w="0" w:type="dxa"/>
          </w:tblCellMar>
        </w:tblPrEx>
        <w:trPr>
          <w:trHeight w:val="1042" w:hRule="atLeast"/>
        </w:trPr>
        <w:tc>
          <w:tcPr>
            <w:tcW w:w="39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kern w:val="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r>
      <w:tr>
        <w:tblPrEx>
          <w:tblLayout w:type="fixed"/>
          <w:tblCellMar>
            <w:top w:w="0" w:type="dxa"/>
            <w:left w:w="0" w:type="dxa"/>
            <w:bottom w:w="0" w:type="dxa"/>
            <w:right w:w="0" w:type="dxa"/>
          </w:tblCellMar>
        </w:tblPrEx>
        <w:trPr>
          <w:trHeight w:val="1042" w:hRule="atLeast"/>
        </w:trPr>
        <w:tc>
          <w:tcPr>
            <w:tcW w:w="39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r>
      <w:tr>
        <w:tblPrEx>
          <w:tblLayout w:type="fixed"/>
          <w:tblCellMar>
            <w:top w:w="0" w:type="dxa"/>
            <w:left w:w="0" w:type="dxa"/>
            <w:bottom w:w="0" w:type="dxa"/>
            <w:right w:w="0" w:type="dxa"/>
          </w:tblCellMar>
        </w:tblPrEx>
        <w:trPr>
          <w:trHeight w:val="1042" w:hRule="atLeast"/>
        </w:trPr>
        <w:tc>
          <w:tcPr>
            <w:tcW w:w="39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r>
      <w:tr>
        <w:tblPrEx>
          <w:tblLayout w:type="fixed"/>
          <w:tblCellMar>
            <w:top w:w="0" w:type="dxa"/>
            <w:left w:w="0" w:type="dxa"/>
            <w:bottom w:w="0" w:type="dxa"/>
            <w:right w:w="0" w:type="dxa"/>
          </w:tblCellMar>
        </w:tblPrEx>
        <w:trPr>
          <w:trHeight w:val="1042" w:hRule="atLeast"/>
        </w:trPr>
        <w:tc>
          <w:tcPr>
            <w:tcW w:w="39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r>
      <w:tr>
        <w:tblPrEx>
          <w:tblLayout w:type="fixed"/>
          <w:tblCellMar>
            <w:top w:w="0" w:type="dxa"/>
            <w:left w:w="0" w:type="dxa"/>
            <w:bottom w:w="0" w:type="dxa"/>
            <w:right w:w="0" w:type="dxa"/>
          </w:tblCellMar>
        </w:tblPrEx>
        <w:trPr>
          <w:trHeight w:val="1297" w:hRule="atLeast"/>
        </w:trPr>
        <w:tc>
          <w:tcPr>
            <w:tcW w:w="39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r>
      <w:tr>
        <w:tblPrEx>
          <w:tblLayout w:type="fixed"/>
          <w:tblCellMar>
            <w:top w:w="0" w:type="dxa"/>
            <w:left w:w="0" w:type="dxa"/>
            <w:bottom w:w="0" w:type="dxa"/>
            <w:right w:w="0" w:type="dxa"/>
          </w:tblCellMar>
        </w:tblPrEx>
        <w:trPr>
          <w:trHeight w:val="1297" w:hRule="atLeast"/>
        </w:trPr>
        <w:tc>
          <w:tcPr>
            <w:tcW w:w="39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kern w:val="0"/>
                <w:sz w:val="24"/>
              </w:rPr>
            </w:pPr>
            <w:r>
              <w:rPr>
                <w:rFonts w:hint="eastAsia" w:ascii="宋体" w:hAnsi="宋体" w:cs="宋体"/>
                <w:color w:val="000000"/>
                <w:kern w:val="0"/>
                <w:sz w:val="24"/>
              </w:rPr>
              <w:t>……</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r>
      <w:tr>
        <w:tblPrEx>
          <w:tblLayout w:type="fixed"/>
          <w:tblCellMar>
            <w:top w:w="0" w:type="dxa"/>
            <w:left w:w="0" w:type="dxa"/>
            <w:bottom w:w="0" w:type="dxa"/>
            <w:right w:w="0" w:type="dxa"/>
          </w:tblCellMar>
        </w:tblPrEx>
        <w:trPr>
          <w:trHeight w:val="1050" w:hRule="atLeast"/>
        </w:trPr>
        <w:tc>
          <w:tcPr>
            <w:tcW w:w="39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cs="宋体"/>
                <w:color w:val="000000"/>
                <w:sz w:val="24"/>
              </w:rPr>
            </w:pPr>
          </w:p>
        </w:tc>
      </w:tr>
    </w:tbl>
    <w:p>
      <w:pPr>
        <w:rPr>
          <w:rFonts w:ascii="Calibri" w:hAnsi="Calibri"/>
        </w:rPr>
      </w:pPr>
    </w:p>
    <w:p>
      <w:pPr>
        <w:numPr>
          <w:ilvl w:val="0"/>
          <w:numId w:val="0"/>
        </w:numPr>
        <w:spacing w:line="580" w:lineRule="exact"/>
        <w:ind w:leftChars="200"/>
        <w:rPr>
          <w:rFonts w:hint="eastAsia" w:ascii="仿宋" w:hAnsi="仿宋" w:eastAsia="仿宋" w:cs="仿宋_GB2312"/>
          <w:sz w:val="32"/>
          <w:szCs w:val="32"/>
        </w:rPr>
      </w:pPr>
    </w:p>
    <w:p>
      <w:pPr>
        <w:tabs>
          <w:tab w:val="left" w:pos="312"/>
        </w:tabs>
        <w:spacing w:line="580" w:lineRule="exact"/>
        <w:rPr>
          <w:rFonts w:ascii="仿宋_GB2312" w:hAnsi="仿宋_GB2312" w:eastAsia="仿宋_GB2312" w:cs="仿宋_GB2312"/>
          <w:sz w:val="32"/>
          <w:szCs w:val="32"/>
        </w:rPr>
      </w:pPr>
    </w:p>
    <w:p>
      <w:pPr>
        <w:numPr>
          <w:ilvl w:val="0"/>
          <w:numId w:val="0"/>
        </w:numPr>
        <w:spacing w:line="580" w:lineRule="exact"/>
        <w:ind w:firstLine="643" w:firstLineChars="200"/>
        <w:rPr>
          <w:rFonts w:ascii="仿宋" w:hAnsi="仿宋" w:eastAsia="仿宋" w:cs="仿宋_GB2312"/>
          <w:sz w:val="32"/>
          <w:szCs w:val="32"/>
        </w:rPr>
      </w:pPr>
      <w:r>
        <w:rPr>
          <w:rFonts w:hint="eastAsia" w:ascii="仿宋" w:hAnsi="仿宋" w:eastAsia="仿宋" w:cs="楷体_GB2312"/>
          <w:b/>
          <w:bCs/>
          <w:sz w:val="32"/>
          <w:szCs w:val="32"/>
          <w:lang w:eastAsia="zh-CN"/>
        </w:rPr>
        <w:t>（三）</w:t>
      </w:r>
      <w:r>
        <w:rPr>
          <w:rFonts w:hint="eastAsia" w:ascii="仿宋" w:hAnsi="仿宋" w:eastAsia="仿宋" w:cs="楷体_GB2312"/>
          <w:b/>
          <w:bCs/>
          <w:sz w:val="32"/>
          <w:szCs w:val="32"/>
        </w:rPr>
        <w:t>部门开展绩效评价结果。</w:t>
      </w:r>
    </w:p>
    <w:p>
      <w:pPr>
        <w:spacing w:line="580" w:lineRule="exact"/>
        <w:ind w:firstLine="640" w:firstLineChars="200"/>
        <w:rPr>
          <w:rFonts w:hint="eastAsia" w:ascii="仿宋" w:hAnsi="仿宋" w:eastAsia="仿宋" w:cs="仿宋_GB2312"/>
          <w:sz w:val="32"/>
          <w:szCs w:val="32"/>
        </w:rPr>
      </w:pPr>
      <w:r>
        <w:rPr>
          <w:rFonts w:hint="eastAsia" w:ascii="仿宋" w:hAnsi="仿宋" w:eastAsia="仿宋"/>
          <w:sz w:val="32"/>
          <w:szCs w:val="32"/>
        </w:rPr>
        <w:t>从整体情况来看，我校严格按照年初预算进行部门整体支出。在支出过程中，能严格遵守各项规章制度，所有项目详细制定了方案，并严格按照方案执行，并加强了监督，在专项经费支出上我校坚持专款专用，并按照实施计划进行资金拨付、无挪用等现象，实行了先有预算、后有执行的常态。</w:t>
      </w:r>
      <w:r>
        <w:rPr>
          <w:rFonts w:hint="eastAsia" w:ascii="仿宋" w:hAnsi="仿宋" w:eastAsia="仿宋" w:cs="仿宋_GB2312"/>
          <w:sz w:val="32"/>
          <w:szCs w:val="32"/>
        </w:rPr>
        <w:t>《</w:t>
      </w:r>
      <w:r>
        <w:rPr>
          <w:rFonts w:hint="eastAsia" w:ascii="仿宋" w:hAnsi="仿宋" w:eastAsia="仿宋" w:cs="仿宋_GB2312"/>
          <w:sz w:val="32"/>
          <w:szCs w:val="32"/>
          <w:lang w:eastAsia="zh-CN"/>
        </w:rPr>
        <w:t>万源市柳黄乡中心小学校</w:t>
      </w:r>
      <w:r>
        <w:rPr>
          <w:rFonts w:hint="eastAsia" w:ascii="仿宋" w:hAnsi="仿宋" w:eastAsia="仿宋" w:cs="仿宋_GB2312"/>
          <w:sz w:val="32"/>
          <w:szCs w:val="32"/>
        </w:rPr>
        <w:t>部门</w:t>
      </w:r>
      <w:r>
        <w:rPr>
          <w:rFonts w:ascii="仿宋" w:hAnsi="仿宋" w:eastAsia="仿宋" w:cs="仿宋_GB2312"/>
          <w:sz w:val="32"/>
          <w:szCs w:val="32"/>
        </w:rPr>
        <w:t>201</w:t>
      </w:r>
      <w:r>
        <w:rPr>
          <w:rFonts w:hint="eastAsia" w:ascii="仿宋" w:hAnsi="仿宋" w:eastAsia="仿宋" w:cs="仿宋_GB2312"/>
          <w:sz w:val="32"/>
          <w:szCs w:val="32"/>
          <w:lang w:val="en-US" w:eastAsia="zh-CN"/>
        </w:rPr>
        <w:t>9</w:t>
      </w:r>
      <w:r>
        <w:rPr>
          <w:rFonts w:hint="eastAsia" w:ascii="仿宋" w:hAnsi="仿宋" w:eastAsia="仿宋" w:cs="仿宋_GB2312"/>
          <w:sz w:val="32"/>
          <w:szCs w:val="32"/>
        </w:rPr>
        <w:t>年部门整体支出绩效评价报告》见附件。</w:t>
      </w:r>
    </w:p>
    <w:p>
      <w:pPr>
        <w:numPr>
          <w:ilvl w:val="0"/>
          <w:numId w:val="3"/>
        </w:numPr>
        <w:spacing w:line="580" w:lineRule="exact"/>
        <w:ind w:left="1429" w:leftChars="0" w:hanging="720" w:firstLineChars="0"/>
        <w:rPr>
          <w:rStyle w:val="30"/>
          <w:rFonts w:hint="eastAsia" w:ascii="黑体" w:hAnsi="黑体" w:eastAsia="黑体"/>
          <w:b w:val="0"/>
        </w:rPr>
      </w:pPr>
      <w:bookmarkStart w:id="50" w:name="_Toc15377221"/>
      <w:bookmarkStart w:id="51" w:name="_Toc15396612"/>
      <w:r>
        <w:rPr>
          <w:rStyle w:val="30"/>
          <w:rFonts w:hint="eastAsia" w:ascii="黑体" w:hAnsi="黑体" w:eastAsia="黑体"/>
          <w:b w:val="0"/>
        </w:rPr>
        <w:t>其他重要事项的情况说明</w:t>
      </w:r>
      <w:bookmarkEnd w:id="50"/>
      <w:bookmarkEnd w:id="51"/>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52" w:name="_Toc15377223"/>
      <w:r>
        <w:rPr>
          <w:rFonts w:hint="eastAsia" w:ascii="仿宋" w:hAnsi="仿宋" w:eastAsia="仿宋"/>
          <w:b/>
          <w:color w:val="000000"/>
          <w:sz w:val="32"/>
          <w:szCs w:val="32"/>
        </w:rPr>
        <w:t>（二）政府采购支出情况</w:t>
      </w:r>
      <w:bookmarkEnd w:id="52"/>
    </w:p>
    <w:p>
      <w:pPr>
        <w:numPr>
          <w:ilvl w:val="0"/>
          <w:numId w:val="0"/>
        </w:numPr>
        <w:spacing w:line="580" w:lineRule="exact"/>
        <w:ind w:firstLine="640" w:firstLineChars="200"/>
        <w:rPr>
          <w:rStyle w:val="30"/>
          <w:rFonts w:hint="eastAsia" w:ascii="黑体" w:hAnsi="黑体" w:eastAsia="仿宋_GB2312"/>
          <w:b w:val="0"/>
          <w:lang w:eastAsia="zh-CN"/>
        </w:rPr>
      </w:pPr>
      <w:r>
        <w:rPr>
          <w:rFonts w:ascii="仿宋_GB2312" w:eastAsia="仿宋_GB2312"/>
          <w:color w:val="000000"/>
          <w:sz w:val="32"/>
          <w:szCs w:val="32"/>
        </w:rPr>
        <w:t>201</w:t>
      </w:r>
      <w:r>
        <w:rPr>
          <w:rFonts w:hint="eastAsia" w:ascii="仿宋_GB2312" w:eastAsia="仿宋_GB2312"/>
          <w:color w:val="000000"/>
          <w:sz w:val="32"/>
          <w:szCs w:val="32"/>
          <w:lang w:val="en-US" w:eastAsia="zh-CN"/>
        </w:rPr>
        <w:t>9</w:t>
      </w:r>
      <w:r>
        <w:rPr>
          <w:rFonts w:hint="eastAsia" w:ascii="仿宋_GB2312" w:eastAsia="仿宋_GB2312"/>
          <w:color w:val="000000"/>
          <w:sz w:val="32"/>
          <w:szCs w:val="32"/>
        </w:rPr>
        <w:t>年，</w:t>
      </w:r>
      <w:r>
        <w:rPr>
          <w:rFonts w:hint="eastAsia" w:ascii="仿宋_GB2312" w:eastAsia="仿宋_GB2312"/>
          <w:color w:val="000000"/>
          <w:sz w:val="32"/>
          <w:szCs w:val="32"/>
          <w:lang w:eastAsia="zh-CN"/>
        </w:rPr>
        <w:t>万源市柳黄乡中心小学校无</w:t>
      </w:r>
      <w:r>
        <w:rPr>
          <w:rFonts w:hint="eastAsia" w:ascii="仿宋_GB2312" w:eastAsia="仿宋_GB2312"/>
          <w:color w:val="000000"/>
          <w:sz w:val="32"/>
          <w:szCs w:val="32"/>
        </w:rPr>
        <w:t>政府采购支出</w:t>
      </w:r>
      <w:r>
        <w:rPr>
          <w:rFonts w:hint="eastAsia" w:ascii="仿宋_GB2312" w:eastAsia="仿宋_GB2312"/>
          <w:color w:val="000000"/>
          <w:sz w:val="32"/>
          <w:szCs w:val="32"/>
          <w:lang w:eastAsia="zh-CN"/>
        </w:rPr>
        <w:t>。</w:t>
      </w:r>
    </w:p>
    <w:p>
      <w:pPr>
        <w:spacing w:line="580" w:lineRule="exact"/>
        <w:jc w:val="center"/>
        <w:rPr>
          <w:rFonts w:ascii="仿宋_GB2312" w:hAnsi="仿宋_GB2312" w:eastAsia="仿宋_GB2312" w:cs="仿宋_GB2312"/>
          <w:sz w:val="32"/>
          <w:szCs w:val="32"/>
        </w:rPr>
      </w:pPr>
    </w:p>
    <w:p>
      <w:pPr>
        <w:spacing w:line="580" w:lineRule="exact"/>
        <w:jc w:val="center"/>
        <w:rPr>
          <w:rFonts w:ascii="仿宋_GB2312" w:hAnsi="仿宋_GB2312" w:eastAsia="仿宋_GB2312" w:cs="仿宋_GB2312"/>
          <w:sz w:val="32"/>
          <w:szCs w:val="32"/>
        </w:rPr>
      </w:pPr>
    </w:p>
    <w:p>
      <w:pPr>
        <w:spacing w:line="580" w:lineRule="exact"/>
        <w:jc w:val="center"/>
        <w:rPr>
          <w:rFonts w:ascii="仿宋_GB2312" w:hAnsi="仿宋_GB2312" w:eastAsia="仿宋_GB2312" w:cs="仿宋_GB2312"/>
          <w:sz w:val="32"/>
          <w:szCs w:val="32"/>
        </w:rPr>
      </w:pPr>
    </w:p>
    <w:p>
      <w:pPr>
        <w:spacing w:line="580" w:lineRule="exact"/>
        <w:jc w:val="center"/>
        <w:rPr>
          <w:rFonts w:ascii="仿宋_GB2312" w:hAnsi="仿宋_GB2312" w:eastAsia="仿宋_GB2312" w:cs="仿宋_GB2312"/>
          <w:sz w:val="32"/>
          <w:szCs w:val="32"/>
        </w:rPr>
      </w:pPr>
    </w:p>
    <w:p>
      <w:pPr>
        <w:spacing w:line="580" w:lineRule="exact"/>
        <w:jc w:val="both"/>
        <w:rPr>
          <w:rFonts w:ascii="方正小标宋简体" w:hAnsi="方正小标宋简体" w:eastAsia="方正小标宋简体" w:cs="方正小标宋简体"/>
          <w:sz w:val="44"/>
          <w:szCs w:val="44"/>
        </w:rPr>
      </w:pPr>
    </w:p>
    <w:p>
      <w:pPr>
        <w:spacing w:line="580" w:lineRule="exact"/>
        <w:jc w:val="center"/>
        <w:rPr>
          <w:rFonts w:ascii="方正小标宋简体" w:hAnsi="方正小标宋简体" w:eastAsia="方正小标宋简体" w:cs="方正小标宋简体"/>
          <w:sz w:val="44"/>
          <w:szCs w:val="44"/>
        </w:rPr>
      </w:pPr>
    </w:p>
    <w:p>
      <w:pPr>
        <w:spacing w:line="580" w:lineRule="exact"/>
        <w:jc w:val="both"/>
        <w:rPr>
          <w:rFonts w:ascii="方正小标宋简体" w:hAnsi="方正小标宋简体" w:eastAsia="方正小标宋简体" w:cs="方正小标宋简体"/>
          <w:sz w:val="44"/>
          <w:szCs w:val="44"/>
        </w:rPr>
      </w:pPr>
    </w:p>
    <w:p>
      <w:pPr>
        <w:spacing w:line="580" w:lineRule="exact"/>
        <w:jc w:val="both"/>
        <w:rPr>
          <w:rFonts w:ascii="方正小标宋简体" w:hAnsi="方正小标宋简体" w:eastAsia="方正小标宋简体" w:cs="方正小标宋简体"/>
          <w:sz w:val="44"/>
          <w:szCs w:val="44"/>
        </w:rPr>
      </w:pPr>
    </w:p>
    <w:p>
      <w:pPr>
        <w:spacing w:line="580" w:lineRule="exact"/>
        <w:jc w:val="both"/>
        <w:rPr>
          <w:rFonts w:ascii="方正小标宋简体" w:hAnsi="方正小标宋简体" w:eastAsia="方正小标宋简体" w:cs="方正小标宋简体"/>
          <w:sz w:val="44"/>
          <w:szCs w:val="44"/>
        </w:rPr>
      </w:pPr>
    </w:p>
    <w:p>
      <w:pPr>
        <w:spacing w:line="580" w:lineRule="exact"/>
        <w:jc w:val="both"/>
        <w:rPr>
          <w:rFonts w:ascii="方正小标宋简体" w:hAnsi="方正小标宋简体" w:eastAsia="方正小标宋简体" w:cs="方正小标宋简体"/>
          <w:sz w:val="44"/>
          <w:szCs w:val="44"/>
        </w:rPr>
      </w:pPr>
    </w:p>
    <w:p>
      <w:pPr>
        <w:spacing w:line="580" w:lineRule="exact"/>
        <w:jc w:val="both"/>
        <w:rPr>
          <w:rFonts w:ascii="方正小标宋简体" w:hAnsi="方正小标宋简体" w:eastAsia="方正小标宋简体" w:cs="方正小标宋简体"/>
          <w:sz w:val="44"/>
          <w:szCs w:val="44"/>
        </w:rPr>
      </w:pPr>
    </w:p>
    <w:p>
      <w:pPr>
        <w:spacing w:line="580" w:lineRule="exact"/>
        <w:jc w:val="both"/>
        <w:rPr>
          <w:rFonts w:ascii="方正小标宋简体" w:hAnsi="方正小标宋简体" w:eastAsia="方正小标宋简体" w:cs="方正小标宋简体"/>
          <w:sz w:val="44"/>
          <w:szCs w:val="44"/>
        </w:rPr>
      </w:pPr>
    </w:p>
    <w:p>
      <w:pPr>
        <w:spacing w:line="580" w:lineRule="exact"/>
        <w:jc w:val="both"/>
        <w:rPr>
          <w:rFonts w:ascii="方正小标宋简体" w:hAnsi="方正小标宋简体" w:eastAsia="方正小标宋简体" w:cs="方正小标宋简体"/>
          <w:sz w:val="44"/>
          <w:szCs w:val="44"/>
        </w:rPr>
      </w:pPr>
    </w:p>
    <w:p>
      <w:pPr>
        <w:spacing w:line="580" w:lineRule="exact"/>
        <w:jc w:val="both"/>
        <w:rPr>
          <w:rFonts w:ascii="方正小标宋简体" w:hAnsi="方正小标宋简体" w:eastAsia="方正小标宋简体" w:cs="方正小标宋简体"/>
          <w:sz w:val="44"/>
          <w:szCs w:val="44"/>
        </w:rPr>
      </w:pPr>
    </w:p>
    <w:p>
      <w:pPr>
        <w:spacing w:line="580" w:lineRule="exact"/>
        <w:jc w:val="both"/>
        <w:rPr>
          <w:rFonts w:ascii="方正小标宋简体" w:hAnsi="方正小标宋简体" w:eastAsia="方正小标宋简体" w:cs="方正小标宋简体"/>
          <w:sz w:val="44"/>
          <w:szCs w:val="44"/>
        </w:rPr>
      </w:pPr>
    </w:p>
    <w:p>
      <w:pPr>
        <w:spacing w:line="580" w:lineRule="exact"/>
        <w:jc w:val="both"/>
        <w:rPr>
          <w:rFonts w:ascii="方正小标宋简体" w:hAnsi="方正小标宋简体" w:eastAsia="方正小标宋简体" w:cs="方正小标宋简体"/>
          <w:sz w:val="44"/>
          <w:szCs w:val="44"/>
        </w:rPr>
      </w:pPr>
    </w:p>
    <w:p>
      <w:pPr>
        <w:spacing w:line="580" w:lineRule="exact"/>
        <w:jc w:val="center"/>
        <w:rPr>
          <w:rFonts w:ascii="方正小标宋简体" w:hAnsi="方正小标宋简体" w:eastAsia="方正小标宋简体" w:cs="方正小标宋简体"/>
          <w:sz w:val="44"/>
          <w:szCs w:val="44"/>
        </w:rPr>
      </w:pPr>
    </w:p>
    <w:p>
      <w:pPr>
        <w:numPr>
          <w:ilvl w:val="0"/>
          <w:numId w:val="5"/>
        </w:numPr>
        <w:spacing w:line="600" w:lineRule="exact"/>
        <w:ind w:firstLine="663" w:firstLineChars="150"/>
        <w:jc w:val="center"/>
        <w:outlineLvl w:val="0"/>
        <w:rPr>
          <w:rStyle w:val="17"/>
          <w:rFonts w:ascii="黑体" w:hAnsi="黑体" w:eastAsia="黑体"/>
          <w:b w:val="0"/>
        </w:rPr>
      </w:pPr>
      <w:bookmarkStart w:id="53" w:name="_Toc15396613"/>
      <w:bookmarkStart w:id="54" w:name="_Toc15377225"/>
      <w:r>
        <w:rPr>
          <w:rFonts w:hint="eastAsia" w:ascii="黑体" w:hAnsi="黑体" w:eastAsia="黑体"/>
          <w:b/>
          <w:color w:val="000000"/>
          <w:sz w:val="44"/>
          <w:szCs w:val="44"/>
        </w:rPr>
        <w:t>名</w:t>
      </w:r>
      <w:r>
        <w:rPr>
          <w:rStyle w:val="17"/>
          <w:rFonts w:hint="eastAsia" w:ascii="黑体" w:hAnsi="黑体" w:eastAsia="黑体"/>
          <w:b w:val="0"/>
        </w:rPr>
        <w:t>词解释</w:t>
      </w:r>
      <w:bookmarkEnd w:id="53"/>
      <w:bookmarkEnd w:id="54"/>
    </w:p>
    <w:p>
      <w:pPr>
        <w:spacing w:line="600" w:lineRule="exact"/>
        <w:jc w:val="left"/>
        <w:rPr>
          <w:rFonts w:ascii="宋体"/>
          <w:b/>
          <w:color w:val="000000"/>
          <w:sz w:val="44"/>
          <w:szCs w:val="44"/>
        </w:rPr>
      </w:pPr>
    </w:p>
    <w:p>
      <w:pPr>
        <w:pStyle w:val="26"/>
        <w:spacing w:line="360" w:lineRule="auto"/>
        <w:ind w:firstLine="640" w:firstLineChars="200"/>
        <w:rPr>
          <w:rFonts w:hAnsi="仿宋" w:cs="仿宋_GB2312"/>
          <w:sz w:val="32"/>
          <w:szCs w:val="32"/>
        </w:rPr>
      </w:pPr>
      <w:bookmarkStart w:id="55" w:name="_Toc15396614"/>
      <w:bookmarkStart w:id="56" w:name="_Toc15377226"/>
      <w:r>
        <w:rPr>
          <w:rFonts w:hint="eastAsia" w:hAnsi="仿宋" w:cs="仿宋_GB2312"/>
          <w:sz w:val="32"/>
          <w:szCs w:val="32"/>
        </w:rPr>
        <w:t>1.财政拨款收入：指单位从同级财政部门取得的财政预算资金。</w:t>
      </w:r>
    </w:p>
    <w:p>
      <w:pPr>
        <w:pStyle w:val="26"/>
        <w:spacing w:line="360" w:lineRule="auto"/>
        <w:ind w:firstLine="640" w:firstLineChars="200"/>
        <w:rPr>
          <w:rFonts w:hAnsi="仿宋" w:cs="仿宋_GB2312"/>
          <w:sz w:val="32"/>
          <w:szCs w:val="32"/>
        </w:rPr>
      </w:pPr>
      <w:r>
        <w:rPr>
          <w:rFonts w:hint="eastAsia" w:hAnsi="仿宋" w:cs="仿宋_GB2312"/>
          <w:sz w:val="32"/>
          <w:szCs w:val="32"/>
        </w:rPr>
        <w:t>2.事业收入：指事业单位开展专业业务活动及辅助活动取得的收入。</w:t>
      </w:r>
    </w:p>
    <w:p>
      <w:pPr>
        <w:pStyle w:val="26"/>
        <w:spacing w:line="360" w:lineRule="auto"/>
        <w:ind w:firstLine="640" w:firstLineChars="200"/>
        <w:rPr>
          <w:rFonts w:hAnsi="仿宋" w:cs="仿宋_GB2312"/>
          <w:sz w:val="32"/>
          <w:szCs w:val="32"/>
        </w:rPr>
      </w:pPr>
      <w:r>
        <w:rPr>
          <w:rFonts w:hint="eastAsia" w:hAnsi="仿宋" w:cs="仿宋_GB2312"/>
          <w:sz w:val="32"/>
          <w:szCs w:val="32"/>
        </w:rPr>
        <w:t>3.经营收入：指事业单位在专业业务活动及其辅助活动之外开展非独立核算经营活动取得的收入。</w:t>
      </w:r>
    </w:p>
    <w:p>
      <w:pPr>
        <w:pStyle w:val="26"/>
        <w:spacing w:line="360" w:lineRule="auto"/>
        <w:ind w:firstLine="640" w:firstLineChars="200"/>
        <w:rPr>
          <w:rFonts w:hAnsi="仿宋" w:cs="仿宋_GB2312"/>
          <w:sz w:val="32"/>
          <w:szCs w:val="32"/>
        </w:rPr>
      </w:pPr>
      <w:r>
        <w:rPr>
          <w:rFonts w:hint="eastAsia" w:hAnsi="仿宋" w:cs="仿宋_GB2312"/>
          <w:sz w:val="32"/>
          <w:szCs w:val="32"/>
        </w:rPr>
        <w:t>4.其他收入：指单位取得的除上述收入以外的各项收入。</w:t>
      </w:r>
    </w:p>
    <w:p>
      <w:pPr>
        <w:pStyle w:val="26"/>
        <w:spacing w:line="360" w:lineRule="auto"/>
        <w:ind w:firstLine="640" w:firstLineChars="200"/>
        <w:rPr>
          <w:rFonts w:hAnsi="仿宋" w:cs="仿宋_GB2312"/>
          <w:sz w:val="32"/>
          <w:szCs w:val="32"/>
        </w:rPr>
      </w:pPr>
      <w:r>
        <w:rPr>
          <w:rFonts w:hint="eastAsia" w:hAnsi="仿宋" w:cs="仿宋_GB2312"/>
          <w:sz w:val="32"/>
          <w:szCs w:val="32"/>
        </w:rPr>
        <w:t xml:space="preserve">5.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pStyle w:val="26"/>
        <w:spacing w:line="360" w:lineRule="auto"/>
        <w:ind w:firstLine="640" w:firstLineChars="200"/>
        <w:rPr>
          <w:rFonts w:hAnsi="仿宋" w:cs="仿宋_GB2312"/>
          <w:sz w:val="32"/>
          <w:szCs w:val="32"/>
        </w:rPr>
      </w:pPr>
      <w:r>
        <w:rPr>
          <w:rFonts w:hint="eastAsia" w:hAnsi="仿宋" w:cs="仿宋_GB2312"/>
          <w:sz w:val="32"/>
          <w:szCs w:val="32"/>
        </w:rPr>
        <w:t xml:space="preserve">6.年初结转和结余：指以前年度尚未完成、结转到本年按有关规定继续使用的资金。 </w:t>
      </w:r>
    </w:p>
    <w:p>
      <w:pPr>
        <w:pStyle w:val="26"/>
        <w:spacing w:line="360" w:lineRule="auto"/>
        <w:ind w:firstLine="640" w:firstLineChars="200"/>
        <w:rPr>
          <w:rFonts w:hAnsi="仿宋" w:cs="仿宋_GB2312"/>
          <w:sz w:val="32"/>
          <w:szCs w:val="32"/>
        </w:rPr>
      </w:pPr>
      <w:r>
        <w:rPr>
          <w:rFonts w:hint="eastAsia" w:hAnsi="仿宋" w:cs="仿宋_GB2312"/>
          <w:sz w:val="32"/>
          <w:szCs w:val="32"/>
        </w:rPr>
        <w:t>7.结余分配：指事业单位按照事业单位会计制度的规定从非财政补助结余中分配的事业基金和职工福利基金等。</w:t>
      </w:r>
    </w:p>
    <w:p>
      <w:pPr>
        <w:pStyle w:val="26"/>
        <w:spacing w:line="360" w:lineRule="auto"/>
        <w:ind w:firstLine="640" w:firstLineChars="200"/>
        <w:rPr>
          <w:rFonts w:hAnsi="仿宋" w:cs="仿宋_GB2312"/>
          <w:sz w:val="32"/>
          <w:szCs w:val="32"/>
        </w:rPr>
      </w:pPr>
      <w:r>
        <w:rPr>
          <w:rFonts w:hint="eastAsia" w:hAnsi="仿宋" w:cs="仿宋_GB2312"/>
          <w:sz w:val="32"/>
          <w:szCs w:val="32"/>
        </w:rPr>
        <w:t>8、年末结转和结余：指单位按有关规定结转到下年或以后年度继续使用的资金。</w:t>
      </w:r>
    </w:p>
    <w:p>
      <w:pPr>
        <w:spacing w:line="360" w:lineRule="auto"/>
        <w:ind w:firstLine="640" w:firstLineChars="200"/>
        <w:rPr>
          <w:rStyle w:val="14"/>
          <w:rFonts w:ascii="仿宋" w:hAnsi="仿宋" w:eastAsia="仿宋" w:cs="仿宋_GB2312"/>
          <w:b w:val="0"/>
          <w:bCs/>
          <w:color w:val="000000"/>
          <w:sz w:val="32"/>
          <w:szCs w:val="32"/>
        </w:rPr>
      </w:pPr>
      <w:r>
        <w:rPr>
          <w:rFonts w:hint="eastAsia" w:ascii="仿宋" w:hAnsi="仿宋" w:eastAsia="仿宋" w:cs="仿宋_GB2312"/>
          <w:color w:val="000000"/>
          <w:kern w:val="0"/>
          <w:sz w:val="32"/>
          <w:szCs w:val="32"/>
        </w:rPr>
        <w:t>9、教育支出</w:t>
      </w:r>
      <w:r>
        <w:rPr>
          <w:rStyle w:val="14"/>
          <w:rFonts w:hint="eastAsia" w:ascii="仿宋" w:hAnsi="仿宋" w:eastAsia="仿宋" w:cs="仿宋_GB2312"/>
          <w:b w:val="0"/>
          <w:bCs/>
          <w:color w:val="000000"/>
          <w:sz w:val="32"/>
          <w:szCs w:val="32"/>
        </w:rPr>
        <w:t xml:space="preserve"> </w:t>
      </w:r>
    </w:p>
    <w:p>
      <w:pPr>
        <w:spacing w:line="360" w:lineRule="auto"/>
        <w:ind w:firstLine="640" w:firstLineChars="200"/>
        <w:rPr>
          <w:rStyle w:val="14"/>
          <w:rFonts w:ascii="仿宋" w:hAnsi="仿宋" w:eastAsia="仿宋" w:cs="仿宋_GB2312"/>
          <w:b w:val="0"/>
          <w:bCs/>
          <w:color w:val="000000"/>
          <w:sz w:val="32"/>
          <w:szCs w:val="32"/>
        </w:rPr>
      </w:pPr>
      <w:r>
        <w:rPr>
          <w:rStyle w:val="14"/>
          <w:rFonts w:hint="eastAsia" w:ascii="仿宋" w:hAnsi="仿宋" w:eastAsia="仿宋" w:cs="仿宋_GB2312"/>
          <w:b w:val="0"/>
          <w:bCs/>
          <w:color w:val="000000"/>
          <w:sz w:val="32"/>
          <w:szCs w:val="32"/>
        </w:rPr>
        <w:t>教育（类）205（款）02（项）0</w:t>
      </w:r>
      <w:r>
        <w:rPr>
          <w:rStyle w:val="14"/>
          <w:rFonts w:hint="eastAsia" w:ascii="仿宋" w:hAnsi="仿宋" w:eastAsia="仿宋" w:cs="仿宋_GB2312"/>
          <w:b w:val="0"/>
          <w:bCs/>
          <w:color w:val="000000"/>
          <w:sz w:val="32"/>
          <w:szCs w:val="32"/>
          <w:lang w:val="en-US" w:eastAsia="zh-CN"/>
        </w:rPr>
        <w:t>2</w:t>
      </w:r>
      <w:r>
        <w:rPr>
          <w:rStyle w:val="14"/>
          <w:rFonts w:hint="eastAsia" w:ascii="仿宋" w:hAnsi="仿宋" w:eastAsia="仿宋" w:cs="仿宋_GB2312"/>
          <w:b w:val="0"/>
          <w:bCs/>
          <w:color w:val="000000"/>
          <w:sz w:val="32"/>
          <w:szCs w:val="32"/>
        </w:rPr>
        <w:t>:</w:t>
      </w:r>
      <w:r>
        <w:rPr>
          <w:rStyle w:val="14"/>
          <w:rFonts w:hint="eastAsia" w:ascii="仿宋" w:hAnsi="仿宋" w:eastAsia="仿宋" w:cs="仿宋_GB2312"/>
          <w:b w:val="0"/>
          <w:bCs/>
          <w:color w:val="000000"/>
          <w:sz w:val="32"/>
          <w:szCs w:val="32"/>
          <w:lang w:eastAsia="zh-CN"/>
        </w:rPr>
        <w:t>小学</w:t>
      </w:r>
      <w:r>
        <w:rPr>
          <w:rStyle w:val="14"/>
          <w:rFonts w:hint="eastAsia" w:ascii="仿宋" w:hAnsi="仿宋" w:eastAsia="仿宋" w:cs="仿宋_GB2312"/>
          <w:b w:val="0"/>
          <w:bCs/>
          <w:color w:val="000000"/>
          <w:sz w:val="32"/>
          <w:szCs w:val="32"/>
        </w:rPr>
        <w:t>教育支出。</w:t>
      </w:r>
    </w:p>
    <w:p>
      <w:pPr>
        <w:spacing w:line="360" w:lineRule="auto"/>
        <w:ind w:firstLine="640" w:firstLineChars="200"/>
        <w:rPr>
          <w:rStyle w:val="14"/>
          <w:rFonts w:ascii="仿宋" w:hAnsi="仿宋" w:eastAsia="仿宋" w:cs="仿宋_GB2312"/>
          <w:b w:val="0"/>
          <w:bCs/>
          <w:color w:val="000000"/>
          <w:sz w:val="32"/>
          <w:szCs w:val="32"/>
        </w:rPr>
      </w:pPr>
      <w:r>
        <w:rPr>
          <w:rStyle w:val="14"/>
          <w:rFonts w:hint="eastAsia" w:ascii="仿宋" w:hAnsi="仿宋" w:eastAsia="仿宋" w:cs="仿宋_GB2312"/>
          <w:b w:val="0"/>
          <w:color w:val="000000"/>
          <w:sz w:val="32"/>
          <w:szCs w:val="32"/>
        </w:rPr>
        <w:t>10、</w:t>
      </w:r>
      <w:r>
        <w:rPr>
          <w:rStyle w:val="14"/>
          <w:rFonts w:hint="eastAsia" w:ascii="仿宋" w:hAnsi="仿宋" w:eastAsia="仿宋" w:cs="仿宋_GB2312"/>
          <w:b w:val="0"/>
          <w:bCs/>
          <w:color w:val="000000"/>
          <w:sz w:val="32"/>
          <w:szCs w:val="32"/>
        </w:rPr>
        <w:t>社会保障和就业支出</w:t>
      </w:r>
    </w:p>
    <w:p>
      <w:pPr>
        <w:spacing w:line="360" w:lineRule="auto"/>
        <w:ind w:firstLine="640" w:firstLineChars="200"/>
        <w:rPr>
          <w:rStyle w:val="14"/>
          <w:rFonts w:ascii="仿宋" w:hAnsi="仿宋" w:eastAsia="仿宋" w:cs="仿宋_GB2312"/>
          <w:b w:val="0"/>
          <w:bCs/>
          <w:color w:val="000000"/>
          <w:sz w:val="32"/>
          <w:szCs w:val="32"/>
        </w:rPr>
      </w:pPr>
      <w:r>
        <w:rPr>
          <w:rStyle w:val="14"/>
          <w:rFonts w:hint="eastAsia" w:ascii="仿宋" w:hAnsi="仿宋" w:eastAsia="仿宋" w:cs="仿宋_GB2312"/>
          <w:b w:val="0"/>
          <w:bCs/>
          <w:color w:val="000000"/>
          <w:sz w:val="32"/>
          <w:szCs w:val="32"/>
        </w:rPr>
        <w:t>社会保障和就业（类）208（款）08（项）01: 死亡抚恤支出，</w:t>
      </w:r>
    </w:p>
    <w:p>
      <w:pPr>
        <w:spacing w:line="360" w:lineRule="auto"/>
        <w:ind w:firstLine="640" w:firstLineChars="200"/>
        <w:rPr>
          <w:rStyle w:val="14"/>
          <w:rFonts w:ascii="仿宋" w:hAnsi="仿宋" w:eastAsia="仿宋" w:cs="仿宋_GB2312"/>
          <w:b w:val="0"/>
          <w:bCs/>
          <w:color w:val="000000"/>
          <w:sz w:val="32"/>
          <w:szCs w:val="32"/>
        </w:rPr>
      </w:pPr>
      <w:r>
        <w:rPr>
          <w:rStyle w:val="14"/>
          <w:rFonts w:hint="eastAsia" w:ascii="仿宋" w:hAnsi="仿宋" w:eastAsia="仿宋" w:cs="仿宋_GB2312"/>
          <w:b w:val="0"/>
          <w:bCs/>
          <w:color w:val="000000"/>
          <w:sz w:val="32"/>
          <w:szCs w:val="32"/>
        </w:rPr>
        <w:t>11、住房保障支出</w:t>
      </w:r>
    </w:p>
    <w:p>
      <w:pPr>
        <w:spacing w:line="360" w:lineRule="auto"/>
        <w:ind w:firstLine="640" w:firstLineChars="200"/>
        <w:rPr>
          <w:rFonts w:ascii="仿宋" w:hAnsi="仿宋" w:eastAsia="仿宋" w:cs="仿宋_GB2312"/>
          <w:sz w:val="32"/>
          <w:szCs w:val="32"/>
        </w:rPr>
      </w:pPr>
      <w:r>
        <w:rPr>
          <w:rStyle w:val="14"/>
          <w:rFonts w:hint="eastAsia" w:ascii="仿宋" w:hAnsi="仿宋" w:eastAsia="仿宋" w:cs="仿宋_GB2312"/>
          <w:b w:val="0"/>
          <w:bCs/>
          <w:color w:val="000000"/>
          <w:sz w:val="32"/>
          <w:szCs w:val="32"/>
        </w:rPr>
        <w:t>住房保障支出（类）221（款）02（项）01:住房公积金支出。</w:t>
      </w:r>
    </w:p>
    <w:p>
      <w:pPr>
        <w:spacing w:line="360" w:lineRule="auto"/>
        <w:ind w:firstLine="640" w:firstLineChars="200"/>
        <w:rPr>
          <w:rFonts w:ascii="仿宋" w:hAnsi="仿宋" w:eastAsia="仿宋" w:cs="仿宋_GB2312"/>
          <w:color w:val="000000"/>
          <w:sz w:val="32"/>
          <w:szCs w:val="32"/>
        </w:rPr>
      </w:pPr>
      <w:r>
        <w:rPr>
          <w:rFonts w:hint="eastAsia" w:ascii="仿宋" w:hAnsi="仿宋" w:eastAsia="仿宋" w:cs="仿宋_GB2312"/>
          <w:color w:val="000000"/>
          <w:sz w:val="32"/>
          <w:szCs w:val="32"/>
        </w:rPr>
        <w:t>12.基本支出：指为保障机构正常运转、完成日常工作任务而发生的人员支出和公用支出。</w:t>
      </w:r>
    </w:p>
    <w:p>
      <w:pPr>
        <w:spacing w:line="360" w:lineRule="auto"/>
        <w:ind w:firstLine="640" w:firstLineChars="200"/>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13.项目支出：指在基本支出之外为完成特定行政任务和事业发展目标所发生的支出。 </w:t>
      </w:r>
    </w:p>
    <w:p>
      <w:pPr>
        <w:spacing w:line="360" w:lineRule="auto"/>
        <w:ind w:firstLine="640" w:firstLineChars="200"/>
        <w:rPr>
          <w:rFonts w:ascii="仿宋" w:hAnsi="仿宋" w:eastAsia="仿宋" w:cs="仿宋_GB2312"/>
          <w:color w:val="000000"/>
          <w:sz w:val="32"/>
          <w:szCs w:val="32"/>
        </w:rPr>
      </w:pPr>
      <w:r>
        <w:rPr>
          <w:rFonts w:hint="eastAsia" w:ascii="仿宋" w:hAnsi="仿宋" w:eastAsia="仿宋" w:cs="仿宋_GB2312"/>
          <w:color w:val="000000"/>
          <w:sz w:val="32"/>
          <w:szCs w:val="32"/>
        </w:rPr>
        <w:t>14.经营支出：指事业单位在专业业务活动及其辅助活动之外开展非独立核算经营活动发生的支出。</w:t>
      </w:r>
    </w:p>
    <w:p>
      <w:pPr>
        <w:pStyle w:val="26"/>
        <w:spacing w:line="360" w:lineRule="auto"/>
        <w:ind w:firstLine="640" w:firstLineChars="200"/>
        <w:rPr>
          <w:rFonts w:hAnsi="仿宋" w:cs="仿宋_GB2312"/>
          <w:sz w:val="32"/>
          <w:szCs w:val="32"/>
        </w:rPr>
      </w:pPr>
      <w:r>
        <w:rPr>
          <w:rFonts w:hint="eastAsia" w:hAnsi="仿宋" w:cs="仿宋_GB2312"/>
          <w:sz w:val="32"/>
          <w:szCs w:val="32"/>
        </w:rPr>
        <w:t>15.“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line="360" w:lineRule="auto"/>
        <w:ind w:firstLine="645"/>
        <w:rPr>
          <w:rFonts w:ascii="仿宋" w:hAnsi="仿宋" w:eastAsia="仿宋" w:cs="仿宋_GB2312"/>
          <w:sz w:val="32"/>
          <w:szCs w:val="30"/>
        </w:rPr>
      </w:pPr>
      <w:r>
        <w:rPr>
          <w:rFonts w:hint="eastAsia" w:ascii="仿宋" w:hAnsi="仿宋" w:eastAsia="仿宋" w:cs="仿宋_GB2312"/>
          <w:sz w:val="32"/>
          <w:szCs w:val="30"/>
        </w:rPr>
        <w:t>16、人员经费，主要包括：基本工资、津贴补贴、奖金、伙食补助费、绩效工资、机关事业单位基本养老保险缴费、职业年金缴费、其他社会保障缴费、其他工资福利支出、离休费、退休费、抚恤金、生活补助、医疗费、奖励金、住房公积金、提租补贴、购房补贴、采暖补贴、物业服务补贴、其他对个人和家庭的补助支出。</w:t>
      </w:r>
      <w:r>
        <w:rPr>
          <w:rFonts w:hint="eastAsia" w:ascii="仿宋" w:hAnsi="仿宋" w:eastAsia="仿宋" w:cs="仿宋_GB2312"/>
          <w:sz w:val="32"/>
          <w:szCs w:val="30"/>
        </w:rPr>
        <w:br w:type="textWrapping"/>
      </w:r>
      <w:r>
        <w:rPr>
          <w:rFonts w:hint="eastAsia" w:ascii="仿宋" w:hAnsi="仿宋" w:eastAsia="仿宋" w:cs="仿宋_GB2312"/>
          <w:sz w:val="32"/>
          <w:szCs w:val="30"/>
        </w:rPr>
        <w:t>　　17、公用经费，主要包括：办公费、印刷费、咨询费、手续费、水费、电费、邮电费、取暖费、物业管理费、差旅费、因公出国（境）费用、维修（护）费、租赁费、会议费、培训费、公务接待费、劳务费、委托业务费、工会经费、福利费、其他交通费、税金及附加费用、其他商品和服务支出、办公设备购置、专用设备购置、信息网络及软件购置更新、其他资本性支出。</w:t>
      </w:r>
    </w:p>
    <w:p>
      <w:pPr>
        <w:spacing w:line="360" w:lineRule="auto"/>
        <w:ind w:firstLine="645"/>
        <w:rPr>
          <w:rFonts w:ascii="仿宋" w:hAnsi="仿宋" w:eastAsia="仿宋" w:cs="仿宋_GB2312"/>
          <w:sz w:val="32"/>
          <w:szCs w:val="30"/>
        </w:rPr>
      </w:pPr>
    </w:p>
    <w:p>
      <w:pPr>
        <w:spacing w:line="360" w:lineRule="auto"/>
        <w:ind w:firstLine="645"/>
        <w:rPr>
          <w:rFonts w:ascii="仿宋_GB2312" w:hAnsi="仿宋_GB2312" w:eastAsia="仿宋_GB2312" w:cs="仿宋_GB2312"/>
          <w:sz w:val="32"/>
          <w:szCs w:val="30"/>
        </w:rPr>
      </w:pPr>
    </w:p>
    <w:p>
      <w:pPr>
        <w:spacing w:line="360" w:lineRule="auto"/>
        <w:ind w:firstLine="645"/>
        <w:rPr>
          <w:rFonts w:ascii="仿宋_GB2312" w:hAnsi="仿宋_GB2312" w:eastAsia="仿宋_GB2312" w:cs="仿宋_GB2312"/>
          <w:sz w:val="32"/>
          <w:szCs w:val="30"/>
        </w:rPr>
      </w:pPr>
    </w:p>
    <w:p>
      <w:pPr>
        <w:spacing w:line="360" w:lineRule="auto"/>
        <w:ind w:firstLine="645"/>
        <w:rPr>
          <w:rFonts w:ascii="仿宋_GB2312" w:hAnsi="仿宋_GB2312" w:eastAsia="仿宋_GB2312" w:cs="仿宋_GB2312"/>
          <w:sz w:val="32"/>
          <w:szCs w:val="30"/>
        </w:rPr>
      </w:pPr>
    </w:p>
    <w:p>
      <w:pPr>
        <w:spacing w:line="360" w:lineRule="auto"/>
        <w:ind w:firstLine="645"/>
        <w:rPr>
          <w:rFonts w:ascii="仿宋_GB2312" w:hAnsi="仿宋_GB2312" w:eastAsia="仿宋_GB2312" w:cs="仿宋_GB2312"/>
          <w:sz w:val="32"/>
          <w:szCs w:val="30"/>
        </w:rPr>
      </w:pPr>
    </w:p>
    <w:p>
      <w:pPr>
        <w:spacing w:line="360" w:lineRule="auto"/>
        <w:ind w:firstLine="645"/>
        <w:rPr>
          <w:rFonts w:ascii="仿宋_GB2312" w:hAnsi="仿宋_GB2312" w:eastAsia="仿宋_GB2312" w:cs="仿宋_GB2312"/>
          <w:sz w:val="32"/>
          <w:szCs w:val="30"/>
        </w:rPr>
      </w:pPr>
    </w:p>
    <w:p>
      <w:pPr>
        <w:spacing w:line="360" w:lineRule="auto"/>
        <w:rPr>
          <w:rFonts w:ascii="仿宋_GB2312" w:hAnsi="仿宋_GB2312" w:eastAsia="仿宋_GB2312" w:cs="仿宋_GB2312"/>
          <w:sz w:val="32"/>
          <w:szCs w:val="30"/>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Style w:val="17"/>
          <w:rFonts w:ascii="黑体" w:hAnsi="黑体" w:eastAsia="黑体"/>
          <w:b w:val="0"/>
        </w:rPr>
      </w:pPr>
      <w:r>
        <w:rPr>
          <w:rFonts w:hint="eastAsia" w:ascii="黑体" w:hAnsi="黑体" w:eastAsia="黑体"/>
          <w:color w:val="000000"/>
          <w:sz w:val="44"/>
          <w:szCs w:val="44"/>
        </w:rPr>
        <w:t>第</w:t>
      </w:r>
      <w:r>
        <w:rPr>
          <w:rStyle w:val="17"/>
          <w:rFonts w:hint="eastAsia" w:ascii="黑体" w:hAnsi="黑体" w:eastAsia="黑体"/>
          <w:b w:val="0"/>
        </w:rPr>
        <w:t>四部分</w:t>
      </w:r>
      <w:r>
        <w:rPr>
          <w:rStyle w:val="17"/>
          <w:rFonts w:ascii="黑体" w:hAnsi="黑体" w:eastAsia="黑体"/>
          <w:b w:val="0"/>
        </w:rPr>
        <w:t xml:space="preserve"> </w:t>
      </w:r>
      <w:r>
        <w:rPr>
          <w:rStyle w:val="17"/>
          <w:rFonts w:hint="eastAsia" w:ascii="黑体" w:hAnsi="黑体" w:eastAsia="黑体"/>
          <w:b w:val="0"/>
        </w:rPr>
        <w:t>附件</w:t>
      </w:r>
      <w:bookmarkEnd w:id="55"/>
    </w:p>
    <w:p>
      <w:pPr>
        <w:spacing w:line="600" w:lineRule="exact"/>
        <w:jc w:val="center"/>
        <w:outlineLvl w:val="0"/>
        <w:rPr>
          <w:rStyle w:val="17"/>
        </w:rPr>
      </w:pPr>
    </w:p>
    <w:p>
      <w:pPr>
        <w:pStyle w:val="3"/>
        <w:rPr>
          <w:rStyle w:val="17"/>
          <w:rFonts w:ascii="仿宋" w:hAnsi="仿宋" w:eastAsia="仿宋"/>
          <w:b w:val="0"/>
          <w:bCs w:val="0"/>
          <w:sz w:val="32"/>
          <w:szCs w:val="32"/>
        </w:rPr>
      </w:pPr>
      <w:bookmarkStart w:id="57" w:name="_Toc15396615"/>
      <w:r>
        <w:rPr>
          <w:rStyle w:val="17"/>
          <w:rFonts w:hint="eastAsia" w:ascii="仿宋" w:hAnsi="仿宋" w:eastAsia="仿宋"/>
          <w:b w:val="0"/>
          <w:bCs w:val="0"/>
          <w:sz w:val="32"/>
          <w:szCs w:val="32"/>
        </w:rPr>
        <w:t>附件</w:t>
      </w:r>
      <w:r>
        <w:rPr>
          <w:rStyle w:val="17"/>
          <w:rFonts w:ascii="仿宋" w:hAnsi="仿宋" w:eastAsia="仿宋"/>
          <w:b w:val="0"/>
          <w:bCs w:val="0"/>
          <w:sz w:val="32"/>
          <w:szCs w:val="32"/>
        </w:rPr>
        <w:t>1</w:t>
      </w:r>
      <w:bookmarkEnd w:id="57"/>
    </w:p>
    <w:p>
      <w:pPr>
        <w:spacing w:line="600" w:lineRule="exact"/>
        <w:jc w:val="center"/>
        <w:outlineLvl w:val="0"/>
        <w:rPr>
          <w:rFonts w:ascii="黑体" w:hAnsi="黑体" w:eastAsia="黑体" w:cs="方正小标宋简体"/>
          <w:sz w:val="36"/>
          <w:szCs w:val="36"/>
        </w:rPr>
      </w:pPr>
      <w:bookmarkStart w:id="58" w:name="_Toc15396616"/>
      <w:r>
        <w:rPr>
          <w:rFonts w:hint="eastAsia" w:ascii="黑体" w:hAnsi="黑体" w:eastAsia="黑体" w:cs="方正小标宋简体"/>
          <w:sz w:val="36"/>
          <w:szCs w:val="36"/>
          <w:lang w:eastAsia="zh-CN"/>
        </w:rPr>
        <w:t>万源市柳黄乡中心小学校</w:t>
      </w:r>
      <w:r>
        <w:rPr>
          <w:rFonts w:hint="eastAsia" w:ascii="黑体" w:hAnsi="黑体" w:eastAsia="黑体" w:cs="方正小标宋简体"/>
          <w:sz w:val="36"/>
          <w:szCs w:val="36"/>
        </w:rPr>
        <w:t>部门</w:t>
      </w:r>
      <w:r>
        <w:rPr>
          <w:rFonts w:ascii="黑体" w:hAnsi="黑体" w:eastAsia="黑体" w:cs="方正小标宋简体"/>
          <w:sz w:val="36"/>
          <w:szCs w:val="36"/>
        </w:rPr>
        <w:t>201</w:t>
      </w:r>
      <w:r>
        <w:rPr>
          <w:rFonts w:hint="eastAsia" w:ascii="黑体" w:hAnsi="黑体" w:eastAsia="黑体" w:cs="方正小标宋简体"/>
          <w:sz w:val="36"/>
          <w:szCs w:val="36"/>
          <w:lang w:val="en-US" w:eastAsia="zh-CN"/>
        </w:rPr>
        <w:t>9</w:t>
      </w:r>
      <w:r>
        <w:rPr>
          <w:rFonts w:hint="eastAsia" w:ascii="黑体" w:hAnsi="黑体" w:eastAsia="黑体" w:cs="方正小标宋简体"/>
          <w:sz w:val="36"/>
          <w:szCs w:val="36"/>
        </w:rPr>
        <w:t>年部门整体支出绩效评价报告</w:t>
      </w:r>
      <w:bookmarkEnd w:id="58"/>
    </w:p>
    <w:p>
      <w:pPr>
        <w:spacing w:line="580" w:lineRule="exact"/>
        <w:ind w:firstLine="640" w:firstLineChars="200"/>
        <w:rPr>
          <w:rFonts w:ascii="黑体" w:hAnsi="黑体" w:eastAsia="黑体" w:cs="黑体"/>
          <w:sz w:val="32"/>
          <w:szCs w:val="32"/>
        </w:rPr>
      </w:pPr>
    </w:p>
    <w:p>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一、部门（单位）概况</w:t>
      </w:r>
    </w:p>
    <w:p>
      <w:pPr>
        <w:pStyle w:val="5"/>
        <w:adjustRightInd w:val="0"/>
        <w:snapToGrid w:val="0"/>
        <w:spacing w:before="93" w:line="360" w:lineRule="auto"/>
        <w:ind w:firstLine="672" w:firstLineChars="210"/>
        <w:rPr>
          <w:rFonts w:ascii="仿宋" w:hAnsi="仿宋" w:eastAsia="仿宋" w:cs="仿宋_GB2312"/>
          <w:color w:val="000000"/>
          <w:sz w:val="32"/>
          <w:szCs w:val="32"/>
        </w:rPr>
      </w:pPr>
      <w:r>
        <w:rPr>
          <w:rFonts w:hint="eastAsia" w:ascii="仿宋" w:hAnsi="仿宋" w:eastAsia="仿宋" w:cs="仿宋_GB2312"/>
          <w:sz w:val="32"/>
          <w:szCs w:val="32"/>
        </w:rPr>
        <w:t>（一）机构组成：</w:t>
      </w:r>
      <w:r>
        <w:rPr>
          <w:rFonts w:hint="eastAsia" w:ascii="仿宋" w:hAnsi="仿宋" w:eastAsia="仿宋" w:cs="仿宋_GB2312"/>
          <w:sz w:val="28"/>
          <w:szCs w:val="28"/>
        </w:rPr>
        <w:t>万源市</w:t>
      </w:r>
      <w:r>
        <w:rPr>
          <w:rFonts w:hint="eastAsia" w:ascii="仿宋" w:hAnsi="仿宋" w:eastAsia="仿宋" w:cs="仿宋_GB2312"/>
          <w:sz w:val="28"/>
          <w:szCs w:val="28"/>
          <w:lang w:eastAsia="zh-CN"/>
        </w:rPr>
        <w:t>柳黄乡中心小学校</w:t>
      </w:r>
      <w:r>
        <w:rPr>
          <w:rFonts w:hint="eastAsia" w:ascii="仿宋" w:hAnsi="仿宋" w:eastAsia="仿宋" w:cs="仿宋_GB2312"/>
          <w:sz w:val="28"/>
          <w:szCs w:val="28"/>
        </w:rPr>
        <w:t>属一级预算单位，执行</w:t>
      </w:r>
      <w:r>
        <w:rPr>
          <w:rFonts w:hint="eastAsia" w:ascii="仿宋" w:hAnsi="仿宋" w:eastAsia="仿宋" w:cs="仿宋_GB2312"/>
          <w:sz w:val="28"/>
          <w:szCs w:val="28"/>
          <w:lang w:eastAsia="zh-CN"/>
        </w:rPr>
        <w:t>政府</w:t>
      </w:r>
      <w:r>
        <w:rPr>
          <w:rFonts w:hint="eastAsia" w:ascii="仿宋" w:hAnsi="仿宋" w:eastAsia="仿宋" w:cs="仿宋_GB2312"/>
          <w:sz w:val="28"/>
          <w:szCs w:val="28"/>
        </w:rPr>
        <w:t>会计制度。</w:t>
      </w:r>
    </w:p>
    <w:p>
      <w:pPr>
        <w:spacing w:line="360" w:lineRule="auto"/>
        <w:ind w:firstLine="768" w:firstLineChars="240"/>
        <w:rPr>
          <w:rFonts w:ascii="仿宋_GB2312" w:hAnsi="仿宋_GB2312" w:eastAsia="仿宋_GB2312" w:cs="仿宋_GB2312"/>
          <w:bCs/>
          <w:color w:val="000000"/>
          <w:sz w:val="32"/>
          <w:szCs w:val="32"/>
        </w:rPr>
      </w:pPr>
      <w:r>
        <w:rPr>
          <w:rFonts w:hint="eastAsia" w:ascii="仿宋" w:hAnsi="仿宋" w:eastAsia="仿宋" w:cs="仿宋_GB2312"/>
          <w:sz w:val="32"/>
          <w:szCs w:val="32"/>
        </w:rPr>
        <w:t>（二）机构职能：</w:t>
      </w:r>
      <w:r>
        <w:rPr>
          <w:rFonts w:hint="eastAsia" w:ascii="仿宋" w:hAnsi="仿宋" w:eastAsia="仿宋" w:cs="仿宋_GB2312"/>
          <w:bCs/>
          <w:sz w:val="28"/>
          <w:szCs w:val="28"/>
        </w:rPr>
        <w:t>万源市</w:t>
      </w:r>
      <w:r>
        <w:rPr>
          <w:rFonts w:hint="eastAsia" w:ascii="仿宋" w:hAnsi="仿宋" w:eastAsia="仿宋" w:cs="仿宋_GB2312"/>
          <w:bCs/>
          <w:sz w:val="28"/>
          <w:szCs w:val="28"/>
          <w:lang w:eastAsia="zh-CN"/>
        </w:rPr>
        <w:t>柳黄乡中心小学校</w:t>
      </w:r>
      <w:r>
        <w:rPr>
          <w:rFonts w:hint="eastAsia" w:ascii="仿宋" w:hAnsi="仿宋" w:eastAsia="仿宋" w:cs="仿宋_GB2312"/>
          <w:bCs/>
          <w:sz w:val="28"/>
          <w:szCs w:val="28"/>
        </w:rPr>
        <w:t>是一所</w:t>
      </w:r>
      <w:r>
        <w:rPr>
          <w:rFonts w:hint="eastAsia" w:ascii="仿宋" w:hAnsi="仿宋" w:eastAsia="仿宋" w:cs="仿宋_GB2312"/>
          <w:bCs/>
          <w:sz w:val="28"/>
          <w:szCs w:val="28"/>
          <w:lang w:eastAsia="zh-CN"/>
        </w:rPr>
        <w:t>农村小</w:t>
      </w:r>
      <w:r>
        <w:rPr>
          <w:rFonts w:hint="eastAsia" w:ascii="仿宋" w:hAnsi="仿宋" w:eastAsia="仿宋" w:cs="仿宋_GB2312"/>
          <w:bCs/>
          <w:sz w:val="28"/>
          <w:szCs w:val="28"/>
        </w:rPr>
        <w:t>学</w:t>
      </w:r>
      <w:r>
        <w:rPr>
          <w:rFonts w:hint="eastAsia" w:ascii="仿宋" w:hAnsi="仿宋" w:eastAsia="仿宋" w:cs="仿宋_GB2312"/>
          <w:sz w:val="28"/>
          <w:szCs w:val="28"/>
        </w:rPr>
        <w:t>，</w:t>
      </w:r>
      <w:r>
        <w:rPr>
          <w:rFonts w:hint="eastAsia" w:ascii="仿宋" w:hAnsi="仿宋" w:eastAsia="仿宋" w:cs="仿宋_GB2312"/>
          <w:sz w:val="28"/>
          <w:szCs w:val="28"/>
          <w:lang w:eastAsia="zh-CN"/>
        </w:rPr>
        <w:t>无</w:t>
      </w:r>
      <w:r>
        <w:rPr>
          <w:rFonts w:hint="eastAsia" w:ascii="仿宋" w:hAnsi="仿宋" w:eastAsia="仿宋" w:cs="仿宋_GB2312"/>
          <w:sz w:val="28"/>
          <w:szCs w:val="28"/>
        </w:rPr>
        <w:t>下辖</w:t>
      </w:r>
      <w:r>
        <w:rPr>
          <w:rFonts w:hint="eastAsia" w:ascii="仿宋" w:hAnsi="仿宋" w:eastAsia="仿宋" w:cs="仿宋_GB2312"/>
          <w:sz w:val="28"/>
          <w:szCs w:val="28"/>
          <w:lang w:eastAsia="zh-CN"/>
        </w:rPr>
        <w:t>单位</w:t>
      </w:r>
      <w:r>
        <w:rPr>
          <w:rFonts w:hint="eastAsia" w:ascii="仿宋" w:hAnsi="仿宋" w:eastAsia="仿宋" w:cs="仿宋_GB2312"/>
          <w:sz w:val="28"/>
          <w:szCs w:val="28"/>
        </w:rPr>
        <w:t>。主要职能是实施小学义务教育，促进基础教育发展，</w:t>
      </w:r>
      <w:r>
        <w:rPr>
          <w:rFonts w:hint="eastAsia" w:ascii="仿宋" w:hAnsi="仿宋" w:eastAsia="仿宋" w:cs="仿宋_GB2312"/>
          <w:sz w:val="28"/>
          <w:szCs w:val="28"/>
          <w:lang w:eastAsia="zh-CN"/>
        </w:rPr>
        <w:t>小学</w:t>
      </w:r>
      <w:r>
        <w:rPr>
          <w:rFonts w:hint="eastAsia" w:ascii="仿宋" w:hAnsi="仿宋" w:eastAsia="仿宋" w:cs="仿宋_GB2312"/>
          <w:sz w:val="28"/>
          <w:szCs w:val="28"/>
        </w:rPr>
        <w:t>学历教育（相关社会服务）。</w:t>
      </w:r>
    </w:p>
    <w:p>
      <w:pPr>
        <w:spacing w:line="5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（三）人员概况：万源市</w:t>
      </w:r>
      <w:r>
        <w:rPr>
          <w:rFonts w:hint="eastAsia" w:ascii="仿宋" w:hAnsi="仿宋" w:eastAsia="仿宋" w:cs="仿宋_GB2312"/>
          <w:sz w:val="32"/>
          <w:szCs w:val="32"/>
          <w:lang w:eastAsia="zh-CN"/>
        </w:rPr>
        <w:t>柳黄</w:t>
      </w:r>
      <w:r>
        <w:rPr>
          <w:rFonts w:hint="eastAsia" w:ascii="仿宋" w:hAnsi="仿宋" w:eastAsia="仿宋" w:cs="仿宋_GB2312"/>
          <w:sz w:val="32"/>
          <w:szCs w:val="32"/>
        </w:rPr>
        <w:t>乡中心小学校现有在职教师</w:t>
      </w:r>
      <w:r>
        <w:rPr>
          <w:rFonts w:hint="eastAsia" w:ascii="仿宋" w:hAnsi="仿宋" w:eastAsia="仿宋" w:cs="仿宋_GB2312"/>
          <w:sz w:val="32"/>
          <w:szCs w:val="32"/>
          <w:lang w:val="en-US" w:eastAsia="zh-CN"/>
        </w:rPr>
        <w:t>19</w:t>
      </w:r>
      <w:r>
        <w:rPr>
          <w:rFonts w:hint="eastAsia" w:ascii="仿宋" w:hAnsi="仿宋" w:eastAsia="仿宋" w:cs="仿宋_GB2312"/>
          <w:sz w:val="32"/>
          <w:szCs w:val="32"/>
        </w:rPr>
        <w:t>人，退休教师</w:t>
      </w:r>
      <w:r>
        <w:rPr>
          <w:rFonts w:hint="eastAsia" w:ascii="仿宋" w:hAnsi="仿宋" w:eastAsia="仿宋" w:cs="仿宋_GB2312"/>
          <w:sz w:val="32"/>
          <w:szCs w:val="32"/>
          <w:lang w:val="en-US" w:eastAsia="zh-CN"/>
        </w:rPr>
        <w:t>19</w:t>
      </w:r>
      <w:r>
        <w:rPr>
          <w:rFonts w:hint="eastAsia" w:ascii="仿宋" w:hAnsi="仿宋" w:eastAsia="仿宋" w:cs="仿宋_GB2312"/>
          <w:sz w:val="32"/>
          <w:szCs w:val="32"/>
        </w:rPr>
        <w:t>人，在校学生</w:t>
      </w:r>
      <w:r>
        <w:rPr>
          <w:rFonts w:hint="eastAsia" w:ascii="仿宋" w:hAnsi="仿宋" w:eastAsia="仿宋" w:cs="仿宋_GB2312"/>
          <w:sz w:val="32"/>
          <w:szCs w:val="32"/>
          <w:lang w:val="en-US" w:eastAsia="zh-CN"/>
        </w:rPr>
        <w:t>120</w:t>
      </w:r>
      <w:r>
        <w:rPr>
          <w:rFonts w:hint="eastAsia" w:ascii="仿宋" w:hAnsi="仿宋" w:eastAsia="仿宋" w:cs="仿宋_GB2312"/>
          <w:sz w:val="32"/>
          <w:szCs w:val="32"/>
        </w:rPr>
        <w:t>人。</w:t>
      </w:r>
    </w:p>
    <w:p>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二、部门财政资金收支情况</w:t>
      </w:r>
      <w:bookmarkStart w:id="73" w:name="_GoBack"/>
      <w:bookmarkEnd w:id="73"/>
    </w:p>
    <w:p>
      <w:pPr>
        <w:spacing w:line="580" w:lineRule="exact"/>
        <w:ind w:firstLine="640" w:firstLineChars="200"/>
        <w:rPr>
          <w:rFonts w:hint="eastAsia" w:ascii="仿宋" w:hAnsi="仿宋" w:eastAsia="仿宋" w:cs="仿宋_GB2312"/>
          <w:sz w:val="32"/>
          <w:szCs w:val="32"/>
          <w:lang w:eastAsia="zh-CN"/>
        </w:rPr>
      </w:pPr>
      <w:r>
        <w:rPr>
          <w:rFonts w:hint="eastAsia" w:ascii="仿宋" w:hAnsi="仿宋" w:eastAsia="仿宋" w:cs="仿宋_GB2312"/>
          <w:sz w:val="32"/>
          <w:szCs w:val="32"/>
        </w:rPr>
        <w:t>（一）部门财政资金收入情况：</w:t>
      </w:r>
      <w:r>
        <w:rPr>
          <w:rFonts w:hint="eastAsia" w:ascii="仿宋" w:hAnsi="仿宋" w:eastAsia="仿宋"/>
          <w:color w:val="000000"/>
          <w:sz w:val="32"/>
          <w:szCs w:val="32"/>
        </w:rPr>
        <w:t>一般公共预算财政拨款收入</w:t>
      </w:r>
      <w:r>
        <w:rPr>
          <w:rFonts w:hint="eastAsia" w:ascii="仿宋" w:hAnsi="仿宋" w:eastAsia="仿宋"/>
          <w:color w:val="000000"/>
          <w:sz w:val="32"/>
          <w:szCs w:val="32"/>
          <w:lang w:val="en-US" w:eastAsia="zh-CN"/>
        </w:rPr>
        <w:t>262.53</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w:t>
      </w:r>
      <w:r>
        <w:rPr>
          <w:rFonts w:hint="eastAsia" w:ascii="仿宋" w:hAnsi="仿宋" w:eastAsia="仿宋"/>
          <w:color w:val="000000"/>
          <w:sz w:val="32"/>
          <w:szCs w:val="32"/>
        </w:rPr>
        <w:t>政府性基金预算拨款支出</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w:t>
      </w:r>
    </w:p>
    <w:p>
      <w:pPr>
        <w:spacing w:line="580" w:lineRule="exact"/>
        <w:ind w:firstLine="640" w:firstLineChars="200"/>
        <w:rPr>
          <w:rFonts w:hint="eastAsia" w:ascii="仿宋" w:hAnsi="仿宋" w:eastAsia="仿宋"/>
          <w:color w:val="000000"/>
          <w:sz w:val="32"/>
          <w:szCs w:val="32"/>
        </w:rPr>
      </w:pPr>
      <w:r>
        <w:rPr>
          <w:rFonts w:hint="eastAsia" w:ascii="仿宋" w:hAnsi="仿宋" w:eastAsia="仿宋" w:cs="仿宋_GB2312"/>
          <w:sz w:val="32"/>
          <w:szCs w:val="32"/>
        </w:rPr>
        <w:t>（二）部门财政资金支出情况：</w:t>
      </w:r>
      <w:r>
        <w:rPr>
          <w:rFonts w:hint="eastAsia" w:ascii="仿宋" w:hAnsi="仿宋" w:eastAsia="仿宋"/>
          <w:color w:val="000000"/>
          <w:sz w:val="32"/>
          <w:szCs w:val="32"/>
        </w:rPr>
        <w:t>一般公共预算财政拨款收入</w:t>
      </w:r>
      <w:r>
        <w:rPr>
          <w:rFonts w:hint="eastAsia" w:ascii="仿宋" w:hAnsi="仿宋" w:eastAsia="仿宋"/>
          <w:color w:val="000000"/>
          <w:sz w:val="32"/>
          <w:szCs w:val="32"/>
          <w:lang w:val="en-US" w:eastAsia="zh-CN"/>
        </w:rPr>
        <w:t>262.53</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w:t>
      </w:r>
      <w:r>
        <w:rPr>
          <w:rFonts w:hint="eastAsia" w:ascii="仿宋" w:hAnsi="仿宋" w:eastAsia="仿宋"/>
          <w:color w:val="000000"/>
          <w:sz w:val="32"/>
          <w:szCs w:val="32"/>
        </w:rPr>
        <w:t>政府性基金预算拨款支出</w:t>
      </w:r>
      <w:r>
        <w:rPr>
          <w:rFonts w:hint="eastAsia" w:ascii="仿宋" w:hAnsi="仿宋" w:eastAsia="仿宋"/>
          <w:color w:val="000000"/>
          <w:sz w:val="32"/>
          <w:szCs w:val="32"/>
          <w:lang w:val="en-US" w:eastAsia="zh-CN"/>
        </w:rPr>
        <w:t>0万元</w:t>
      </w:r>
      <w:r>
        <w:rPr>
          <w:rFonts w:hint="eastAsia" w:ascii="仿宋" w:hAnsi="仿宋" w:eastAsia="仿宋"/>
          <w:color w:val="000000"/>
          <w:sz w:val="32"/>
          <w:szCs w:val="32"/>
        </w:rPr>
        <w:t>。</w:t>
      </w:r>
    </w:p>
    <w:p>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三、部门整体预算绩效管理情况（根据适用指标体系进行调整）</w:t>
      </w:r>
    </w:p>
    <w:p>
      <w:pPr>
        <w:spacing w:line="5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（一）部门预算管理。</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按照市财政和预算绩效管理要求，积极开展预算绩效评价工作。</w:t>
      </w:r>
      <w:r>
        <w:rPr>
          <w:rFonts w:hint="eastAsia" w:ascii="仿宋" w:hAnsi="仿宋" w:eastAsia="仿宋"/>
          <w:sz w:val="32"/>
          <w:szCs w:val="32"/>
          <w:lang w:eastAsia="zh-CN"/>
        </w:rPr>
        <w:t>柳黄小学</w:t>
      </w:r>
      <w:r>
        <w:rPr>
          <w:rFonts w:hint="eastAsia" w:ascii="仿宋" w:hAnsi="仿宋" w:eastAsia="仿宋"/>
          <w:sz w:val="32"/>
          <w:szCs w:val="32"/>
        </w:rPr>
        <w:t>当年财政拨款收入为</w:t>
      </w:r>
      <w:r>
        <w:rPr>
          <w:rFonts w:hint="eastAsia" w:ascii="仿宋" w:hAnsi="仿宋" w:eastAsia="仿宋"/>
          <w:sz w:val="32"/>
          <w:szCs w:val="32"/>
          <w:lang w:val="en-US" w:eastAsia="zh-CN"/>
        </w:rPr>
        <w:t>262.53</w:t>
      </w:r>
      <w:r>
        <w:rPr>
          <w:rFonts w:hint="eastAsia" w:ascii="仿宋" w:hAnsi="仿宋" w:eastAsia="仿宋"/>
          <w:sz w:val="32"/>
          <w:szCs w:val="32"/>
        </w:rPr>
        <w:t>万元，财政拨款支出为</w:t>
      </w:r>
      <w:r>
        <w:rPr>
          <w:rFonts w:hint="eastAsia" w:ascii="仿宋" w:hAnsi="仿宋" w:eastAsia="仿宋"/>
          <w:sz w:val="32"/>
          <w:szCs w:val="32"/>
          <w:lang w:val="en-US" w:eastAsia="zh-CN"/>
        </w:rPr>
        <w:t>212.75</w:t>
      </w:r>
      <w:r>
        <w:rPr>
          <w:rFonts w:hint="eastAsia" w:ascii="仿宋" w:hAnsi="仿宋" w:eastAsia="仿宋"/>
          <w:sz w:val="32"/>
          <w:szCs w:val="32"/>
        </w:rPr>
        <w:t>万元。</w:t>
      </w:r>
    </w:p>
    <w:p>
      <w:pPr>
        <w:spacing w:line="5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（二）专项预算管理。</w:t>
      </w:r>
    </w:p>
    <w:p>
      <w:pPr>
        <w:spacing w:line="5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201</w:t>
      </w:r>
      <w:r>
        <w:rPr>
          <w:rFonts w:hint="eastAsia" w:ascii="仿宋" w:hAnsi="仿宋" w:eastAsia="仿宋" w:cs="仿宋_GB2312"/>
          <w:sz w:val="32"/>
          <w:szCs w:val="32"/>
          <w:lang w:val="en-US" w:eastAsia="zh-CN"/>
        </w:rPr>
        <w:t>9</w:t>
      </w:r>
      <w:r>
        <w:rPr>
          <w:rFonts w:hint="eastAsia" w:ascii="仿宋" w:hAnsi="仿宋" w:eastAsia="仿宋" w:cs="仿宋_GB2312"/>
          <w:sz w:val="32"/>
          <w:szCs w:val="32"/>
        </w:rPr>
        <w:t>年，我校收入总额为</w:t>
      </w:r>
      <w:r>
        <w:rPr>
          <w:rFonts w:hint="eastAsia" w:ascii="仿宋" w:hAnsi="仿宋" w:eastAsia="仿宋"/>
          <w:sz w:val="32"/>
          <w:szCs w:val="32"/>
          <w:lang w:val="en-US" w:eastAsia="zh-CN"/>
        </w:rPr>
        <w:t>265.18</w:t>
      </w:r>
      <w:r>
        <w:rPr>
          <w:rFonts w:hint="eastAsia" w:ascii="仿宋" w:hAnsi="仿宋" w:eastAsia="仿宋" w:cs="仿宋_GB2312"/>
          <w:sz w:val="32"/>
          <w:szCs w:val="32"/>
        </w:rPr>
        <w:t>万元（其中财政拨款</w:t>
      </w:r>
      <w:r>
        <w:rPr>
          <w:rFonts w:hint="eastAsia" w:ascii="仿宋" w:hAnsi="仿宋" w:eastAsia="仿宋"/>
          <w:sz w:val="32"/>
          <w:szCs w:val="32"/>
          <w:lang w:val="en-US" w:eastAsia="zh-CN"/>
        </w:rPr>
        <w:t>262.53</w:t>
      </w:r>
      <w:r>
        <w:rPr>
          <w:rFonts w:hint="eastAsia" w:ascii="仿宋" w:hAnsi="仿宋" w:eastAsia="仿宋" w:cs="仿宋_GB2312"/>
          <w:sz w:val="32"/>
          <w:szCs w:val="32"/>
        </w:rPr>
        <w:t>万元，事业收入</w:t>
      </w:r>
      <w:r>
        <w:rPr>
          <w:rFonts w:hint="eastAsia" w:ascii="仿宋" w:hAnsi="仿宋" w:eastAsia="仿宋" w:cs="仿宋_GB2312"/>
          <w:sz w:val="32"/>
          <w:szCs w:val="32"/>
          <w:lang w:val="en-US" w:eastAsia="zh-CN"/>
        </w:rPr>
        <w:t>2.65</w:t>
      </w:r>
      <w:r>
        <w:rPr>
          <w:rFonts w:hint="eastAsia" w:ascii="仿宋" w:hAnsi="仿宋" w:eastAsia="仿宋" w:cs="仿宋_GB2312"/>
          <w:sz w:val="32"/>
          <w:szCs w:val="32"/>
        </w:rPr>
        <w:t>万元），201</w:t>
      </w:r>
      <w:r>
        <w:rPr>
          <w:rFonts w:hint="eastAsia" w:ascii="仿宋" w:hAnsi="仿宋" w:eastAsia="仿宋" w:cs="仿宋_GB2312"/>
          <w:sz w:val="32"/>
          <w:szCs w:val="32"/>
          <w:lang w:val="en-US" w:eastAsia="zh-CN"/>
        </w:rPr>
        <w:t>9</w:t>
      </w:r>
      <w:r>
        <w:rPr>
          <w:rFonts w:hint="eastAsia" w:ascii="仿宋" w:hAnsi="仿宋" w:eastAsia="仿宋" w:cs="仿宋_GB2312"/>
          <w:sz w:val="32"/>
          <w:szCs w:val="32"/>
        </w:rPr>
        <w:t>年实现项目支出总额为</w:t>
      </w:r>
      <w:r>
        <w:rPr>
          <w:rFonts w:hint="eastAsia" w:ascii="仿宋" w:hAnsi="仿宋" w:eastAsia="仿宋"/>
          <w:sz w:val="32"/>
          <w:szCs w:val="32"/>
          <w:lang w:val="en-US" w:eastAsia="zh-CN"/>
        </w:rPr>
        <w:t>215.4</w:t>
      </w:r>
      <w:r>
        <w:rPr>
          <w:rFonts w:hint="eastAsia" w:ascii="仿宋" w:hAnsi="仿宋" w:eastAsia="仿宋" w:cs="仿宋_GB2312"/>
          <w:sz w:val="32"/>
          <w:szCs w:val="32"/>
        </w:rPr>
        <w:t>万元，其中：</w:t>
      </w:r>
      <w:r>
        <w:rPr>
          <w:rFonts w:hint="eastAsia" w:ascii="仿宋" w:hAnsi="仿宋" w:eastAsia="仿宋" w:cs="仿宋"/>
          <w:sz w:val="32"/>
          <w:szCs w:val="32"/>
          <w:lang w:eastAsia="zh-CN"/>
        </w:rPr>
        <w:t>学前教育支出</w:t>
      </w:r>
      <w:r>
        <w:rPr>
          <w:rFonts w:hint="eastAsia" w:ascii="仿宋" w:hAnsi="仿宋" w:eastAsia="仿宋" w:cs="仿宋"/>
          <w:sz w:val="32"/>
          <w:szCs w:val="32"/>
          <w:lang w:val="en-US" w:eastAsia="zh-CN"/>
        </w:rPr>
        <w:t>3.21万元，</w:t>
      </w:r>
      <w:r>
        <w:rPr>
          <w:rFonts w:hint="eastAsia" w:ascii="仿宋" w:hAnsi="仿宋" w:eastAsia="仿宋" w:cs="仿宋_GB2312"/>
          <w:sz w:val="32"/>
          <w:szCs w:val="32"/>
          <w:lang w:eastAsia="zh-CN"/>
        </w:rPr>
        <w:t>小学</w:t>
      </w:r>
      <w:r>
        <w:rPr>
          <w:rFonts w:hint="eastAsia" w:ascii="仿宋" w:hAnsi="仿宋" w:eastAsia="仿宋" w:cs="仿宋_GB2312"/>
          <w:sz w:val="32"/>
          <w:szCs w:val="32"/>
        </w:rPr>
        <w:t>教育支出</w:t>
      </w:r>
      <w:r>
        <w:rPr>
          <w:rFonts w:hint="eastAsia" w:ascii="仿宋" w:hAnsi="仿宋" w:eastAsia="仿宋" w:cs="仿宋_GB2312"/>
          <w:sz w:val="32"/>
          <w:szCs w:val="32"/>
          <w:lang w:val="en-US" w:eastAsia="zh-CN"/>
        </w:rPr>
        <w:t>196.8</w:t>
      </w:r>
      <w:r>
        <w:rPr>
          <w:rFonts w:hint="eastAsia" w:ascii="仿宋" w:hAnsi="仿宋" w:eastAsia="仿宋" w:cs="仿宋_GB2312"/>
          <w:sz w:val="32"/>
          <w:szCs w:val="32"/>
        </w:rPr>
        <w:t>万元，住房保障支出</w:t>
      </w:r>
      <w:r>
        <w:rPr>
          <w:rFonts w:hint="eastAsia" w:ascii="仿宋" w:hAnsi="仿宋" w:eastAsia="仿宋" w:cs="仿宋_GB2312"/>
          <w:sz w:val="32"/>
          <w:szCs w:val="32"/>
          <w:lang w:val="en-US" w:eastAsia="zh-CN"/>
        </w:rPr>
        <w:t>15.39</w:t>
      </w:r>
      <w:r>
        <w:rPr>
          <w:rFonts w:hint="eastAsia" w:ascii="仿宋" w:hAnsi="仿宋" w:eastAsia="仿宋" w:cs="仿宋_GB2312"/>
          <w:sz w:val="32"/>
          <w:szCs w:val="32"/>
        </w:rPr>
        <w:t>万元。</w:t>
      </w:r>
    </w:p>
    <w:p>
      <w:pPr>
        <w:spacing w:line="5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（三）结果应用情况。</w:t>
      </w:r>
    </w:p>
    <w:p>
      <w:pPr>
        <w:spacing w:line="5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对财政预算安排的项目资金基本执行完毕。</w:t>
      </w:r>
    </w:p>
    <w:p>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四、评价结论及建议</w:t>
      </w:r>
    </w:p>
    <w:p>
      <w:pPr>
        <w:spacing w:line="5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（一）评价结论：对部门预算支出整体绩效方面都按规定严格执行，合理安排支出，使财政资金发挥出最大效益。</w:t>
      </w:r>
    </w:p>
    <w:p>
      <w:pPr>
        <w:spacing w:line="5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（二）存在问题：由于学校财务人员没有专职设置，对财务知识学习培训程度不够，导致对决算编制口径理解不足，在部门预算编制、部门决算编制软件操作中存在一些困难。</w:t>
      </w:r>
    </w:p>
    <w:p>
      <w:pPr>
        <w:spacing w:line="5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（三）改进建议：</w:t>
      </w:r>
      <w:r>
        <w:rPr>
          <w:rFonts w:hint="eastAsia" w:ascii="仿宋" w:hAnsi="仿宋" w:eastAsia="仿宋"/>
          <w:sz w:val="32"/>
          <w:szCs w:val="32"/>
        </w:rPr>
        <w:t>根据绩效评价工作相关要求，进一步完善各项资金管理制度，加强预算安排，加强财政资金管理，切实提高资金使用效率。</w:t>
      </w:r>
      <w:r>
        <w:rPr>
          <w:rFonts w:hint="eastAsia" w:ascii="仿宋" w:hAnsi="仿宋" w:eastAsia="仿宋"/>
          <w:color w:val="474747"/>
          <w:sz w:val="32"/>
          <w:szCs w:val="32"/>
        </w:rPr>
        <w:t>我们将继续努力，科学、依法编制预决算，进行绩效评价，加强精细化管理，不断提高工作质量。</w:t>
      </w:r>
    </w:p>
    <w:p>
      <w:pPr>
        <w:spacing w:line="580" w:lineRule="exact"/>
        <w:ind w:firstLine="640" w:firstLineChars="200"/>
        <w:rPr>
          <w:rFonts w:ascii="仿宋_GB2312" w:hAnsi="仿宋_GB2312" w:eastAsia="仿宋_GB2312" w:cs="仿宋_GB2312"/>
          <w:sz w:val="32"/>
          <w:szCs w:val="32"/>
        </w:rPr>
      </w:pPr>
    </w:p>
    <w:p>
      <w:pPr>
        <w:widowControl/>
        <w:jc w:val="left"/>
        <w:rPr>
          <w:rFonts w:ascii="仿宋_GB2312" w:hAnsi="仿宋_GB2312" w:eastAsia="仿宋_GB2312" w:cs="仿宋_GB2312"/>
          <w:sz w:val="32"/>
          <w:szCs w:val="32"/>
        </w:rPr>
      </w:pPr>
      <w:r>
        <w:rPr>
          <w:rFonts w:ascii="仿宋_GB2312" w:hAnsi="仿宋_GB2312" w:eastAsia="仿宋_GB2312" w:cs="仿宋_GB2312"/>
          <w:sz w:val="32"/>
          <w:szCs w:val="32"/>
        </w:rPr>
        <w:br w:type="page"/>
      </w:r>
    </w:p>
    <w:p>
      <w:pPr>
        <w:spacing w:line="600" w:lineRule="exact"/>
        <w:jc w:val="center"/>
        <w:outlineLvl w:val="0"/>
        <w:rPr>
          <w:rStyle w:val="17"/>
          <w:rFonts w:ascii="黑体" w:hAnsi="黑体" w:eastAsia="黑体"/>
          <w:b w:val="0"/>
        </w:rPr>
      </w:pPr>
      <w:bookmarkStart w:id="59" w:name="_Toc15396618"/>
      <w:r>
        <w:rPr>
          <w:rFonts w:hint="eastAsia" w:ascii="黑体" w:hAnsi="黑体" w:eastAsia="黑体"/>
          <w:color w:val="000000"/>
          <w:sz w:val="44"/>
          <w:szCs w:val="44"/>
        </w:rPr>
        <w:t>第</w:t>
      </w:r>
      <w:r>
        <w:rPr>
          <w:rStyle w:val="17"/>
          <w:rFonts w:hint="eastAsia" w:ascii="黑体" w:hAnsi="黑体" w:eastAsia="黑体"/>
          <w:b w:val="0"/>
        </w:rPr>
        <w:t>五部分</w:t>
      </w:r>
      <w:r>
        <w:rPr>
          <w:rStyle w:val="17"/>
          <w:rFonts w:ascii="黑体" w:hAnsi="黑体" w:eastAsia="黑体"/>
          <w:b w:val="0"/>
        </w:rPr>
        <w:t xml:space="preserve"> </w:t>
      </w:r>
      <w:r>
        <w:rPr>
          <w:rStyle w:val="17"/>
          <w:rFonts w:hint="eastAsia" w:ascii="黑体" w:hAnsi="黑体" w:eastAsia="黑体"/>
          <w:b w:val="0"/>
        </w:rPr>
        <w:t>附表</w:t>
      </w:r>
      <w:bookmarkEnd w:id="56"/>
      <w:bookmarkEnd w:id="59"/>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0" w:name="_Toc15396619"/>
      <w:r>
        <w:rPr>
          <w:rFonts w:hint="eastAsia" w:ascii="仿宋" w:hAnsi="仿宋" w:eastAsia="仿宋"/>
          <w:b w:val="0"/>
          <w:color w:val="000000"/>
        </w:rPr>
        <w:t>一、收</w:t>
      </w:r>
      <w:r>
        <w:rPr>
          <w:rStyle w:val="18"/>
          <w:rFonts w:hint="eastAsia" w:ascii="仿宋" w:hAnsi="仿宋" w:eastAsia="仿宋"/>
          <w:b w:val="0"/>
          <w:bCs w:val="0"/>
        </w:rPr>
        <w:t>入支出决算总表</w:t>
      </w:r>
      <w:bookmarkEnd w:id="60"/>
    </w:p>
    <w:p>
      <w:pPr>
        <w:pStyle w:val="3"/>
        <w:rPr>
          <w:rFonts w:ascii="仿宋" w:hAnsi="仿宋" w:eastAsia="仿宋"/>
          <w:color w:val="000000"/>
        </w:rPr>
      </w:pPr>
      <w:bookmarkStart w:id="61" w:name="_Toc15396620"/>
      <w:r>
        <w:rPr>
          <w:rFonts w:hint="eastAsia" w:ascii="仿宋" w:hAnsi="仿宋" w:eastAsia="仿宋"/>
          <w:b w:val="0"/>
          <w:color w:val="000000"/>
        </w:rPr>
        <w:t>二、收</w:t>
      </w:r>
      <w:r>
        <w:rPr>
          <w:rStyle w:val="18"/>
          <w:rFonts w:hint="eastAsia" w:ascii="仿宋" w:hAnsi="仿宋" w:eastAsia="仿宋"/>
          <w:b w:val="0"/>
          <w:bCs w:val="0"/>
        </w:rPr>
        <w:t>入总表</w:t>
      </w:r>
      <w:bookmarkEnd w:id="61"/>
    </w:p>
    <w:p>
      <w:pPr>
        <w:pStyle w:val="3"/>
        <w:rPr>
          <w:rFonts w:ascii="仿宋" w:hAnsi="仿宋" w:eastAsia="仿宋"/>
          <w:color w:val="000000"/>
        </w:rPr>
      </w:pPr>
      <w:bookmarkStart w:id="62" w:name="_Toc15396621"/>
      <w:r>
        <w:rPr>
          <w:rStyle w:val="18"/>
          <w:rFonts w:hint="eastAsia" w:ascii="仿宋" w:hAnsi="仿宋" w:eastAsia="仿宋"/>
          <w:b w:val="0"/>
          <w:bCs w:val="0"/>
        </w:rPr>
        <w:t>三、</w:t>
      </w:r>
      <w:r>
        <w:rPr>
          <w:rFonts w:hint="eastAsia" w:ascii="仿宋" w:hAnsi="仿宋" w:eastAsia="仿宋"/>
          <w:b w:val="0"/>
          <w:color w:val="000000"/>
        </w:rPr>
        <w:t>支</w:t>
      </w:r>
      <w:r>
        <w:rPr>
          <w:rStyle w:val="18"/>
          <w:rFonts w:hint="eastAsia" w:ascii="仿宋" w:hAnsi="仿宋" w:eastAsia="仿宋"/>
          <w:b w:val="0"/>
          <w:bCs w:val="0"/>
        </w:rPr>
        <w:t>出总表</w:t>
      </w:r>
      <w:bookmarkEnd w:id="62"/>
    </w:p>
    <w:p>
      <w:pPr>
        <w:pStyle w:val="3"/>
        <w:rPr>
          <w:rFonts w:ascii="仿宋" w:hAnsi="仿宋" w:eastAsia="仿宋"/>
          <w:b w:val="0"/>
          <w:color w:val="000000"/>
        </w:rPr>
      </w:pPr>
      <w:bookmarkStart w:id="63" w:name="_Toc15396622"/>
      <w:r>
        <w:rPr>
          <w:rStyle w:val="18"/>
          <w:rFonts w:hint="eastAsia" w:ascii="仿宋" w:hAnsi="仿宋" w:eastAsia="仿宋"/>
          <w:b w:val="0"/>
          <w:bCs w:val="0"/>
        </w:rPr>
        <w:t>四、</w:t>
      </w:r>
      <w:r>
        <w:rPr>
          <w:rFonts w:hint="eastAsia" w:ascii="仿宋" w:hAnsi="仿宋" w:eastAsia="仿宋"/>
          <w:b w:val="0"/>
          <w:color w:val="000000"/>
        </w:rPr>
        <w:t>财</w:t>
      </w:r>
      <w:r>
        <w:rPr>
          <w:rStyle w:val="18"/>
          <w:rFonts w:hint="eastAsia" w:ascii="仿宋" w:hAnsi="仿宋" w:eastAsia="仿宋"/>
          <w:b w:val="0"/>
          <w:bCs w:val="0"/>
        </w:rPr>
        <w:t>政拨款收入支出决算总表</w:t>
      </w:r>
      <w:bookmarkEnd w:id="63"/>
    </w:p>
    <w:p>
      <w:pPr>
        <w:pStyle w:val="3"/>
        <w:rPr>
          <w:rFonts w:ascii="仿宋" w:hAnsi="仿宋" w:eastAsia="仿宋"/>
          <w:color w:val="000000"/>
        </w:rPr>
      </w:pPr>
      <w:bookmarkStart w:id="64" w:name="_Toc15396623"/>
      <w:r>
        <w:rPr>
          <w:rStyle w:val="18"/>
          <w:rFonts w:hint="eastAsia" w:ascii="仿宋" w:hAnsi="仿宋" w:eastAsia="仿宋"/>
          <w:b w:val="0"/>
          <w:bCs w:val="0"/>
        </w:rPr>
        <w:t>五、</w:t>
      </w:r>
      <w:r>
        <w:rPr>
          <w:rFonts w:hint="eastAsia" w:ascii="仿宋" w:hAnsi="仿宋" w:eastAsia="仿宋"/>
          <w:b w:val="0"/>
          <w:color w:val="000000"/>
        </w:rPr>
        <w:t>财</w:t>
      </w:r>
      <w:r>
        <w:rPr>
          <w:rStyle w:val="18"/>
          <w:rFonts w:hint="eastAsia" w:ascii="仿宋" w:hAnsi="仿宋" w:eastAsia="仿宋"/>
          <w:b w:val="0"/>
          <w:bCs w:val="0"/>
        </w:rPr>
        <w:t>政拨款支出决算明细表（政府经济分类科目）</w:t>
      </w:r>
      <w:bookmarkEnd w:id="64"/>
    </w:p>
    <w:p>
      <w:pPr>
        <w:pStyle w:val="3"/>
        <w:rPr>
          <w:rFonts w:ascii="仿宋" w:hAnsi="仿宋" w:eastAsia="仿宋"/>
          <w:color w:val="000000"/>
        </w:rPr>
      </w:pPr>
      <w:bookmarkStart w:id="65" w:name="_Toc15396624"/>
      <w:r>
        <w:rPr>
          <w:rStyle w:val="18"/>
          <w:rFonts w:hint="eastAsia" w:ascii="仿宋" w:hAnsi="仿宋" w:eastAsia="仿宋"/>
          <w:b w:val="0"/>
          <w:bCs w:val="0"/>
        </w:rPr>
        <w:t>六、</w:t>
      </w:r>
      <w:r>
        <w:rPr>
          <w:rFonts w:hint="eastAsia" w:ascii="仿宋" w:hAnsi="仿宋" w:eastAsia="仿宋"/>
          <w:b w:val="0"/>
          <w:color w:val="000000"/>
        </w:rPr>
        <w:t>一</w:t>
      </w:r>
      <w:r>
        <w:rPr>
          <w:rStyle w:val="18"/>
          <w:rFonts w:hint="eastAsia" w:ascii="仿宋" w:hAnsi="仿宋" w:eastAsia="仿宋"/>
          <w:b w:val="0"/>
          <w:bCs w:val="0"/>
        </w:rPr>
        <w:t>般公共预算财政拨款支出决算表</w:t>
      </w:r>
      <w:bookmarkEnd w:id="65"/>
    </w:p>
    <w:p>
      <w:pPr>
        <w:pStyle w:val="3"/>
        <w:rPr>
          <w:rFonts w:ascii="仿宋" w:hAnsi="仿宋" w:eastAsia="仿宋"/>
          <w:color w:val="000000"/>
        </w:rPr>
      </w:pPr>
      <w:bookmarkStart w:id="66" w:name="_Toc15396625"/>
      <w:r>
        <w:rPr>
          <w:rStyle w:val="18"/>
          <w:rFonts w:hint="eastAsia" w:ascii="仿宋" w:hAnsi="仿宋" w:eastAsia="仿宋"/>
          <w:b w:val="0"/>
          <w:bCs w:val="0"/>
        </w:rPr>
        <w:t>七、</w:t>
      </w:r>
      <w:r>
        <w:rPr>
          <w:rFonts w:hint="eastAsia" w:ascii="仿宋" w:hAnsi="仿宋" w:eastAsia="仿宋"/>
          <w:b w:val="0"/>
          <w:color w:val="000000"/>
        </w:rPr>
        <w:t>一</w:t>
      </w:r>
      <w:r>
        <w:rPr>
          <w:rStyle w:val="18"/>
          <w:rFonts w:hint="eastAsia" w:ascii="仿宋" w:hAnsi="仿宋" w:eastAsia="仿宋"/>
          <w:b w:val="0"/>
          <w:bCs w:val="0"/>
        </w:rPr>
        <w:t>般公共预算财政拨款支出决算明细表</w:t>
      </w:r>
      <w:bookmarkEnd w:id="66"/>
    </w:p>
    <w:p>
      <w:pPr>
        <w:pStyle w:val="3"/>
        <w:rPr>
          <w:rFonts w:ascii="仿宋" w:hAnsi="仿宋" w:eastAsia="仿宋"/>
          <w:color w:val="000000"/>
        </w:rPr>
      </w:pPr>
      <w:bookmarkStart w:id="67" w:name="_Toc15396626"/>
      <w:r>
        <w:rPr>
          <w:rStyle w:val="18"/>
          <w:rFonts w:hint="eastAsia" w:ascii="仿宋" w:hAnsi="仿宋" w:eastAsia="仿宋"/>
          <w:b w:val="0"/>
          <w:bCs w:val="0"/>
        </w:rPr>
        <w:t>八、</w:t>
      </w:r>
      <w:r>
        <w:rPr>
          <w:rFonts w:hint="eastAsia" w:ascii="仿宋" w:hAnsi="仿宋" w:eastAsia="仿宋"/>
          <w:b w:val="0"/>
          <w:color w:val="000000"/>
        </w:rPr>
        <w:t>一</w:t>
      </w:r>
      <w:r>
        <w:rPr>
          <w:rStyle w:val="18"/>
          <w:rFonts w:hint="eastAsia" w:ascii="仿宋" w:hAnsi="仿宋" w:eastAsia="仿宋"/>
          <w:b w:val="0"/>
          <w:bCs w:val="0"/>
        </w:rPr>
        <w:t>般公共预算财政拨款基本支出决算表</w:t>
      </w:r>
      <w:bookmarkEnd w:id="67"/>
    </w:p>
    <w:p>
      <w:pPr>
        <w:pStyle w:val="3"/>
        <w:rPr>
          <w:rFonts w:ascii="仿宋" w:hAnsi="仿宋" w:eastAsia="仿宋"/>
          <w:color w:val="000000"/>
        </w:rPr>
      </w:pPr>
      <w:bookmarkStart w:id="68" w:name="_Toc15396627"/>
      <w:r>
        <w:rPr>
          <w:rStyle w:val="18"/>
          <w:rFonts w:hint="eastAsia" w:ascii="仿宋" w:hAnsi="仿宋" w:eastAsia="仿宋"/>
          <w:b w:val="0"/>
          <w:bCs w:val="0"/>
        </w:rPr>
        <w:t>九、</w:t>
      </w:r>
      <w:r>
        <w:rPr>
          <w:rFonts w:hint="eastAsia" w:ascii="仿宋" w:hAnsi="仿宋" w:eastAsia="仿宋"/>
          <w:b w:val="0"/>
          <w:color w:val="000000"/>
        </w:rPr>
        <w:t>一</w:t>
      </w:r>
      <w:r>
        <w:rPr>
          <w:rStyle w:val="18"/>
          <w:rFonts w:hint="eastAsia" w:ascii="仿宋" w:hAnsi="仿宋" w:eastAsia="仿宋"/>
          <w:b w:val="0"/>
          <w:bCs w:val="0"/>
        </w:rPr>
        <w:t>般公共预算财政拨款项目支出决算表</w:t>
      </w:r>
      <w:bookmarkEnd w:id="68"/>
    </w:p>
    <w:p>
      <w:pPr>
        <w:pStyle w:val="3"/>
        <w:rPr>
          <w:rFonts w:ascii="仿宋" w:hAnsi="仿宋" w:eastAsia="仿宋"/>
          <w:color w:val="000000"/>
        </w:rPr>
      </w:pPr>
      <w:bookmarkStart w:id="69" w:name="_Toc15396628"/>
      <w:r>
        <w:rPr>
          <w:rStyle w:val="18"/>
          <w:rFonts w:hint="eastAsia" w:ascii="仿宋" w:hAnsi="仿宋" w:eastAsia="仿宋"/>
          <w:b w:val="0"/>
          <w:bCs w:val="0"/>
        </w:rPr>
        <w:t>十、</w:t>
      </w:r>
      <w:r>
        <w:rPr>
          <w:rFonts w:hint="eastAsia" w:ascii="仿宋" w:hAnsi="仿宋" w:eastAsia="仿宋"/>
          <w:b w:val="0"/>
          <w:color w:val="000000"/>
        </w:rPr>
        <w:t>一</w:t>
      </w:r>
      <w:r>
        <w:rPr>
          <w:rStyle w:val="18"/>
          <w:rFonts w:hint="eastAsia" w:ascii="仿宋" w:hAnsi="仿宋" w:eastAsia="仿宋"/>
          <w:b w:val="0"/>
          <w:bCs w:val="0"/>
        </w:rPr>
        <w:t>般公共预算财政拨款“三公”经费支出决算表</w:t>
      </w:r>
      <w:bookmarkEnd w:id="69"/>
    </w:p>
    <w:p>
      <w:pPr>
        <w:pStyle w:val="3"/>
        <w:rPr>
          <w:rFonts w:ascii="仿宋" w:hAnsi="仿宋" w:eastAsia="仿宋"/>
          <w:color w:val="000000"/>
        </w:rPr>
      </w:pPr>
      <w:bookmarkStart w:id="70" w:name="_Toc15396629"/>
      <w:r>
        <w:rPr>
          <w:rStyle w:val="18"/>
          <w:rFonts w:hint="eastAsia" w:ascii="仿宋" w:hAnsi="仿宋" w:eastAsia="仿宋"/>
          <w:b w:val="0"/>
          <w:bCs w:val="0"/>
        </w:rPr>
        <w:t>十一、</w:t>
      </w:r>
      <w:r>
        <w:rPr>
          <w:rFonts w:hint="eastAsia" w:ascii="仿宋" w:hAnsi="仿宋" w:eastAsia="仿宋"/>
          <w:b w:val="0"/>
          <w:color w:val="000000"/>
        </w:rPr>
        <w:t>政</w:t>
      </w:r>
      <w:r>
        <w:rPr>
          <w:rStyle w:val="18"/>
          <w:rFonts w:hint="eastAsia" w:ascii="仿宋" w:hAnsi="仿宋" w:eastAsia="仿宋"/>
          <w:b w:val="0"/>
          <w:bCs w:val="0"/>
        </w:rPr>
        <w:t>府性基金预算财政拨款收入支出决算表</w:t>
      </w:r>
      <w:bookmarkEnd w:id="70"/>
    </w:p>
    <w:p>
      <w:pPr>
        <w:pStyle w:val="3"/>
        <w:rPr>
          <w:rFonts w:ascii="仿宋" w:hAnsi="仿宋" w:eastAsia="仿宋"/>
          <w:color w:val="000000"/>
        </w:rPr>
      </w:pPr>
      <w:bookmarkStart w:id="71" w:name="_Toc15396630"/>
      <w:r>
        <w:rPr>
          <w:rStyle w:val="18"/>
          <w:rFonts w:hint="eastAsia" w:ascii="仿宋" w:hAnsi="仿宋" w:eastAsia="仿宋"/>
          <w:b w:val="0"/>
          <w:bCs w:val="0"/>
        </w:rPr>
        <w:t>十二、</w:t>
      </w:r>
      <w:r>
        <w:rPr>
          <w:rFonts w:hint="eastAsia" w:ascii="仿宋" w:hAnsi="仿宋" w:eastAsia="仿宋"/>
          <w:b w:val="0"/>
          <w:color w:val="000000"/>
        </w:rPr>
        <w:t>政</w:t>
      </w:r>
      <w:r>
        <w:rPr>
          <w:rStyle w:val="18"/>
          <w:rFonts w:hint="eastAsia" w:ascii="仿宋" w:hAnsi="仿宋" w:eastAsia="仿宋"/>
          <w:b w:val="0"/>
          <w:bCs w:val="0"/>
        </w:rPr>
        <w:t>府性基金预算财政拨款“三公”经费支出决算表</w:t>
      </w:r>
      <w:bookmarkEnd w:id="71"/>
    </w:p>
    <w:p>
      <w:pPr>
        <w:pStyle w:val="3"/>
        <w:rPr>
          <w:rFonts w:ascii="仿宋" w:hAnsi="仿宋" w:eastAsia="仿宋"/>
          <w:color w:val="000000"/>
        </w:rPr>
      </w:pPr>
      <w:bookmarkStart w:id="72" w:name="_Toc15396631"/>
      <w:r>
        <w:rPr>
          <w:rStyle w:val="18"/>
          <w:rFonts w:hint="eastAsia" w:ascii="仿宋" w:hAnsi="仿宋" w:eastAsia="仿宋"/>
          <w:b w:val="0"/>
          <w:bCs w:val="0"/>
        </w:rPr>
        <w:t>十三、</w:t>
      </w:r>
      <w:r>
        <w:rPr>
          <w:rFonts w:hint="eastAsia" w:ascii="仿宋" w:hAnsi="仿宋" w:eastAsia="仿宋"/>
          <w:b w:val="0"/>
          <w:color w:val="000000"/>
        </w:rPr>
        <w:t>国</w:t>
      </w:r>
      <w:r>
        <w:rPr>
          <w:rStyle w:val="18"/>
          <w:rFonts w:hint="eastAsia" w:ascii="仿宋" w:hAnsi="仿宋" w:eastAsia="仿宋"/>
          <w:b w:val="0"/>
          <w:bCs w:val="0"/>
        </w:rPr>
        <w:t>有资本经营预算支出决算表</w:t>
      </w:r>
      <w:bookmarkEnd w:id="72"/>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15</w:t>
    </w:r>
    <w:r>
      <w:rPr>
        <w:lang w:val="zh-CN"/>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1">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2">
    <w:nsid w:val="EC0BEF30"/>
    <w:multiLevelType w:val="singleLevel"/>
    <w:tmpl w:val="EC0BEF30"/>
    <w:lvl w:ilvl="0" w:tentative="0">
      <w:start w:val="1"/>
      <w:numFmt w:val="chineseCounting"/>
      <w:suff w:val="nothing"/>
      <w:lvlText w:val="（%1）"/>
      <w:lvlJc w:val="left"/>
      <w:rPr>
        <w:rFonts w:hint="eastAsia" w:ascii="楷体_GB2312" w:hAnsi="楷体_GB2312" w:eastAsia="楷体_GB2312" w:cs="楷体_GB2312"/>
        <w:b/>
        <w:bCs/>
        <w:sz w:val="32"/>
        <w:szCs w:val="32"/>
      </w:rPr>
    </w:lvl>
  </w:abstractNum>
  <w:abstractNum w:abstractNumId="3">
    <w:nsid w:val="073ECC7A"/>
    <w:multiLevelType w:val="singleLevel"/>
    <w:tmpl w:val="073ECC7A"/>
    <w:lvl w:ilvl="0" w:tentative="0">
      <w:start w:val="2"/>
      <w:numFmt w:val="decimal"/>
      <w:suff w:val="nothing"/>
      <w:lvlText w:val="%1、"/>
      <w:lvlJc w:val="left"/>
    </w:lvl>
  </w:abstractNum>
  <w:abstractNum w:abstractNumId="4">
    <w:nsid w:val="17F426B7"/>
    <w:multiLevelType w:val="multilevel"/>
    <w:tmpl w:val="17F426B7"/>
    <w:lvl w:ilvl="0" w:tentative="0">
      <w:start w:val="10"/>
      <w:numFmt w:val="japaneseCounting"/>
      <w:lvlText w:val="%1、"/>
      <w:lvlJc w:val="left"/>
      <w:pPr>
        <w:ind w:left="1429" w:hanging="720"/>
      </w:pPr>
      <w:rPr>
        <w:rFonts w:hint="default" w:cs="Times New Roman"/>
      </w:rPr>
    </w:lvl>
    <w:lvl w:ilvl="1" w:tentative="0">
      <w:start w:val="1"/>
      <w:numFmt w:val="lowerLetter"/>
      <w:lvlText w:val="%2)"/>
      <w:lvlJc w:val="left"/>
      <w:pPr>
        <w:ind w:left="1549" w:hanging="420"/>
      </w:pPr>
      <w:rPr>
        <w:rFonts w:cs="Times New Roman"/>
      </w:rPr>
    </w:lvl>
    <w:lvl w:ilvl="2" w:tentative="0">
      <w:start w:val="1"/>
      <w:numFmt w:val="lowerRoman"/>
      <w:lvlText w:val="%3."/>
      <w:lvlJc w:val="right"/>
      <w:pPr>
        <w:ind w:left="1969" w:hanging="420"/>
      </w:pPr>
      <w:rPr>
        <w:rFonts w:cs="Times New Roman"/>
      </w:rPr>
    </w:lvl>
    <w:lvl w:ilvl="3" w:tentative="0">
      <w:start w:val="1"/>
      <w:numFmt w:val="decimal"/>
      <w:lvlText w:val="%4."/>
      <w:lvlJc w:val="left"/>
      <w:pPr>
        <w:ind w:left="2389" w:hanging="420"/>
      </w:pPr>
      <w:rPr>
        <w:rFonts w:cs="Times New Roman"/>
      </w:rPr>
    </w:lvl>
    <w:lvl w:ilvl="4" w:tentative="0">
      <w:start w:val="1"/>
      <w:numFmt w:val="lowerLetter"/>
      <w:lvlText w:val="%5)"/>
      <w:lvlJc w:val="left"/>
      <w:pPr>
        <w:ind w:left="2809" w:hanging="420"/>
      </w:pPr>
      <w:rPr>
        <w:rFonts w:cs="Times New Roman"/>
      </w:rPr>
    </w:lvl>
    <w:lvl w:ilvl="5" w:tentative="0">
      <w:start w:val="1"/>
      <w:numFmt w:val="lowerRoman"/>
      <w:lvlText w:val="%6."/>
      <w:lvlJc w:val="right"/>
      <w:pPr>
        <w:ind w:left="3229" w:hanging="420"/>
      </w:pPr>
      <w:rPr>
        <w:rFonts w:cs="Times New Roman"/>
      </w:rPr>
    </w:lvl>
    <w:lvl w:ilvl="6" w:tentative="0">
      <w:start w:val="1"/>
      <w:numFmt w:val="decimal"/>
      <w:lvlText w:val="%7."/>
      <w:lvlJc w:val="left"/>
      <w:pPr>
        <w:ind w:left="3649" w:hanging="420"/>
      </w:pPr>
      <w:rPr>
        <w:rFonts w:cs="Times New Roman"/>
      </w:rPr>
    </w:lvl>
    <w:lvl w:ilvl="7" w:tentative="0">
      <w:start w:val="1"/>
      <w:numFmt w:val="lowerLetter"/>
      <w:lvlText w:val="%8)"/>
      <w:lvlJc w:val="left"/>
      <w:pPr>
        <w:ind w:left="4069" w:hanging="420"/>
      </w:pPr>
      <w:rPr>
        <w:rFonts w:cs="Times New Roman"/>
      </w:rPr>
    </w:lvl>
    <w:lvl w:ilvl="8" w:tentative="0">
      <w:start w:val="1"/>
      <w:numFmt w:val="lowerRoman"/>
      <w:lvlText w:val="%9."/>
      <w:lvlJc w:val="right"/>
      <w:pPr>
        <w:ind w:left="4489" w:hanging="420"/>
      </w:pPr>
      <w:rPr>
        <w:rFonts w:cs="Times New Roman"/>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F1361C"/>
    <w:rsid w:val="000222C6"/>
    <w:rsid w:val="0002549F"/>
    <w:rsid w:val="00056004"/>
    <w:rsid w:val="0006487A"/>
    <w:rsid w:val="00065F8F"/>
    <w:rsid w:val="00073F21"/>
    <w:rsid w:val="000768F2"/>
    <w:rsid w:val="00085DED"/>
    <w:rsid w:val="0009184B"/>
    <w:rsid w:val="0009593C"/>
    <w:rsid w:val="000B047F"/>
    <w:rsid w:val="000B5923"/>
    <w:rsid w:val="000B5A48"/>
    <w:rsid w:val="000B6FF3"/>
    <w:rsid w:val="000C3467"/>
    <w:rsid w:val="000C3CA6"/>
    <w:rsid w:val="000D1267"/>
    <w:rsid w:val="000D1D50"/>
    <w:rsid w:val="000D5782"/>
    <w:rsid w:val="000E6613"/>
    <w:rsid w:val="000E7119"/>
    <w:rsid w:val="00114E9B"/>
    <w:rsid w:val="0013223F"/>
    <w:rsid w:val="0014729F"/>
    <w:rsid w:val="00157BAB"/>
    <w:rsid w:val="001654D1"/>
    <w:rsid w:val="0017334E"/>
    <w:rsid w:val="0018106D"/>
    <w:rsid w:val="001877A7"/>
    <w:rsid w:val="00191536"/>
    <w:rsid w:val="00196687"/>
    <w:rsid w:val="001C0962"/>
    <w:rsid w:val="001C4400"/>
    <w:rsid w:val="001D3993"/>
    <w:rsid w:val="001D7531"/>
    <w:rsid w:val="001E737D"/>
    <w:rsid w:val="001F0592"/>
    <w:rsid w:val="001F7506"/>
    <w:rsid w:val="002006CD"/>
    <w:rsid w:val="00202B36"/>
    <w:rsid w:val="00204B7A"/>
    <w:rsid w:val="0021101A"/>
    <w:rsid w:val="00220536"/>
    <w:rsid w:val="00235629"/>
    <w:rsid w:val="00245B90"/>
    <w:rsid w:val="00260C38"/>
    <w:rsid w:val="002616C0"/>
    <w:rsid w:val="002662AA"/>
    <w:rsid w:val="00280496"/>
    <w:rsid w:val="002944BB"/>
    <w:rsid w:val="00295495"/>
    <w:rsid w:val="002A694B"/>
    <w:rsid w:val="002B2613"/>
    <w:rsid w:val="002F1818"/>
    <w:rsid w:val="002F567B"/>
    <w:rsid w:val="003216A9"/>
    <w:rsid w:val="00322EAE"/>
    <w:rsid w:val="0037013F"/>
    <w:rsid w:val="00380C92"/>
    <w:rsid w:val="003A484F"/>
    <w:rsid w:val="003B0BE0"/>
    <w:rsid w:val="003B0C1B"/>
    <w:rsid w:val="003B4C24"/>
    <w:rsid w:val="003B688C"/>
    <w:rsid w:val="003C0291"/>
    <w:rsid w:val="003C39AE"/>
    <w:rsid w:val="003C7B60"/>
    <w:rsid w:val="003D1FB2"/>
    <w:rsid w:val="003D25E6"/>
    <w:rsid w:val="003D3DEB"/>
    <w:rsid w:val="003D66DA"/>
    <w:rsid w:val="003E1310"/>
    <w:rsid w:val="003E6F55"/>
    <w:rsid w:val="00406254"/>
    <w:rsid w:val="004223DE"/>
    <w:rsid w:val="00434489"/>
    <w:rsid w:val="00437085"/>
    <w:rsid w:val="00443880"/>
    <w:rsid w:val="004464F4"/>
    <w:rsid w:val="00464025"/>
    <w:rsid w:val="00471401"/>
    <w:rsid w:val="00473F31"/>
    <w:rsid w:val="0048263A"/>
    <w:rsid w:val="00487E5D"/>
    <w:rsid w:val="004A711F"/>
    <w:rsid w:val="004B199D"/>
    <w:rsid w:val="004B4690"/>
    <w:rsid w:val="004D36C7"/>
    <w:rsid w:val="004E0A2D"/>
    <w:rsid w:val="004E206B"/>
    <w:rsid w:val="004E6DF7"/>
    <w:rsid w:val="004F0FBD"/>
    <w:rsid w:val="00505A47"/>
    <w:rsid w:val="00512FDA"/>
    <w:rsid w:val="00520264"/>
    <w:rsid w:val="00520DA0"/>
    <w:rsid w:val="00526A3B"/>
    <w:rsid w:val="005664BB"/>
    <w:rsid w:val="0057481D"/>
    <w:rsid w:val="0058486E"/>
    <w:rsid w:val="005B15FE"/>
    <w:rsid w:val="005D1C8B"/>
    <w:rsid w:val="005D5CED"/>
    <w:rsid w:val="005E1600"/>
    <w:rsid w:val="005F0F51"/>
    <w:rsid w:val="005F1A4C"/>
    <w:rsid w:val="005F28C9"/>
    <w:rsid w:val="00602F8F"/>
    <w:rsid w:val="00605688"/>
    <w:rsid w:val="006070AF"/>
    <w:rsid w:val="00607E6C"/>
    <w:rsid w:val="006101B1"/>
    <w:rsid w:val="00614E44"/>
    <w:rsid w:val="00622830"/>
    <w:rsid w:val="00630AEF"/>
    <w:rsid w:val="006325F8"/>
    <w:rsid w:val="00634C9A"/>
    <w:rsid w:val="006440E4"/>
    <w:rsid w:val="0066343B"/>
    <w:rsid w:val="00664777"/>
    <w:rsid w:val="00673F84"/>
    <w:rsid w:val="006748A4"/>
    <w:rsid w:val="00676FB0"/>
    <w:rsid w:val="00682C10"/>
    <w:rsid w:val="00683E73"/>
    <w:rsid w:val="006A3141"/>
    <w:rsid w:val="006A5E34"/>
    <w:rsid w:val="006B2422"/>
    <w:rsid w:val="006B2B9A"/>
    <w:rsid w:val="006C1937"/>
    <w:rsid w:val="006C40C2"/>
    <w:rsid w:val="006E49AE"/>
    <w:rsid w:val="006F020C"/>
    <w:rsid w:val="006F0327"/>
    <w:rsid w:val="007127B7"/>
    <w:rsid w:val="00716A57"/>
    <w:rsid w:val="007416B6"/>
    <w:rsid w:val="00746F48"/>
    <w:rsid w:val="0075404D"/>
    <w:rsid w:val="0076182A"/>
    <w:rsid w:val="00767B7E"/>
    <w:rsid w:val="00773C1E"/>
    <w:rsid w:val="007770C3"/>
    <w:rsid w:val="00784D24"/>
    <w:rsid w:val="00785FBA"/>
    <w:rsid w:val="00786E4A"/>
    <w:rsid w:val="007875EB"/>
    <w:rsid w:val="0079426B"/>
    <w:rsid w:val="007D312A"/>
    <w:rsid w:val="007D3F19"/>
    <w:rsid w:val="007E23B0"/>
    <w:rsid w:val="007F1991"/>
    <w:rsid w:val="007F2C2F"/>
    <w:rsid w:val="007F55FC"/>
    <w:rsid w:val="007F5665"/>
    <w:rsid w:val="00800112"/>
    <w:rsid w:val="008253BB"/>
    <w:rsid w:val="0083706E"/>
    <w:rsid w:val="008423A5"/>
    <w:rsid w:val="00850625"/>
    <w:rsid w:val="00853718"/>
    <w:rsid w:val="00855221"/>
    <w:rsid w:val="00856903"/>
    <w:rsid w:val="00860645"/>
    <w:rsid w:val="00871F71"/>
    <w:rsid w:val="00874103"/>
    <w:rsid w:val="00883EE6"/>
    <w:rsid w:val="00885AF4"/>
    <w:rsid w:val="00892508"/>
    <w:rsid w:val="008933A0"/>
    <w:rsid w:val="008939CD"/>
    <w:rsid w:val="008B48AE"/>
    <w:rsid w:val="008B768C"/>
    <w:rsid w:val="008C4DB1"/>
    <w:rsid w:val="008C4EAF"/>
    <w:rsid w:val="008C5176"/>
    <w:rsid w:val="008C7FD0"/>
    <w:rsid w:val="008E1DE7"/>
    <w:rsid w:val="008E707C"/>
    <w:rsid w:val="008F5928"/>
    <w:rsid w:val="00900B08"/>
    <w:rsid w:val="00902155"/>
    <w:rsid w:val="00902FA3"/>
    <w:rsid w:val="00905DE5"/>
    <w:rsid w:val="00912255"/>
    <w:rsid w:val="00923564"/>
    <w:rsid w:val="0092392E"/>
    <w:rsid w:val="009315F9"/>
    <w:rsid w:val="00932F24"/>
    <w:rsid w:val="00946945"/>
    <w:rsid w:val="00951248"/>
    <w:rsid w:val="0095152F"/>
    <w:rsid w:val="00954C49"/>
    <w:rsid w:val="00963E0E"/>
    <w:rsid w:val="0097099F"/>
    <w:rsid w:val="00971997"/>
    <w:rsid w:val="00971FFC"/>
    <w:rsid w:val="00975E6B"/>
    <w:rsid w:val="0098660A"/>
    <w:rsid w:val="009931C3"/>
    <w:rsid w:val="009B2C43"/>
    <w:rsid w:val="009B4EAE"/>
    <w:rsid w:val="009B7573"/>
    <w:rsid w:val="009C22F4"/>
    <w:rsid w:val="009C2E98"/>
    <w:rsid w:val="009D3447"/>
    <w:rsid w:val="009D4711"/>
    <w:rsid w:val="009F1185"/>
    <w:rsid w:val="009F18CD"/>
    <w:rsid w:val="009F2A13"/>
    <w:rsid w:val="00A04EB0"/>
    <w:rsid w:val="00A11CFA"/>
    <w:rsid w:val="00A13CC1"/>
    <w:rsid w:val="00A16847"/>
    <w:rsid w:val="00A237D8"/>
    <w:rsid w:val="00A268C4"/>
    <w:rsid w:val="00A307CD"/>
    <w:rsid w:val="00A40A00"/>
    <w:rsid w:val="00A4142F"/>
    <w:rsid w:val="00A56DF2"/>
    <w:rsid w:val="00A67AB5"/>
    <w:rsid w:val="00A91760"/>
    <w:rsid w:val="00A93B00"/>
    <w:rsid w:val="00A93C21"/>
    <w:rsid w:val="00AA4257"/>
    <w:rsid w:val="00AC3C6A"/>
    <w:rsid w:val="00AD5620"/>
    <w:rsid w:val="00AD7C1B"/>
    <w:rsid w:val="00AE16BA"/>
    <w:rsid w:val="00AE1EBE"/>
    <w:rsid w:val="00AE2CC8"/>
    <w:rsid w:val="00AE6749"/>
    <w:rsid w:val="00B03C9D"/>
    <w:rsid w:val="00B0458C"/>
    <w:rsid w:val="00B060AE"/>
    <w:rsid w:val="00B10517"/>
    <w:rsid w:val="00B13BAA"/>
    <w:rsid w:val="00B14E76"/>
    <w:rsid w:val="00B161B8"/>
    <w:rsid w:val="00B2048C"/>
    <w:rsid w:val="00B310B9"/>
    <w:rsid w:val="00B35F3F"/>
    <w:rsid w:val="00B36CBB"/>
    <w:rsid w:val="00B4077D"/>
    <w:rsid w:val="00B425E0"/>
    <w:rsid w:val="00B440AA"/>
    <w:rsid w:val="00B44B70"/>
    <w:rsid w:val="00B53C56"/>
    <w:rsid w:val="00B77EA6"/>
    <w:rsid w:val="00B81598"/>
    <w:rsid w:val="00B841F1"/>
    <w:rsid w:val="00B868EB"/>
    <w:rsid w:val="00B944D6"/>
    <w:rsid w:val="00BB4DF0"/>
    <w:rsid w:val="00BC289F"/>
    <w:rsid w:val="00BC5361"/>
    <w:rsid w:val="00BC5460"/>
    <w:rsid w:val="00BC6B50"/>
    <w:rsid w:val="00BD0E25"/>
    <w:rsid w:val="00BD7238"/>
    <w:rsid w:val="00BF5BD6"/>
    <w:rsid w:val="00C03E31"/>
    <w:rsid w:val="00C15825"/>
    <w:rsid w:val="00C21344"/>
    <w:rsid w:val="00C33958"/>
    <w:rsid w:val="00C33E72"/>
    <w:rsid w:val="00C354B2"/>
    <w:rsid w:val="00C35554"/>
    <w:rsid w:val="00C42709"/>
    <w:rsid w:val="00C533CC"/>
    <w:rsid w:val="00C5751C"/>
    <w:rsid w:val="00C61BFC"/>
    <w:rsid w:val="00C62B85"/>
    <w:rsid w:val="00C65438"/>
    <w:rsid w:val="00C91CBB"/>
    <w:rsid w:val="00CC09B6"/>
    <w:rsid w:val="00CC666F"/>
    <w:rsid w:val="00CD1E3F"/>
    <w:rsid w:val="00CE44F6"/>
    <w:rsid w:val="00CE49DA"/>
    <w:rsid w:val="00CE7B61"/>
    <w:rsid w:val="00D00095"/>
    <w:rsid w:val="00D01664"/>
    <w:rsid w:val="00D20620"/>
    <w:rsid w:val="00D26091"/>
    <w:rsid w:val="00D34965"/>
    <w:rsid w:val="00D34E7C"/>
    <w:rsid w:val="00D35489"/>
    <w:rsid w:val="00D51276"/>
    <w:rsid w:val="00D7035F"/>
    <w:rsid w:val="00D81C50"/>
    <w:rsid w:val="00DA65AC"/>
    <w:rsid w:val="00DB0F51"/>
    <w:rsid w:val="00DB1913"/>
    <w:rsid w:val="00DC410D"/>
    <w:rsid w:val="00DC68CA"/>
    <w:rsid w:val="00DC7CBA"/>
    <w:rsid w:val="00DD73B7"/>
    <w:rsid w:val="00DF28BC"/>
    <w:rsid w:val="00DF34B9"/>
    <w:rsid w:val="00E01053"/>
    <w:rsid w:val="00E07ACF"/>
    <w:rsid w:val="00E331A1"/>
    <w:rsid w:val="00E33202"/>
    <w:rsid w:val="00E336A9"/>
    <w:rsid w:val="00E50624"/>
    <w:rsid w:val="00E568DF"/>
    <w:rsid w:val="00E60947"/>
    <w:rsid w:val="00E64269"/>
    <w:rsid w:val="00E82267"/>
    <w:rsid w:val="00E90C9B"/>
    <w:rsid w:val="00E94FB0"/>
    <w:rsid w:val="00EA010F"/>
    <w:rsid w:val="00ED1B63"/>
    <w:rsid w:val="00ED3C1F"/>
    <w:rsid w:val="00ED4085"/>
    <w:rsid w:val="00ED420E"/>
    <w:rsid w:val="00EE2F57"/>
    <w:rsid w:val="00EF4C34"/>
    <w:rsid w:val="00EF77C6"/>
    <w:rsid w:val="00F05438"/>
    <w:rsid w:val="00F1361C"/>
    <w:rsid w:val="00F160C7"/>
    <w:rsid w:val="00F36D8F"/>
    <w:rsid w:val="00F417B1"/>
    <w:rsid w:val="00F602DF"/>
    <w:rsid w:val="00F81FD9"/>
    <w:rsid w:val="00F841AA"/>
    <w:rsid w:val="00FA23E8"/>
    <w:rsid w:val="00FD3CC1"/>
    <w:rsid w:val="00FF1E02"/>
    <w:rsid w:val="00FF30B4"/>
    <w:rsid w:val="043276EE"/>
    <w:rsid w:val="0448205D"/>
    <w:rsid w:val="0C8A15E4"/>
    <w:rsid w:val="0DFF4AB1"/>
    <w:rsid w:val="0F7E2CF6"/>
    <w:rsid w:val="10C055FF"/>
    <w:rsid w:val="144E0985"/>
    <w:rsid w:val="14954B05"/>
    <w:rsid w:val="155E3247"/>
    <w:rsid w:val="16BB723D"/>
    <w:rsid w:val="1B555F4D"/>
    <w:rsid w:val="240371BF"/>
    <w:rsid w:val="29FD04D3"/>
    <w:rsid w:val="2E4E260D"/>
    <w:rsid w:val="30596B96"/>
    <w:rsid w:val="319F7F4E"/>
    <w:rsid w:val="3DFC1E75"/>
    <w:rsid w:val="477051F3"/>
    <w:rsid w:val="4E1E5545"/>
    <w:rsid w:val="4E4D1921"/>
    <w:rsid w:val="514214CA"/>
    <w:rsid w:val="51EF6978"/>
    <w:rsid w:val="52165916"/>
    <w:rsid w:val="531F1DE8"/>
    <w:rsid w:val="57275CE1"/>
    <w:rsid w:val="59351F17"/>
    <w:rsid w:val="5A1F30EB"/>
    <w:rsid w:val="5D2E0C1B"/>
    <w:rsid w:val="685E386A"/>
    <w:rsid w:val="68FA502D"/>
    <w:rsid w:val="6BE07D8E"/>
    <w:rsid w:val="6D0B3FC0"/>
    <w:rsid w:val="73860952"/>
    <w:rsid w:val="7AEC2043"/>
    <w:rsid w:val="7D104712"/>
    <w:rsid w:val="7F834E5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qFormat="1" w:unhideWhenUsed="0" w:uiPriority="9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30"/>
    <w:qFormat/>
    <w:uiPriority w:val="99"/>
    <w:pPr>
      <w:keepNext/>
      <w:keepLines/>
      <w:spacing w:before="260" w:after="260" w:line="416" w:lineRule="auto"/>
      <w:outlineLvl w:val="1"/>
    </w:pPr>
    <w:rPr>
      <w:rFonts w:ascii="Cambria" w:hAnsi="Cambria"/>
      <w:b/>
      <w:bCs/>
      <w:sz w:val="32"/>
      <w:szCs w:val="32"/>
    </w:rPr>
  </w:style>
  <w:style w:type="paragraph" w:styleId="4">
    <w:name w:val="heading 3"/>
    <w:basedOn w:val="1"/>
    <w:next w:val="1"/>
    <w:link w:val="19"/>
    <w:qFormat/>
    <w:uiPriority w:val="99"/>
    <w:pPr>
      <w:keepNext/>
      <w:keepLines/>
      <w:spacing w:before="260" w:after="260" w:line="416" w:lineRule="auto"/>
      <w:outlineLvl w:val="2"/>
    </w:pPr>
    <w:rPr>
      <w:b/>
      <w:bCs/>
      <w:sz w:val="32"/>
      <w:szCs w:val="32"/>
    </w:rPr>
  </w:style>
  <w:style w:type="character" w:default="1" w:styleId="13">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5">
    <w:name w:val="Body Text"/>
    <w:basedOn w:val="1"/>
    <w:link w:val="25"/>
    <w:qFormat/>
    <w:uiPriority w:val="99"/>
    <w:pPr>
      <w:spacing w:beforeLines="30"/>
    </w:pPr>
    <w:rPr>
      <w:rFonts w:ascii="仿宋_GB2312" w:eastAsia="仿宋_GB2312"/>
      <w:kern w:val="0"/>
      <w:sz w:val="24"/>
      <w:szCs w:val="20"/>
    </w:rPr>
  </w:style>
  <w:style w:type="paragraph" w:styleId="6">
    <w:name w:val="toc 3"/>
    <w:basedOn w:val="1"/>
    <w:next w:val="1"/>
    <w:qFormat/>
    <w:uiPriority w:val="99"/>
    <w:pPr>
      <w:tabs>
        <w:tab w:val="right" w:leader="dot" w:pos="8296"/>
      </w:tabs>
      <w:ind w:left="840" w:leftChars="400"/>
    </w:pPr>
  </w:style>
  <w:style w:type="paragraph" w:styleId="7">
    <w:name w:val="Balloon Text"/>
    <w:basedOn w:val="1"/>
    <w:link w:val="29"/>
    <w:semiHidden/>
    <w:qFormat/>
    <w:uiPriority w:val="99"/>
    <w:rPr>
      <w:sz w:val="18"/>
      <w:szCs w:val="18"/>
    </w:rPr>
  </w:style>
  <w:style w:type="paragraph" w:styleId="8">
    <w:name w:val="footer"/>
    <w:basedOn w:val="1"/>
    <w:link w:val="24"/>
    <w:qFormat/>
    <w:uiPriority w:val="99"/>
    <w:pPr>
      <w:tabs>
        <w:tab w:val="center" w:pos="4153"/>
        <w:tab w:val="right" w:pos="8306"/>
      </w:tabs>
      <w:snapToGrid w:val="0"/>
      <w:jc w:val="left"/>
    </w:pPr>
    <w:rPr>
      <w:rFonts w:ascii="Calibri" w:hAnsi="Calibri"/>
      <w:kern w:val="0"/>
      <w:sz w:val="18"/>
      <w:szCs w:val="20"/>
    </w:rPr>
  </w:style>
  <w:style w:type="paragraph" w:styleId="9">
    <w:name w:val="header"/>
    <w:basedOn w:val="1"/>
    <w:link w:val="23"/>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10">
    <w:name w:val="toc 1"/>
    <w:basedOn w:val="1"/>
    <w:next w:val="1"/>
    <w:qFormat/>
    <w:uiPriority w:val="99"/>
    <w:pPr>
      <w:tabs>
        <w:tab w:val="right" w:leader="dot" w:pos="8296"/>
      </w:tabs>
      <w:spacing w:before="93"/>
      <w:jc w:val="center"/>
    </w:pPr>
    <w:rPr>
      <w:rFonts w:ascii="仿宋" w:hAnsi="仿宋" w:eastAsia="仿宋"/>
      <w:sz w:val="28"/>
      <w:szCs w:val="28"/>
    </w:rPr>
  </w:style>
  <w:style w:type="paragraph" w:styleId="11">
    <w:name w:val="toc 2"/>
    <w:basedOn w:val="1"/>
    <w:next w:val="1"/>
    <w:qFormat/>
    <w:uiPriority w:val="99"/>
    <w:pPr>
      <w:tabs>
        <w:tab w:val="right" w:leader="dot" w:pos="8296"/>
      </w:tabs>
      <w:ind w:left="420" w:leftChars="200"/>
    </w:pPr>
  </w:style>
  <w:style w:type="paragraph" w:styleId="12">
    <w:name w:val="Normal (Web)"/>
    <w:basedOn w:val="1"/>
    <w:unhideWhenUsed/>
    <w:qFormat/>
    <w:uiPriority w:val="99"/>
    <w:pPr>
      <w:jc w:val="left"/>
    </w:pPr>
    <w:rPr>
      <w:kern w:val="0"/>
      <w:sz w:val="24"/>
    </w:rPr>
  </w:style>
  <w:style w:type="character" w:styleId="14">
    <w:name w:val="Strong"/>
    <w:basedOn w:val="13"/>
    <w:qFormat/>
    <w:uiPriority w:val="22"/>
    <w:rPr>
      <w:rFonts w:cs="Times New Roman"/>
      <w:b/>
    </w:rPr>
  </w:style>
  <w:style w:type="character" w:styleId="15">
    <w:name w:val="Hyperlink"/>
    <w:basedOn w:val="13"/>
    <w:qFormat/>
    <w:uiPriority w:val="99"/>
    <w:rPr>
      <w:rFonts w:cs="Times New Roman"/>
      <w:color w:val="0000FF"/>
      <w:u w:val="single"/>
    </w:rPr>
  </w:style>
  <w:style w:type="character" w:customStyle="1" w:styleId="17">
    <w:name w:val="标题 1 Char"/>
    <w:basedOn w:val="13"/>
    <w:link w:val="2"/>
    <w:qFormat/>
    <w:locked/>
    <w:uiPriority w:val="99"/>
    <w:rPr>
      <w:rFonts w:ascii="Times New Roman" w:hAnsi="Times New Roman" w:cs="Times New Roman"/>
      <w:b/>
      <w:bCs/>
      <w:kern w:val="44"/>
      <w:sz w:val="44"/>
      <w:szCs w:val="44"/>
    </w:rPr>
  </w:style>
  <w:style w:type="character" w:customStyle="1" w:styleId="18">
    <w:name w:val="标题 2 Char"/>
    <w:basedOn w:val="13"/>
    <w:link w:val="3"/>
    <w:qFormat/>
    <w:locked/>
    <w:uiPriority w:val="99"/>
    <w:rPr>
      <w:rFonts w:ascii="Cambria" w:hAnsi="Cambria" w:eastAsia="宋体" w:cs="Times New Roman"/>
      <w:b/>
      <w:bCs/>
      <w:kern w:val="2"/>
      <w:sz w:val="32"/>
      <w:szCs w:val="32"/>
    </w:rPr>
  </w:style>
  <w:style w:type="character" w:customStyle="1" w:styleId="19">
    <w:name w:val="标题 3 Char"/>
    <w:basedOn w:val="13"/>
    <w:link w:val="4"/>
    <w:qFormat/>
    <w:locked/>
    <w:uiPriority w:val="99"/>
    <w:rPr>
      <w:rFonts w:ascii="Times New Roman" w:hAnsi="Times New Roman" w:cs="Times New Roman"/>
      <w:b/>
      <w:bCs/>
      <w:kern w:val="2"/>
      <w:sz w:val="32"/>
      <w:szCs w:val="32"/>
    </w:rPr>
  </w:style>
  <w:style w:type="character" w:customStyle="1" w:styleId="20">
    <w:name w:val="Body Text Char"/>
    <w:basedOn w:val="13"/>
    <w:link w:val="5"/>
    <w:semiHidden/>
    <w:qFormat/>
    <w:uiPriority w:val="99"/>
    <w:rPr>
      <w:rFonts w:ascii="Times New Roman" w:hAnsi="Times New Roman" w:cs="Times New Roman"/>
      <w:sz w:val="24"/>
      <w:szCs w:val="24"/>
    </w:rPr>
  </w:style>
  <w:style w:type="character" w:customStyle="1" w:styleId="21">
    <w:name w:val="Footer Char"/>
    <w:basedOn w:val="13"/>
    <w:link w:val="8"/>
    <w:semiHidden/>
    <w:qFormat/>
    <w:uiPriority w:val="99"/>
    <w:rPr>
      <w:rFonts w:ascii="Times New Roman" w:hAnsi="Times New Roman" w:cs="Times New Roman"/>
      <w:sz w:val="18"/>
      <w:szCs w:val="18"/>
    </w:rPr>
  </w:style>
  <w:style w:type="character" w:customStyle="1" w:styleId="22">
    <w:name w:val="Header Char"/>
    <w:basedOn w:val="13"/>
    <w:link w:val="9"/>
    <w:semiHidden/>
    <w:qFormat/>
    <w:uiPriority w:val="99"/>
    <w:rPr>
      <w:rFonts w:ascii="Times New Roman" w:hAnsi="Times New Roman" w:cs="Times New Roman"/>
      <w:sz w:val="18"/>
      <w:szCs w:val="18"/>
    </w:rPr>
  </w:style>
  <w:style w:type="character" w:customStyle="1" w:styleId="23">
    <w:name w:val="页眉 Char"/>
    <w:link w:val="9"/>
    <w:semiHidden/>
    <w:qFormat/>
    <w:locked/>
    <w:uiPriority w:val="99"/>
    <w:rPr>
      <w:sz w:val="18"/>
    </w:rPr>
  </w:style>
  <w:style w:type="character" w:customStyle="1" w:styleId="24">
    <w:name w:val="页脚 Char"/>
    <w:link w:val="8"/>
    <w:qFormat/>
    <w:locked/>
    <w:uiPriority w:val="99"/>
    <w:rPr>
      <w:sz w:val="18"/>
    </w:rPr>
  </w:style>
  <w:style w:type="character" w:customStyle="1" w:styleId="25">
    <w:name w:val="正文文本 Char"/>
    <w:link w:val="5"/>
    <w:qFormat/>
    <w:locked/>
    <w:uiPriority w:val="99"/>
    <w:rPr>
      <w:rFonts w:ascii="仿宋_GB2312" w:hAnsi="Times New Roman" w:eastAsia="仿宋_GB2312"/>
      <w:sz w:val="24"/>
    </w:rPr>
  </w:style>
  <w:style w:type="paragraph" w:customStyle="1" w:styleId="26">
    <w:name w:val="Default"/>
    <w:qFormat/>
    <w:uiPriority w:val="0"/>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7">
    <w:name w:val="List Paragraph"/>
    <w:basedOn w:val="1"/>
    <w:qFormat/>
    <w:uiPriority w:val="99"/>
    <w:pPr>
      <w:ind w:firstLine="420" w:firstLineChars="200"/>
    </w:pPr>
  </w:style>
  <w:style w:type="paragraph" w:customStyle="1" w:styleId="28">
    <w:name w:val="TOC 标题1"/>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29">
    <w:name w:val="批注框文本 Char"/>
    <w:basedOn w:val="13"/>
    <w:link w:val="7"/>
    <w:semiHidden/>
    <w:qFormat/>
    <w:locked/>
    <w:uiPriority w:val="99"/>
    <w:rPr>
      <w:rFonts w:ascii="Times New Roman" w:hAnsi="Times New Roman" w:cs="Times New Roman"/>
      <w:kern w:val="2"/>
      <w:sz w:val="18"/>
      <w:szCs w:val="18"/>
    </w:rPr>
  </w:style>
  <w:style w:type="character" w:customStyle="1" w:styleId="30">
    <w:name w:val="Heading 2 Char"/>
    <w:basedOn w:val="13"/>
    <w:link w:val="3"/>
    <w:qFormat/>
    <w:locked/>
    <w:uiPriority w:val="99"/>
    <w:rPr>
      <w:rFonts w:ascii="Cambria" w:hAnsi="Cambria" w:eastAsia="宋体" w:cs="Times New Roman"/>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chart" Target="charts/chart7.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5.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_rels/chart7.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package" Target="../embeddings/Workbook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收、支决算总计变动情况图</a:t>
            </a: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金额（万元）</c:v>
                </c:pt>
              </c:strCache>
            </c:strRef>
          </c:tx>
          <c:spPr>
            <a:solidFill>
              <a:schemeClr val="accent1"/>
            </a:solidFill>
            <a:ln>
              <a:noFill/>
            </a:ln>
            <a:effectLst/>
          </c:spPr>
          <c:invertIfNegative val="0"/>
          <c:dLbls>
            <c:delete val="1"/>
          </c:dLbls>
          <c:cat>
            <c:strRef>
              <c:extLst>
                <c:ext xmlns:c15="http://schemas.microsoft.com/office/drawing/2012/chart" uri="{02D57815-91ED-43cb-92C2-25804820EDAC}">
                  <c15:fullRef>
                    <c15:sqref>Sheet1!$A$2:$A$5</c15:sqref>
                  </c15:fullRef>
                </c:ext>
              </c:extLst>
              <c:f>Sheet1!$A$2:$A$3</c:f>
              <c:strCache>
                <c:ptCount val="2"/>
                <c:pt idx="0">
                  <c:v>2019年</c:v>
                </c:pt>
                <c:pt idx="1">
                  <c:v>2018年</c:v>
                </c:pt>
              </c:strCache>
            </c:strRef>
          </c:cat>
          <c:val>
            <c:numRef>
              <c:extLst>
                <c:ext xmlns:c15="http://schemas.microsoft.com/office/drawing/2012/chart" uri="{02D57815-91ED-43cb-92C2-25804820EDAC}">
                  <c15:fullRef>
                    <c15:sqref>Sheet1!$B$2:$B$5</c15:sqref>
                  </c15:fullRef>
                </c:ext>
              </c:extLst>
              <c:f>Sheet1!$B$2:$B$3</c:f>
              <c:numCache>
                <c:formatCode>General</c:formatCode>
                <c:ptCount val="2"/>
                <c:pt idx="0">
                  <c:v>265.18</c:v>
                </c:pt>
                <c:pt idx="1">
                  <c:v>249.62</c:v>
                </c:pt>
              </c:numCache>
            </c:numRef>
          </c:val>
        </c:ser>
        <c:dLbls>
          <c:showLegendKey val="0"/>
          <c:showVal val="0"/>
          <c:showCatName val="0"/>
          <c:showSerName val="0"/>
          <c:showPercent val="0"/>
          <c:showBubbleSize val="0"/>
        </c:dLbls>
        <c:gapWidth val="150"/>
        <c:overlap val="0"/>
        <c:axId val="888324486"/>
        <c:axId val="74768203"/>
        <c:extLst>
          <c:ext xmlns:c15="http://schemas.microsoft.com/office/drawing/2012/chart" uri="{02D57815-91ED-43cb-92C2-25804820EDAC}">
            <c15:filteredBarSeries>
              <c15:ser>
                <c:idx val="1"/>
                <c:order val="1"/>
                <c:tx>
                  <c:strRef>
                    <c:extLst>
                      <c:ext uri="{02D57815-91ED-43cb-92C2-25804820EDAC}">
                        <c15:formulaRef>
                          <c15:sqref>Sheet1!$C$1</c15:sqref>
                        </c15:formulaRef>
                      </c:ext>
                    </c:extLst>
                    <c:strCache>
                      <c:ptCount val="1"/>
                      <c:pt idx="0">
                        <c:v/>
                      </c:pt>
                    </c:strCache>
                  </c:strRef>
                </c:tx>
                <c:spPr>
                  <a:solidFill>
                    <a:schemeClr val="accent2"/>
                  </a:solidFill>
                  <a:ln>
                    <a:noFill/>
                  </a:ln>
                  <a:effectLst/>
                </c:spPr>
                <c:invertIfNegative val="0"/>
                <c:dLbls>
                  <c:delete val="1"/>
                </c:dLbls>
                <c:cat>
                  <c:strRef>
                    <c:extLst>
                      <c:ext uri="{02D57815-91ED-43cb-92C2-25804820EDAC}">
                        <c15:fullRef>
                          <c15:sqref>Sheet1!$A$2:$A$5</c15:sqref>
                        </c15:fullRef>
                        <c15:formulaRef>
                          <c15:sqref>Sheet1!$A$2:$A$3</c15:sqref>
                        </c15:formulaRef>
                      </c:ext>
                    </c:extLst>
                    <c:strCache>
                      <c:ptCount val="2"/>
                      <c:pt idx="0">
                        <c:v>2019年</c:v>
                      </c:pt>
                      <c:pt idx="1">
                        <c:v>2018年</c:v>
                      </c:pt>
                    </c:strCache>
                  </c:strRef>
                </c:cat>
                <c:val>
                  <c:numRef>
                    <c:extLst>
                      <c:ext uri="{02D57815-91ED-43cb-92C2-25804820EDAC}">
                        <c15:fullRef>
                          <c15:sqref>Sheet1!$C$2:$C$5</c15:sqref>
                        </c15:fullRef>
                        <c15:formulaRef>
                          <c15:sqref>Sheet1!$C$2:$C$3</c15:sqref>
                        </c15:formulaRef>
                      </c:ext>
                    </c:extLst>
                    <c:numCache>
                      <c:formatCode>General</c:formatCode>
                      <c:ptCount val="2"/>
                    </c:numCache>
                  </c:numRef>
                </c:val>
              </c15:ser>
            </c15:filteredBarSeries>
            <c15:filteredBarSeries>
              <c15:ser>
                <c:idx val="2"/>
                <c:order val="2"/>
                <c:tx>
                  <c:strRef>
                    <c:extLst>
                      <c:ext uri="{02D57815-91ED-43cb-92C2-25804820EDAC}">
                        <c15:formulaRef>
                          <c15:sqref>Sheet1!$D$1</c15:sqref>
                        </c15:formulaRef>
                      </c:ext>
                    </c:extLst>
                    <c:strCache>
                      <c:ptCount val="1"/>
                      <c:pt idx="0">
                        <c:v/>
                      </c:pt>
                    </c:strCache>
                  </c:strRef>
                </c:tx>
                <c:spPr>
                  <a:solidFill>
                    <a:schemeClr val="accent3"/>
                  </a:solidFill>
                  <a:ln>
                    <a:noFill/>
                  </a:ln>
                  <a:effectLst/>
                </c:spPr>
                <c:invertIfNegative val="0"/>
                <c:dLbls>
                  <c:delete val="1"/>
                </c:dLbls>
                <c:cat>
                  <c:strRef>
                    <c:extLst>
                      <c:ext uri="{02D57815-91ED-43cb-92C2-25804820EDAC}">
                        <c15:fullRef>
                          <c15:sqref>Sheet1!$A$2:$A$5</c15:sqref>
                        </c15:fullRef>
                        <c15:formulaRef>
                          <c15:sqref>Sheet1!$A$2:$A$3</c15:sqref>
                        </c15:formulaRef>
                      </c:ext>
                    </c:extLst>
                    <c:strCache>
                      <c:ptCount val="2"/>
                      <c:pt idx="0">
                        <c:v>2019年</c:v>
                      </c:pt>
                      <c:pt idx="1">
                        <c:v>2018年</c:v>
                      </c:pt>
                    </c:strCache>
                  </c:strRef>
                </c:cat>
                <c:val>
                  <c:numRef>
                    <c:extLst>
                      <c:ext uri="{02D57815-91ED-43cb-92C2-25804820EDAC}">
                        <c15:fullRef>
                          <c15:sqref>Sheet1!$D$2:$D$5</c15:sqref>
                        </c15:fullRef>
                        <c15:formulaRef>
                          <c15:sqref>Sheet1!$D$2:$D$3</c15:sqref>
                        </c15:formulaRef>
                      </c:ext>
                    </c:extLst>
                    <c:numCache>
                      <c:formatCode>General</c:formatCode>
                      <c:ptCount val="2"/>
                    </c:numCache>
                  </c:numRef>
                </c:val>
              </c15:ser>
            </c15:filteredBarSeries>
          </c:ext>
        </c:extLst>
      </c:barChart>
      <c:catAx>
        <c:axId val="88832448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4768203"/>
        <c:crosses val="autoZero"/>
        <c:auto val="1"/>
        <c:lblAlgn val="ctr"/>
        <c:lblOffset val="100"/>
        <c:noMultiLvlLbl val="0"/>
      </c:catAx>
      <c:valAx>
        <c:axId val="7476820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88324486"/>
        <c:crosses val="autoZero"/>
        <c:crossBetween val="between"/>
      </c:valAx>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收入决算结构图</a:t>
            </a:r>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xmlns:c15="http://schemas.microsoft.com/office/drawing/2012/chart" uri="{02D57815-91ED-43cb-92C2-25804820EDAC}">
                  <c15:fullRef>
                    <c15:sqref>Sheet1!$A$2:$A$5</c15:sqref>
                  </c15:fullRef>
                </c:ext>
              </c:extLst>
              <c:f>Sheet1!$A$2:$A$3</c:f>
              <c:strCache>
                <c:ptCount val="2"/>
                <c:pt idx="0">
                  <c:v>一般公共预算财政拨款收入</c:v>
                </c:pt>
                <c:pt idx="1">
                  <c:v>事业收入</c:v>
                </c:pt>
              </c:strCache>
            </c:strRef>
          </c:cat>
          <c:val>
            <c:numRef>
              <c:extLst>
                <c:ext xmlns:c15="http://schemas.microsoft.com/office/drawing/2012/chart" uri="{02D57815-91ED-43cb-92C2-25804820EDAC}">
                  <c15:fullRef>
                    <c15:sqref>Sheet1!$B$2:$B$5</c15:sqref>
                  </c15:fullRef>
                </c:ext>
              </c:extLst>
              <c:f>Sheet1!$B$2:$B$3</c:f>
              <c:numCache>
                <c:formatCode>General</c:formatCode>
                <c:ptCount val="2"/>
                <c:pt idx="0">
                  <c:v>99</c:v>
                </c:pt>
                <c:pt idx="1">
                  <c:v>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支出决算结构图</a:t>
            </a:r>
          </a:p>
        </c:rich>
      </c:tx>
      <c:layout/>
      <c:overlay val="0"/>
      <c:spPr>
        <a:noFill/>
        <a:ln>
          <a:noFill/>
        </a:ln>
        <a:effectLst/>
      </c:spPr>
    </c:title>
    <c:autoTitleDeleted val="0"/>
    <c:plotArea>
      <c:layout/>
      <c:pieChart>
        <c:varyColors val="1"/>
        <c:ser>
          <c:idx val="0"/>
          <c:order val="0"/>
          <c:tx>
            <c:strRef>
              <c:f>Sheet1!$B$1</c:f>
              <c:strCache>
                <c:ptCount val="1"/>
                <c:pt idx="0">
                  <c:v>列2</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xmlns:c15="http://schemas.microsoft.com/office/drawing/2012/chart" uri="{02D57815-91ED-43cb-92C2-25804820EDAC}">
                  <c15:fullRef>
                    <c15:sqref>Sheet1!$A$2:$A$5</c15:sqref>
                  </c15:fullRef>
                </c:ext>
              </c:extLst>
              <c:f>Sheet1!$A$2:$A$3</c:f>
              <c:strCache>
                <c:ptCount val="2"/>
                <c:pt idx="0">
                  <c:v>教育支出</c:v>
                </c:pt>
                <c:pt idx="1">
                  <c:v>住房保障支出</c:v>
                </c:pt>
              </c:strCache>
            </c:strRef>
          </c:cat>
          <c:val>
            <c:numRef>
              <c:extLst>
                <c:ext xmlns:c15="http://schemas.microsoft.com/office/drawing/2012/chart" uri="{02D57815-91ED-43cb-92C2-25804820EDAC}">
                  <c15:fullRef>
                    <c15:sqref>Sheet1!$B$2:$B$5</c15:sqref>
                  </c15:fullRef>
                </c:ext>
              </c:extLst>
              <c:f>Sheet1!$B$2:$B$3</c:f>
              <c:numCache>
                <c:formatCode>General</c:formatCode>
                <c:ptCount val="2"/>
                <c:pt idx="0">
                  <c:v>200.01</c:v>
                </c:pt>
                <c:pt idx="1">
                  <c:v>15.39</c:v>
                </c:pt>
              </c:numCache>
            </c:numRef>
          </c:val>
        </c:ser>
        <c:dLbls>
          <c:showLegendKey val="0"/>
          <c:showVal val="0"/>
          <c:showCatName val="1"/>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财政拨款收、支决算总计变动情况</a:t>
            </a: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2019年</c:v>
                </c:pt>
              </c:strCache>
            </c:strRef>
          </c:tx>
          <c:spPr>
            <a:solidFill>
              <a:schemeClr val="accent1"/>
            </a:solidFill>
            <a:ln>
              <a:noFill/>
            </a:ln>
            <a:effectLst/>
          </c:spPr>
          <c:invertIfNegative val="0"/>
          <c:dLbls>
            <c:delete val="1"/>
          </c:dLbls>
          <c:cat>
            <c:numRef>
              <c:extLst>
                <c:ext xmlns:c15="http://schemas.microsoft.com/office/drawing/2012/chart" uri="{02D57815-91ED-43cb-92C2-25804820EDAC}">
                  <c15:fullRef>
                    <c15:sqref>Sheet1!$A$2:$A$5</c15:sqref>
                  </c15:fullRef>
                </c:ext>
              </c:extLst>
              <c:f>Sheet1!$A$2:$A$3</c:f>
              <c:numCache>
                <c:formatCode>General</c:formatCode>
                <c:ptCount val="2"/>
              </c:numCache>
            </c:numRef>
          </c:cat>
          <c:val>
            <c:numRef>
              <c:extLst>
                <c:ext xmlns:c15="http://schemas.microsoft.com/office/drawing/2012/chart" uri="{02D57815-91ED-43cb-92C2-25804820EDAC}">
                  <c15:fullRef>
                    <c15:sqref>Sheet1!$B$2:$B$5</c15:sqref>
                  </c15:fullRef>
                </c:ext>
              </c:extLst>
              <c:f>Sheet1!$B$2:$B$3</c:f>
              <c:numCache>
                <c:formatCode>General</c:formatCode>
                <c:ptCount val="2"/>
                <c:pt idx="0">
                  <c:v>265.18</c:v>
                </c:pt>
                <c:pt idx="1">
                  <c:v>265.18</c:v>
                </c:pt>
              </c:numCache>
            </c:numRef>
          </c:val>
        </c:ser>
        <c:ser>
          <c:idx val="1"/>
          <c:order val="1"/>
          <c:tx>
            <c:strRef>
              <c:f>Sheet1!$C$1</c:f>
              <c:strCache>
                <c:ptCount val="1"/>
                <c:pt idx="0">
                  <c:v>2018年</c:v>
                </c:pt>
              </c:strCache>
            </c:strRef>
          </c:tx>
          <c:spPr>
            <a:solidFill>
              <a:schemeClr val="accent2"/>
            </a:solidFill>
            <a:ln>
              <a:noFill/>
            </a:ln>
            <a:effectLst/>
          </c:spPr>
          <c:invertIfNegative val="0"/>
          <c:dLbls>
            <c:delete val="1"/>
          </c:dLbls>
          <c:cat>
            <c:numRef>
              <c:extLst>
                <c:ext xmlns:c15="http://schemas.microsoft.com/office/drawing/2012/chart" uri="{02D57815-91ED-43cb-92C2-25804820EDAC}">
                  <c15:fullRef>
                    <c15:sqref>Sheet1!$A$2:$A$5</c15:sqref>
                  </c15:fullRef>
                </c:ext>
              </c:extLst>
              <c:f>Sheet1!$A$2:$A$3</c:f>
              <c:numCache>
                <c:formatCode>General</c:formatCode>
                <c:ptCount val="2"/>
              </c:numCache>
            </c:numRef>
          </c:cat>
          <c:val>
            <c:numRef>
              <c:extLst>
                <c:ext xmlns:c15="http://schemas.microsoft.com/office/drawing/2012/chart" uri="{02D57815-91ED-43cb-92C2-25804820EDAC}">
                  <c15:fullRef>
                    <c15:sqref>Sheet1!$C$2:$C$5</c15:sqref>
                  </c15:fullRef>
                </c:ext>
              </c:extLst>
              <c:f>Sheet1!$C$2:$C$3</c:f>
              <c:numCache>
                <c:formatCode>General</c:formatCode>
                <c:ptCount val="2"/>
                <c:pt idx="0">
                  <c:v>249.62</c:v>
                </c:pt>
                <c:pt idx="1">
                  <c:v>249.62</c:v>
                </c:pt>
              </c:numCache>
            </c:numRef>
          </c:val>
        </c:ser>
        <c:dLbls>
          <c:showLegendKey val="0"/>
          <c:showVal val="0"/>
          <c:showCatName val="0"/>
          <c:showSerName val="0"/>
          <c:showPercent val="0"/>
          <c:showBubbleSize val="0"/>
        </c:dLbls>
        <c:gapWidth val="150"/>
        <c:overlap val="0"/>
        <c:axId val="817918751"/>
        <c:axId val="568608986"/>
        <c:extLst>
          <c:ext xmlns:c15="http://schemas.microsoft.com/office/drawing/2012/chart" uri="{02D57815-91ED-43cb-92C2-25804820EDAC}">
            <c15:filteredBarSeries>
              <c15:ser>
                <c:idx val="2"/>
                <c:order val="2"/>
                <c:tx>
                  <c:strRef>
                    <c:extLst>
                      <c:ext uri="{02D57815-91ED-43cb-92C2-25804820EDAC}">
                        <c15:formulaRef>
                          <c15:sqref>Sheet1!$D$1</c15:sqref>
                        </c15:formulaRef>
                      </c:ext>
                    </c:extLst>
                    <c:strCache>
                      <c:ptCount val="1"/>
                      <c:pt idx="0">
                        <c:v/>
                      </c:pt>
                    </c:strCache>
                  </c:strRef>
                </c:tx>
                <c:spPr>
                  <a:solidFill>
                    <a:schemeClr val="accent3"/>
                  </a:solidFill>
                  <a:ln>
                    <a:noFill/>
                  </a:ln>
                  <a:effectLst/>
                </c:spPr>
                <c:invertIfNegative val="0"/>
                <c:dLbls>
                  <c:delete val="1"/>
                </c:dLbls>
                <c:cat>
                  <c:numRef>
                    <c:extLst>
                      <c:ext uri="{02D57815-91ED-43cb-92C2-25804820EDAC}">
                        <c15:fullRef>
                          <c15:sqref>Sheet1!$A$2:$A$5</c15:sqref>
                        </c15:fullRef>
                        <c15:formulaRef>
                          <c15:sqref>Sheet1!$A$2:$A$3</c15:sqref>
                        </c15:formulaRef>
                      </c:ext>
                    </c:extLst>
                    <c:numCache>
                      <c:formatCode>General</c:formatCode>
                      <c:ptCount val="2"/>
                    </c:numCache>
                  </c:numRef>
                </c:cat>
                <c:val>
                  <c:numRef>
                    <c:extLst>
                      <c:ext uri="{02D57815-91ED-43cb-92C2-25804820EDAC}">
                        <c15:fullRef>
                          <c15:sqref>Sheet1!$D$2:$D$5</c15:sqref>
                        </c15:fullRef>
                        <c15:formulaRef>
                          <c15:sqref>Sheet1!$D$2:$D$3</c15:sqref>
                        </c15:formulaRef>
                      </c:ext>
                    </c:extLst>
                    <c:numCache>
                      <c:formatCode>General</c:formatCode>
                      <c:ptCount val="2"/>
                    </c:numCache>
                  </c:numRef>
                </c:val>
              </c15:ser>
            </c15:filteredBarSeries>
          </c:ext>
        </c:extLst>
      </c:barChart>
      <c:catAx>
        <c:axId val="817918751"/>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68608986"/>
        <c:crosses val="autoZero"/>
        <c:auto val="1"/>
        <c:lblAlgn val="ctr"/>
        <c:lblOffset val="100"/>
        <c:noMultiLvlLbl val="0"/>
      </c:catAx>
      <c:valAx>
        <c:axId val="56860898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17918751"/>
        <c:crosses val="autoZero"/>
        <c:crossBetween val="between"/>
      </c:valAx>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一般公共预算财政拨款支出决算变动情况</a:t>
            </a: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万元</c:v>
                </c:pt>
              </c:strCache>
            </c:strRef>
          </c:tx>
          <c:spPr>
            <a:solidFill>
              <a:schemeClr val="accent1"/>
            </a:solidFill>
            <a:ln>
              <a:noFill/>
            </a:ln>
            <a:effectLst/>
          </c:spPr>
          <c:invertIfNegative val="0"/>
          <c:dLbls>
            <c:delete val="1"/>
          </c:dLbls>
          <c:cat>
            <c:strRef>
              <c:extLst>
                <c:ext xmlns:c15="http://schemas.microsoft.com/office/drawing/2012/chart" uri="{02D57815-91ED-43cb-92C2-25804820EDAC}">
                  <c15:fullRef>
                    <c15:sqref>Sheet1!$A$2:$A$5</c15:sqref>
                  </c15:fullRef>
                </c:ext>
              </c:extLst>
              <c:f>Sheet1!$A$2:$A$3</c:f>
              <c:strCache>
                <c:ptCount val="2"/>
                <c:pt idx="0">
                  <c:v>2019年</c:v>
                </c:pt>
                <c:pt idx="1">
                  <c:v>2018年</c:v>
                </c:pt>
              </c:strCache>
            </c:strRef>
          </c:cat>
          <c:val>
            <c:numRef>
              <c:extLst>
                <c:ext xmlns:c15="http://schemas.microsoft.com/office/drawing/2012/chart" uri="{02D57815-91ED-43cb-92C2-25804820EDAC}">
                  <c15:fullRef>
                    <c15:sqref>Sheet1!$B$2:$B$5</c15:sqref>
                  </c15:fullRef>
                </c:ext>
              </c:extLst>
              <c:f>Sheet1!$B$2:$B$3</c:f>
              <c:numCache>
                <c:formatCode>General</c:formatCode>
                <c:ptCount val="2"/>
                <c:pt idx="0">
                  <c:v>212.75</c:v>
                </c:pt>
                <c:pt idx="1">
                  <c:v>249.62</c:v>
                </c:pt>
              </c:numCache>
            </c:numRef>
          </c:val>
        </c:ser>
        <c:dLbls>
          <c:showLegendKey val="0"/>
          <c:showVal val="0"/>
          <c:showCatName val="0"/>
          <c:showSerName val="0"/>
          <c:showPercent val="0"/>
          <c:showBubbleSize val="0"/>
        </c:dLbls>
        <c:gapWidth val="150"/>
        <c:overlap val="0"/>
        <c:axId val="604605443"/>
        <c:axId val="466863899"/>
        <c:extLst>
          <c:ext xmlns:c15="http://schemas.microsoft.com/office/drawing/2012/chart" uri="{02D57815-91ED-43cb-92C2-25804820EDAC}">
            <c15:filteredBarSeries>
              <c15:ser>
                <c:idx val="1"/>
                <c:order val="1"/>
                <c:tx>
                  <c:strRef>
                    <c:extLst>
                      <c:ext uri="{02D57815-91ED-43cb-92C2-25804820EDAC}">
                        <c15:formulaRef>
                          <c15:sqref>Sheet1!$C$1</c15:sqref>
                        </c15:formulaRef>
                      </c:ext>
                    </c:extLst>
                    <c:strCache>
                      <c:ptCount val="1"/>
                      <c:pt idx="0">
                        <c:v/>
                      </c:pt>
                    </c:strCache>
                  </c:strRef>
                </c:tx>
                <c:spPr>
                  <a:solidFill>
                    <a:schemeClr val="accent2"/>
                  </a:solidFill>
                  <a:ln>
                    <a:noFill/>
                  </a:ln>
                  <a:effectLst/>
                </c:spPr>
                <c:invertIfNegative val="0"/>
                <c:dLbls>
                  <c:delete val="1"/>
                </c:dLbls>
                <c:cat>
                  <c:strRef>
                    <c:extLst>
                      <c:ext uri="{02D57815-91ED-43cb-92C2-25804820EDAC}">
                        <c15:fullRef>
                          <c15:sqref>Sheet1!$A$2:$A$5</c15:sqref>
                        </c15:fullRef>
                        <c15:formulaRef>
                          <c15:sqref>Sheet1!$A$2:$A$3</c15:sqref>
                        </c15:formulaRef>
                      </c:ext>
                    </c:extLst>
                    <c:strCache>
                      <c:ptCount val="2"/>
                      <c:pt idx="0">
                        <c:v>2019年</c:v>
                      </c:pt>
                      <c:pt idx="1">
                        <c:v>2018年</c:v>
                      </c:pt>
                    </c:strCache>
                  </c:strRef>
                </c:cat>
                <c:val>
                  <c:numRef>
                    <c:extLst>
                      <c:ext uri="{02D57815-91ED-43cb-92C2-25804820EDAC}">
                        <c15:fullRef>
                          <c15:sqref>Sheet1!$C$2:$C$5</c15:sqref>
                        </c15:fullRef>
                        <c15:formulaRef>
                          <c15:sqref>Sheet1!$C$2:$C$3</c15:sqref>
                        </c15:formulaRef>
                      </c:ext>
                    </c:extLst>
                    <c:numCache>
                      <c:formatCode>General</c:formatCode>
                      <c:ptCount val="2"/>
                    </c:numCache>
                  </c:numRef>
                </c:val>
              </c15:ser>
            </c15:filteredBarSeries>
            <c15:filteredBarSeries>
              <c15:ser>
                <c:idx val="2"/>
                <c:order val="2"/>
                <c:tx>
                  <c:strRef>
                    <c:extLst>
                      <c:ext uri="{02D57815-91ED-43cb-92C2-25804820EDAC}">
                        <c15:formulaRef>
                          <c15:sqref>Sheet1!$D$1</c15:sqref>
                        </c15:formulaRef>
                      </c:ext>
                    </c:extLst>
                    <c:strCache>
                      <c:ptCount val="1"/>
                      <c:pt idx="0">
                        <c:v/>
                      </c:pt>
                    </c:strCache>
                  </c:strRef>
                </c:tx>
                <c:spPr>
                  <a:solidFill>
                    <a:schemeClr val="accent3"/>
                  </a:solidFill>
                  <a:ln>
                    <a:noFill/>
                  </a:ln>
                  <a:effectLst/>
                </c:spPr>
                <c:invertIfNegative val="0"/>
                <c:dLbls>
                  <c:delete val="1"/>
                </c:dLbls>
                <c:cat>
                  <c:strRef>
                    <c:extLst>
                      <c:ext uri="{02D57815-91ED-43cb-92C2-25804820EDAC}">
                        <c15:fullRef>
                          <c15:sqref>Sheet1!$A$2:$A$5</c15:sqref>
                        </c15:fullRef>
                        <c15:formulaRef>
                          <c15:sqref>Sheet1!$A$2:$A$3</c15:sqref>
                        </c15:formulaRef>
                      </c:ext>
                    </c:extLst>
                    <c:strCache>
                      <c:ptCount val="2"/>
                      <c:pt idx="0">
                        <c:v>2019年</c:v>
                      </c:pt>
                      <c:pt idx="1">
                        <c:v>2018年</c:v>
                      </c:pt>
                    </c:strCache>
                  </c:strRef>
                </c:cat>
                <c:val>
                  <c:numRef>
                    <c:extLst>
                      <c:ext uri="{02D57815-91ED-43cb-92C2-25804820EDAC}">
                        <c15:fullRef>
                          <c15:sqref>Sheet1!$D$2:$D$5</c15:sqref>
                        </c15:fullRef>
                        <c15:formulaRef>
                          <c15:sqref>Sheet1!$D$2:$D$3</c15:sqref>
                        </c15:formulaRef>
                      </c:ext>
                    </c:extLst>
                    <c:numCache>
                      <c:formatCode>General</c:formatCode>
                      <c:ptCount val="2"/>
                    </c:numCache>
                  </c:numRef>
                </c:val>
              </c15:ser>
            </c15:filteredBarSeries>
          </c:ext>
        </c:extLst>
      </c:barChart>
      <c:catAx>
        <c:axId val="604605443"/>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66863899"/>
        <c:crosses val="autoZero"/>
        <c:auto val="1"/>
        <c:lblAlgn val="ctr"/>
        <c:lblOffset val="100"/>
        <c:noMultiLvlLbl val="0"/>
      </c:catAx>
      <c:valAx>
        <c:axId val="46686389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04605443"/>
        <c:crosses val="autoZero"/>
        <c:crossBetween val="between"/>
      </c:valAx>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一般公共预算财政拨款支出结构</a:t>
            </a:r>
          </a:p>
        </c:rich>
      </c:tx>
      <c:layout/>
      <c:overlay val="0"/>
      <c:spPr>
        <a:noFill/>
        <a:ln>
          <a:noFill/>
        </a:ln>
        <a:effectLst/>
      </c:spPr>
    </c:title>
    <c:autoTitleDeleted val="0"/>
    <c:plotArea>
      <c:layout/>
      <c:pieChart>
        <c:varyColors val="1"/>
        <c:ser>
          <c:idx val="0"/>
          <c:order val="0"/>
          <c:tx>
            <c:strRef>
              <c:f>Sheet1!$B$1</c:f>
              <c:strCache>
                <c:ptCount val="1"/>
                <c:pt idx="0">
                  <c:v>列2</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xmlns:c15="http://schemas.microsoft.com/office/drawing/2012/chart" uri="{02D57815-91ED-43cb-92C2-25804820EDAC}">
                  <c15:fullRef>
                    <c15:sqref>Sheet1!$A$2:$A$5</c15:sqref>
                  </c15:fullRef>
                </c:ext>
              </c:extLst>
              <c:f>Sheet1!$A$2:$A$4</c:f>
              <c:strCache>
                <c:ptCount val="3"/>
                <c:pt idx="0">
                  <c:v>教育支出</c:v>
                </c:pt>
                <c:pt idx="1">
                  <c:v>住房保障支出</c:v>
                </c:pt>
                <c:pt idx="2">
                  <c:v>其他支出</c:v>
                </c:pt>
              </c:strCache>
            </c:strRef>
          </c:cat>
          <c:val>
            <c:numRef>
              <c:extLst>
                <c:ext xmlns:c15="http://schemas.microsoft.com/office/drawing/2012/chart" uri="{02D57815-91ED-43cb-92C2-25804820EDAC}">
                  <c15:fullRef>
                    <c15:sqref>Sheet1!$B$2:$B$5</c15:sqref>
                  </c15:fullRef>
                </c:ext>
              </c:extLst>
              <c:f>Sheet1!$B$2:$B$4</c:f>
              <c:numCache>
                <c:formatCode>General</c:formatCode>
                <c:ptCount val="3"/>
                <c:pt idx="0">
                  <c:v>92.77</c:v>
                </c:pt>
                <c:pt idx="1">
                  <c:v>7.23</c:v>
                </c:pt>
                <c:pt idx="2">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en-US" altLang="zh-CN"/>
              <a:t>“</a:t>
            </a:r>
            <a:r>
              <a:rPr altLang="en-US"/>
              <a:t>三公</a:t>
            </a:r>
            <a:r>
              <a:rPr lang="en-US" altLang="zh-CN"/>
              <a:t>”</a:t>
            </a:r>
            <a:r>
              <a:rPr altLang="en-US"/>
              <a:t>经费财政拨款支出结构</a:t>
            </a:r>
            <a:endParaRPr altLang="en-US"/>
          </a:p>
        </c:rich>
      </c:tx>
      <c:layout/>
      <c:overlay val="0"/>
      <c:spPr>
        <a:noFill/>
        <a:ln>
          <a:noFill/>
        </a:ln>
        <a:effectLst/>
      </c:spPr>
    </c:title>
    <c:autoTitleDeleted val="0"/>
    <c:plotArea>
      <c:layout/>
      <c:pieChart>
        <c:varyColors val="1"/>
        <c:ser>
          <c:idx val="0"/>
          <c:order val="0"/>
          <c:tx>
            <c:strRef>
              <c:f>Sheet1!$B$1</c:f>
              <c:strCache>
                <c:ptCount val="1"/>
                <c:pt idx="0">
                  <c:v>销售额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xmlns:c15="http://schemas.microsoft.com/office/drawing/2012/chart" uri="{02D57815-91ED-43cb-92C2-25804820EDAC}">
                  <c15:fullRef>
                    <c15:sqref>Sheet1!$A$2:$A$5</c15:sqref>
                  </c15:fullRef>
                </c:ext>
              </c:extLst>
              <c:f>Sheet1!$A$2:$A$3</c:f>
              <c:strCache>
                <c:ptCount val="2"/>
                <c:pt idx="0">
                  <c:v>会议费</c:v>
                </c:pt>
                <c:pt idx="1">
                  <c:v>公务接待费</c:v>
                </c:pt>
              </c:strCache>
            </c:strRef>
          </c:cat>
          <c:val>
            <c:numRef>
              <c:extLst>
                <c:ext xmlns:c15="http://schemas.microsoft.com/office/drawing/2012/chart" uri="{02D57815-91ED-43cb-92C2-25804820EDAC}">
                  <c15:fullRef>
                    <c15:sqref>Sheet1!$B$2:$B$5</c15:sqref>
                  </c15:fullRef>
                </c:ext>
              </c:extLst>
              <c:f>Sheet1!$B$2:$B$3</c:f>
              <c:numCache>
                <c:formatCode>General</c:formatCode>
                <c:ptCount val="2"/>
                <c:pt idx="0">
                  <c:v>0</c:v>
                </c:pt>
                <c:pt idx="1">
                  <c:v>100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F2F4B8-A64A-4F74-B34F-0384CF3897B7}">
  <ds:schemaRefs/>
</ds:datastoreItem>
</file>

<file path=docProps/app.xml><?xml version="1.0" encoding="utf-8"?>
<Properties xmlns="http://schemas.openxmlformats.org/officeDocument/2006/extended-properties" xmlns:vt="http://schemas.openxmlformats.org/officeDocument/2006/docPropsVTypes">
  <Template>Normal</Template>
  <Company>四川省财政厅</Company>
  <Pages>20</Pages>
  <Words>6235</Words>
  <Characters>2703</Characters>
  <Lines>22</Lines>
  <Paragraphs>17</Paragraphs>
  <TotalTime>0</TotalTime>
  <ScaleCrop>false</ScaleCrop>
  <LinksUpToDate>false</LinksUpToDate>
  <CharactersWithSpaces>8921</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2019-08-20T11:33:00Z</dcterms:created>
  <dc:creator>张彬茜</dc:creator>
  <cp:lastModifiedBy>伟</cp:lastModifiedBy>
  <cp:lastPrinted>2019-08-01T00:48:00Z</cp:lastPrinted>
  <dcterms:modified xsi:type="dcterms:W3CDTF">2020-09-18T04:04:10Z</dcterms:modified>
  <dc:title>四川省***</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